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EA218" w14:textId="3BBF2597" w:rsidR="00104D1A" w:rsidRPr="00B7173F" w:rsidRDefault="00104D1A" w:rsidP="00104D1A">
      <w:r>
        <w:t xml:space="preserve">Klimawandel Infosammlung </w:t>
      </w:r>
      <w:r>
        <w:tab/>
      </w:r>
      <w:r>
        <w:tab/>
      </w:r>
      <w:r>
        <w:tab/>
      </w:r>
      <w:r>
        <w:tab/>
        <w:t xml:space="preserve">U. Hermanns, Tradefocus </w:t>
      </w:r>
      <w:proofErr w:type="spellStart"/>
      <w:r>
        <w:t>Consult</w:t>
      </w:r>
      <w:proofErr w:type="spellEnd"/>
      <w:r>
        <w:t>, 202</w:t>
      </w:r>
      <w:r w:rsidR="00266FB8">
        <w:t>5</w:t>
      </w:r>
    </w:p>
    <w:p w14:paraId="62DDE8C8" w14:textId="77777777" w:rsidR="00484D9A" w:rsidRDefault="00484D9A" w:rsidP="00F47FA4"/>
    <w:p w14:paraId="2B8AF9A0" w14:textId="3414E6E8" w:rsidR="004D454E" w:rsidRDefault="004D454E" w:rsidP="00F47FA4">
      <w:r>
        <w:t xml:space="preserve">Teil </w:t>
      </w:r>
      <w:r w:rsidR="008D6792">
        <w:t>3</w:t>
      </w:r>
    </w:p>
    <w:p w14:paraId="09523BF0" w14:textId="77777777" w:rsidR="001627CF" w:rsidRDefault="001627CF" w:rsidP="00112190"/>
    <w:p w14:paraId="6E0D5B57" w14:textId="11C74C03" w:rsidR="00112190" w:rsidRDefault="00112190" w:rsidP="00112190">
      <w:r>
        <w:t xml:space="preserve">1. </w:t>
      </w:r>
      <w:r w:rsidR="00EC16B9">
        <w:t>THG-Emissionen Überblick</w:t>
      </w:r>
    </w:p>
    <w:p w14:paraId="11761C2F" w14:textId="77777777" w:rsidR="00112190" w:rsidRDefault="00112190" w:rsidP="00112190"/>
    <w:p w14:paraId="30208845" w14:textId="77777777" w:rsidR="00A30240" w:rsidRDefault="00BB6C2F" w:rsidP="00BB6C2F">
      <w:bookmarkStart w:id="0" w:name="_Hlk204545230"/>
      <w:r>
        <w:t>Klimawandel ist unstrittig, die Treibhausgase absorbieren Wärme und strahlen sie wieder ab, dies führt dazu, dass die Wärme länger in der Erdatmosphäre bleibt</w:t>
      </w:r>
      <w:bookmarkEnd w:id="0"/>
      <w:r>
        <w:t>.</w:t>
      </w:r>
      <w:r>
        <w:rPr>
          <w:rStyle w:val="Funotenzeichen"/>
        </w:rPr>
        <w:footnoteReference w:id="1"/>
      </w:r>
      <w:r>
        <w:t xml:space="preserve"> </w:t>
      </w:r>
    </w:p>
    <w:p w14:paraId="2564BF5C" w14:textId="77777777" w:rsidR="00A30240" w:rsidRDefault="00A30240" w:rsidP="00BB6C2F"/>
    <w:p w14:paraId="6493ECCF" w14:textId="6B187C48" w:rsidR="00B87EC9" w:rsidRDefault="00BB6C2F" w:rsidP="00BB6C2F">
      <w:r>
        <w:t>Der Weltklimarat (Intergovernmental Panel on Climate Change, IPCC) hat von maximal 500 Milliarden Tonnen bzw. Gigatonnen gesprochen, die noch emittiert werden dürfen, um mit 50 % Wahrscheinlichkeit das 1,5 Grad Ziel zu erreichen oder 1150 Milliarden Tonnen bzw. Gigatonnen, um mit 67 % Wahrscheinlichkeit das 2 Grad Ziel zu erreichen (</w:t>
      </w:r>
      <w:proofErr w:type="spellStart"/>
      <w:r>
        <w:t>remaining</w:t>
      </w:r>
      <w:proofErr w:type="spellEnd"/>
      <w:r>
        <w:t xml:space="preserve"> </w:t>
      </w:r>
      <w:proofErr w:type="spellStart"/>
      <w:r>
        <w:t>carbon</w:t>
      </w:r>
      <w:proofErr w:type="spellEnd"/>
      <w:r>
        <w:t xml:space="preserve"> </w:t>
      </w:r>
      <w:proofErr w:type="spellStart"/>
      <w:r>
        <w:t>budget</w:t>
      </w:r>
      <w:proofErr w:type="spellEnd"/>
      <w:r>
        <w:t>, RCB).</w:t>
      </w:r>
      <w:r>
        <w:rPr>
          <w:rStyle w:val="Funotenzeichen"/>
        </w:rPr>
        <w:footnoteReference w:id="2"/>
      </w:r>
      <w:r>
        <w:t xml:space="preserve"> </w:t>
      </w:r>
    </w:p>
    <w:p w14:paraId="4127A165" w14:textId="77777777" w:rsidR="00B87EC9" w:rsidRDefault="00B87EC9" w:rsidP="00BB6C2F"/>
    <w:p w14:paraId="267CF342" w14:textId="77777777" w:rsidR="00B87EC9" w:rsidRDefault="00BB6C2F" w:rsidP="00BB6C2F">
      <w:r>
        <w:t>Aktuell spricht er offenkundig von 250 Milliarden Tonnen, damit es zu 50 % eine Chance gibt, unter dem 1,5 Grad Ziel zu bleiben.</w:t>
      </w:r>
      <w:r w:rsidRPr="000E143F">
        <w:rPr>
          <w:rStyle w:val="Funotenzeichen"/>
        </w:rPr>
        <w:t xml:space="preserve"> </w:t>
      </w:r>
      <w:r>
        <w:rPr>
          <w:rStyle w:val="Funotenzeichen"/>
        </w:rPr>
        <w:footnoteReference w:id="3"/>
      </w:r>
      <w:r>
        <w:t xml:space="preserve">  </w:t>
      </w:r>
    </w:p>
    <w:p w14:paraId="06DD2B8C" w14:textId="77777777" w:rsidR="00A911FC" w:rsidRDefault="00A911FC" w:rsidP="00BB6C2F"/>
    <w:p w14:paraId="51ECBB9B" w14:textId="2B46DEDE" w:rsidR="00A911FC" w:rsidRDefault="00A911FC" w:rsidP="00A911FC">
      <w:r>
        <w:t xml:space="preserve">Der Ausstoß von </w:t>
      </w:r>
      <w:r w:rsidR="00D60598">
        <w:t>Treibhausgasen (THG)</w:t>
      </w:r>
      <w:r>
        <w:t xml:space="preserve"> wird bei Ländern in Megatonnen (</w:t>
      </w:r>
      <w:proofErr w:type="spellStart"/>
      <w:r>
        <w:t>Mt</w:t>
      </w:r>
      <w:proofErr w:type="spellEnd"/>
      <w:r>
        <w:t>) und auf der Ebene der Welt in Gigatonnen (</w:t>
      </w:r>
      <w:proofErr w:type="spellStart"/>
      <w:r>
        <w:t>Gt</w:t>
      </w:r>
      <w:proofErr w:type="spellEnd"/>
      <w:r>
        <w:t>) gemessen. 1 Megatonne (</w:t>
      </w:r>
      <w:proofErr w:type="spellStart"/>
      <w:r>
        <w:t>Mt</w:t>
      </w:r>
      <w:proofErr w:type="spellEnd"/>
      <w:r>
        <w:t>) = 1 Million Tonnen (t), 1 Milliarde Kilogramm. 1000 Megatonnen (</w:t>
      </w:r>
      <w:proofErr w:type="spellStart"/>
      <w:r>
        <w:t>Mt</w:t>
      </w:r>
      <w:proofErr w:type="spellEnd"/>
      <w:r>
        <w:t>) sind 1 Gigatonne. Wenn es um die Welt geht, wird oft von Gigatonnen (</w:t>
      </w:r>
      <w:proofErr w:type="spellStart"/>
      <w:r>
        <w:t>Gt</w:t>
      </w:r>
      <w:proofErr w:type="spellEnd"/>
      <w:r>
        <w:t xml:space="preserve">) gesprochen: die Treibhausemissionen der Welt betragen 2022 53 Gigatonnen, oder auch 53786 Megatonnen. 1 Gigatonne = sind 1 Milliarde Tonnen (t) oder 1 Billion Kilogramm. Und 1 Gigatonne ist eben 1000 Megatonnen. </w:t>
      </w:r>
      <w:bookmarkStart w:id="1" w:name="_Hlk204549842"/>
      <w:r>
        <w:t xml:space="preserve">Der </w:t>
      </w:r>
      <w:r w:rsidR="00FE04E7">
        <w:t>Treibhausgas</w:t>
      </w:r>
      <w:r>
        <w:t>-Ausstoß der Welt beträgt also 53.000.000.000.000 kg (Billionen kg) oder 53.000.000.000 t (</w:t>
      </w:r>
      <w:r w:rsidR="009E5393">
        <w:t xml:space="preserve">53 </w:t>
      </w:r>
      <w:r>
        <w:t xml:space="preserve">Mrd. Tonnen). </w:t>
      </w:r>
      <w:bookmarkEnd w:id="1"/>
      <w:r>
        <w:t xml:space="preserve">(in England heißen Billionen </w:t>
      </w:r>
      <w:proofErr w:type="spellStart"/>
      <w:r>
        <w:t>Trillions</w:t>
      </w:r>
      <w:proofErr w:type="spellEnd"/>
      <w:r>
        <w:t>, und Milliarden Billions)</w:t>
      </w:r>
    </w:p>
    <w:p w14:paraId="01E60686" w14:textId="77777777" w:rsidR="00A911FC" w:rsidRDefault="00A911FC" w:rsidP="00A911FC"/>
    <w:p w14:paraId="7094F4A7" w14:textId="5994A3D7" w:rsidR="00A911FC" w:rsidRDefault="00A911FC" w:rsidP="00A911FC">
      <w:bookmarkStart w:id="2" w:name="_Hlk177405350"/>
      <w:r w:rsidRPr="00026A55">
        <w:rPr>
          <w:u w:val="single"/>
        </w:rPr>
        <w:t xml:space="preserve">Der </w:t>
      </w:r>
      <w:r w:rsidR="00FE04E7">
        <w:rPr>
          <w:u w:val="single"/>
        </w:rPr>
        <w:t>Treibhausgas</w:t>
      </w:r>
      <w:r w:rsidRPr="00026A55">
        <w:rPr>
          <w:u w:val="single"/>
        </w:rPr>
        <w:t xml:space="preserve">-Ausstoß der Welt beträgt </w:t>
      </w:r>
      <w:r w:rsidR="00026A55" w:rsidRPr="00026A55">
        <w:rPr>
          <w:u w:val="single"/>
        </w:rPr>
        <w:t xml:space="preserve">also </w:t>
      </w:r>
      <w:r w:rsidRPr="00026A55">
        <w:rPr>
          <w:u w:val="single"/>
        </w:rPr>
        <w:t>53</w:t>
      </w:r>
      <w:r w:rsidR="00026A55" w:rsidRPr="00026A55">
        <w:rPr>
          <w:u w:val="single"/>
        </w:rPr>
        <w:t>.</w:t>
      </w:r>
      <w:r w:rsidRPr="00026A55">
        <w:rPr>
          <w:u w:val="single"/>
        </w:rPr>
        <w:t>000 Megatonnen oder 53 Gigatonne</w:t>
      </w:r>
      <w:r w:rsidR="00026A55" w:rsidRPr="00026A55">
        <w:rPr>
          <w:u w:val="single"/>
        </w:rPr>
        <w:t>n oder 53 Milliarden Tonnen</w:t>
      </w:r>
      <w:r w:rsidR="00400B27">
        <w:t>, Gigatonnen sind Milliarden Tonnen</w:t>
      </w:r>
      <w:r>
        <w:t xml:space="preserve">, </w:t>
      </w:r>
      <w:r w:rsidR="00B542CE">
        <w:t>es ist verständlicher, wenn von</w:t>
      </w:r>
      <w:r>
        <w:t xml:space="preserve"> 53 Mrd. Tonnen</w:t>
      </w:r>
      <w:r w:rsidR="0076611E">
        <w:t xml:space="preserve"> die Rede</w:t>
      </w:r>
      <w:r w:rsidR="00B542CE">
        <w:t xml:space="preserve"> ist.</w:t>
      </w:r>
      <w:r>
        <w:t xml:space="preserve"> </w:t>
      </w:r>
    </w:p>
    <w:bookmarkEnd w:id="2"/>
    <w:p w14:paraId="1DF39CBA" w14:textId="77777777" w:rsidR="00A911FC" w:rsidRDefault="00A911FC" w:rsidP="00BB6C2F"/>
    <w:p w14:paraId="2BF559A8" w14:textId="3010C5E0" w:rsidR="000E2590" w:rsidRDefault="00BB6C2F" w:rsidP="00112190">
      <w:r>
        <w:t>D</w:t>
      </w:r>
      <w:r w:rsidR="00B87EC9">
        <w:t>a die Welt derzeit 53 Mrd. Tonnen THG emittiert</w:t>
      </w:r>
      <w:r w:rsidR="000C2AB7">
        <w:t xml:space="preserve"> </w:t>
      </w:r>
      <w:r w:rsidR="00B87EC9">
        <w:t xml:space="preserve">ist dies </w:t>
      </w:r>
      <w:r>
        <w:t xml:space="preserve">einfach zu rechnen: Die Welt kann somit noch </w:t>
      </w:r>
      <w:r w:rsidR="00B87EC9">
        <w:t xml:space="preserve">ca. </w:t>
      </w:r>
      <w:r>
        <w:t>5 Jahre</w:t>
      </w:r>
      <w:r w:rsidR="00B87EC9">
        <w:t xml:space="preserve"> </w:t>
      </w:r>
      <w:r w:rsidR="00820A97">
        <w:t xml:space="preserve">so viel emittieren wie bisher </w:t>
      </w:r>
      <w:r w:rsidR="00B87EC9">
        <w:t>(bei 150 Mrd. Tonne</w:t>
      </w:r>
      <w:r w:rsidR="00400B27">
        <w:t>n, die noch emittiert werden dürfen</w:t>
      </w:r>
      <w:r w:rsidR="00B87EC9">
        <w:t>)</w:t>
      </w:r>
      <w:r>
        <w:t xml:space="preserve">, </w:t>
      </w:r>
      <w:r w:rsidR="00B87EC9">
        <w:t xml:space="preserve">ca. </w:t>
      </w:r>
      <w:r>
        <w:t xml:space="preserve">10 Jahre </w:t>
      </w:r>
      <w:r w:rsidR="00820A97">
        <w:t xml:space="preserve">so viel emittieren wie bisher </w:t>
      </w:r>
      <w:r w:rsidR="00B87EC9">
        <w:t>(bei 500 Mrd. Tonne</w:t>
      </w:r>
      <w:r w:rsidR="00400B27">
        <w:t>n, die noch emittiert werden dürfen</w:t>
      </w:r>
      <w:r w:rsidR="00B87EC9">
        <w:t xml:space="preserve">) </w:t>
      </w:r>
      <w:r>
        <w:t xml:space="preserve">oder ca. 23 Jahre </w:t>
      </w:r>
      <w:r w:rsidR="00820A97">
        <w:t xml:space="preserve">so viel emittieren wie bisher </w:t>
      </w:r>
      <w:r w:rsidR="00B87EC9">
        <w:t>(bei 1150 Mrd. Tonnen</w:t>
      </w:r>
      <w:r w:rsidR="00400B27">
        <w:t>, die noch emittiert werden dürfen</w:t>
      </w:r>
      <w:r w:rsidR="00B87EC9">
        <w:t>)</w:t>
      </w:r>
      <w:r>
        <w:t>, aber danach</w:t>
      </w:r>
      <w:r w:rsidR="000E2590">
        <w:t xml:space="preserve"> </w:t>
      </w:r>
      <w:r>
        <w:t xml:space="preserve">nichts mehr. </w:t>
      </w:r>
      <w:r w:rsidR="000E2590">
        <w:t xml:space="preserve">Man kann dies nur Schritt-für-Schritt durchführen, aber </w:t>
      </w:r>
      <w:r w:rsidR="00B83AFA">
        <w:t xml:space="preserve">es muss </w:t>
      </w:r>
      <w:r w:rsidR="000E2590">
        <w:t xml:space="preserve">schnell </w:t>
      </w:r>
      <w:r w:rsidR="00B83AFA">
        <w:t>gehen</w:t>
      </w:r>
      <w:r w:rsidR="000E2590">
        <w:t>.</w:t>
      </w:r>
    </w:p>
    <w:p w14:paraId="241B97D1" w14:textId="77777777" w:rsidR="00A911FC" w:rsidRDefault="00A911FC" w:rsidP="00112190"/>
    <w:p w14:paraId="1CB2AF39" w14:textId="38EAB98F" w:rsidR="00FC611B" w:rsidRDefault="00FC611B" w:rsidP="00FC611B">
      <w:r>
        <w:t xml:space="preserve">Die Treibhausgase </w:t>
      </w:r>
      <w:r w:rsidR="00052004">
        <w:t>wurden</w:t>
      </w:r>
      <w:r>
        <w:t xml:space="preserve"> wie folgt </w:t>
      </w:r>
      <w:r w:rsidR="00052004">
        <w:t xml:space="preserve">im </w:t>
      </w:r>
      <w:bookmarkStart w:id="3" w:name="_Hlk204550466"/>
      <w:r w:rsidR="00052004">
        <w:t xml:space="preserve">Annex A des Kyoto Protokolls </w:t>
      </w:r>
      <w:bookmarkEnd w:id="3"/>
      <w:r>
        <w:t>definiert:</w:t>
      </w:r>
      <w:r w:rsidRPr="00FC611B">
        <w:rPr>
          <w:rStyle w:val="Funotenzeichen"/>
        </w:rPr>
        <w:t xml:space="preserve"> </w:t>
      </w:r>
      <w:bookmarkStart w:id="4" w:name="_Hlk204550445"/>
      <w:r>
        <w:t xml:space="preserve">Kohlendioxid CO2, Methan CH4, Lachgas bzw. Distickstoffoxid N2O, Fluorkohlenwasserstoffe (FKWs), u.a. der Ersatz für die </w:t>
      </w:r>
      <w:r w:rsidR="00052004">
        <w:t>o</w:t>
      </w:r>
      <w:r>
        <w:t xml:space="preserve">zonschädlichen Kühlmittel, </w:t>
      </w:r>
      <w:proofErr w:type="spellStart"/>
      <w:r>
        <w:t>Perfluorkohlenwasserstoff</w:t>
      </w:r>
      <w:proofErr w:type="spellEnd"/>
      <w:r>
        <w:t xml:space="preserve"> (P-FKW), Schwefel bzw. </w:t>
      </w:r>
      <w:r>
        <w:lastRenderedPageBreak/>
        <w:t xml:space="preserve">Schwefelhexafluorid SF6, </w:t>
      </w:r>
      <w:proofErr w:type="spellStart"/>
      <w:r w:rsidR="00052004" w:rsidRPr="00052004">
        <w:t>Stickstofftrifluorid</w:t>
      </w:r>
      <w:proofErr w:type="spellEnd"/>
      <w:r w:rsidR="00052004">
        <w:t xml:space="preserve"> NF3</w:t>
      </w:r>
      <w:bookmarkEnd w:id="4"/>
      <w:r w:rsidR="00052004">
        <w:t>.</w:t>
      </w:r>
      <w:r w:rsidR="00052004">
        <w:rPr>
          <w:rStyle w:val="Funotenzeichen"/>
        </w:rPr>
        <w:footnoteReference w:id="4"/>
      </w:r>
      <w:r w:rsidR="00052004">
        <w:t xml:space="preserve"> Siehe auch hier die Umschreibung des Umweltbundesamtes.</w:t>
      </w:r>
      <w:r w:rsidR="00052004" w:rsidRPr="00052004">
        <w:rPr>
          <w:rStyle w:val="Funotenzeichen"/>
        </w:rPr>
        <w:t xml:space="preserve"> </w:t>
      </w:r>
      <w:r w:rsidR="00052004">
        <w:rPr>
          <w:rStyle w:val="Funotenzeichen"/>
        </w:rPr>
        <w:footnoteReference w:id="5"/>
      </w:r>
      <w:r w:rsidR="0065179C">
        <w:t xml:space="preserve"> Hier eine weitere Beschreibung der Treibhausgase beim Umweltbundesamt.</w:t>
      </w:r>
      <w:r w:rsidR="0065179C">
        <w:rPr>
          <w:rStyle w:val="Funotenzeichen"/>
        </w:rPr>
        <w:footnoteReference w:id="6"/>
      </w:r>
    </w:p>
    <w:p w14:paraId="131C5CBB" w14:textId="77777777" w:rsidR="005C1317" w:rsidRDefault="005C1317" w:rsidP="00112190"/>
    <w:p w14:paraId="7B23E90C" w14:textId="00F7E5A4" w:rsidR="00112190" w:rsidRDefault="00A911FC" w:rsidP="00112190">
      <w:r>
        <w:t>Ein gradueller Rückgang ist schwerer als gedacht</w:t>
      </w:r>
      <w:r w:rsidR="005C1317">
        <w:t xml:space="preserve">. </w:t>
      </w:r>
      <w:r w:rsidR="00B87EC9">
        <w:t xml:space="preserve">Einen solchen graduellen Weg beschreibt der </w:t>
      </w:r>
      <w:r w:rsidR="00112190">
        <w:t>IPCC in seinem Sachstandsbericht 2023, dass u</w:t>
      </w:r>
      <w:r w:rsidR="00112190" w:rsidRPr="00AD0B25">
        <w:t xml:space="preserve">m das 1,5-Grad-Ziel zu erreichen, die </w:t>
      </w:r>
      <w:r w:rsidR="00112190">
        <w:t xml:space="preserve">gesamten </w:t>
      </w:r>
      <w:r w:rsidR="00112190" w:rsidRPr="00AD0B25">
        <w:t xml:space="preserve">globalen </w:t>
      </w:r>
      <w:r w:rsidR="00112190">
        <w:t>Treibhausgas</w:t>
      </w:r>
      <w:r w:rsidR="00112190" w:rsidRPr="00AD0B25">
        <w:t>-Emissionen</w:t>
      </w:r>
      <w:r w:rsidR="00112190">
        <w:t xml:space="preserve">, </w:t>
      </w:r>
      <w:r w:rsidR="00112190" w:rsidRPr="00BB6C2F">
        <w:rPr>
          <w:b/>
          <w:bCs/>
        </w:rPr>
        <w:t>bis 2030 auf 43 % sinken, bis 2040 auf 69 % und 2050 auf 84 % des Ausgangswert</w:t>
      </w:r>
      <w:r w:rsidR="00DF1ECA">
        <w:rPr>
          <w:b/>
          <w:bCs/>
        </w:rPr>
        <w:t>s</w:t>
      </w:r>
      <w:r w:rsidR="00112190" w:rsidRPr="00BB6C2F">
        <w:rPr>
          <w:b/>
          <w:bCs/>
        </w:rPr>
        <w:t xml:space="preserve"> absinken müssten</w:t>
      </w:r>
      <w:r w:rsidR="00112190">
        <w:t>.</w:t>
      </w:r>
      <w:r w:rsidR="00112190">
        <w:rPr>
          <w:rStyle w:val="Funotenzeichen"/>
        </w:rPr>
        <w:footnoteReference w:id="7"/>
      </w:r>
      <w:r w:rsidR="00112190" w:rsidRPr="00AD0B25">
        <w:t xml:space="preserve"> </w:t>
      </w:r>
      <w:r w:rsidR="00112190">
        <w:t>Im aktuellen Bericht zum 1. Global Stocktake findet sich eine etwas andere Abstufung.</w:t>
      </w:r>
      <w:r w:rsidR="00112190">
        <w:rPr>
          <w:rStyle w:val="Funotenzeichen"/>
        </w:rPr>
        <w:footnoteReference w:id="8"/>
      </w:r>
    </w:p>
    <w:p w14:paraId="1F4A120F" w14:textId="77777777" w:rsidR="00014AFA" w:rsidRDefault="00014AFA" w:rsidP="00014AFA"/>
    <w:p w14:paraId="2BE488EB" w14:textId="2C07BBBB" w:rsidR="00112190" w:rsidRDefault="00014AFA" w:rsidP="00112190">
      <w:r w:rsidRPr="00014AFA">
        <w:rPr>
          <w:u w:val="single"/>
        </w:rPr>
        <w:t>Was impliziert die</w:t>
      </w:r>
      <w:r w:rsidR="00112190" w:rsidRPr="00014AFA">
        <w:rPr>
          <w:u w:val="single"/>
        </w:rPr>
        <w:t xml:space="preserve"> Senkung der Emissionen von 43 % bis 2030 </w:t>
      </w:r>
      <w:r w:rsidRPr="00014AFA">
        <w:rPr>
          <w:u w:val="single"/>
        </w:rPr>
        <w:t xml:space="preserve">für die Länder, bei den </w:t>
      </w:r>
      <w:r w:rsidR="00396629" w:rsidRPr="00014AFA">
        <w:rPr>
          <w:u w:val="single"/>
        </w:rPr>
        <w:t xml:space="preserve">jährlichen </w:t>
      </w:r>
      <w:r w:rsidRPr="00014AFA">
        <w:rPr>
          <w:u w:val="single"/>
        </w:rPr>
        <w:t>Treibhausgase</w:t>
      </w:r>
      <w:r w:rsidR="00396629" w:rsidRPr="00014AFA">
        <w:rPr>
          <w:u w:val="single"/>
        </w:rPr>
        <w:t xml:space="preserve">missionen </w:t>
      </w:r>
      <w:r w:rsidRPr="00014AFA">
        <w:rPr>
          <w:u w:val="single"/>
        </w:rPr>
        <w:t xml:space="preserve">(THG) </w:t>
      </w:r>
      <w:r w:rsidR="00396629" w:rsidRPr="00014AFA">
        <w:rPr>
          <w:u w:val="single"/>
        </w:rPr>
        <w:t>von 53 Mrd. Tonne</w:t>
      </w:r>
      <w:r w:rsidRPr="00014AFA">
        <w:rPr>
          <w:u w:val="single"/>
        </w:rPr>
        <w:t>n</w:t>
      </w:r>
      <w:bookmarkStart w:id="6" w:name="_Hlk177405385"/>
      <w:r w:rsidR="00005C35">
        <w:t xml:space="preserve"> (</w:t>
      </w:r>
      <w:r>
        <w:t xml:space="preserve">siehe </w:t>
      </w:r>
      <w:r w:rsidR="00005C35">
        <w:t xml:space="preserve">zu dieser Zahl </w:t>
      </w:r>
      <w:r>
        <w:t>die</w:t>
      </w:r>
      <w:r w:rsidRPr="00014AFA">
        <w:t xml:space="preserve"> </w:t>
      </w:r>
      <w:r w:rsidRPr="00C54E11">
        <w:t>EDGAR Datenbank der EU</w:t>
      </w:r>
      <w:r>
        <w:t>, für 2022</w:t>
      </w:r>
      <w:r w:rsidR="00005C35">
        <w:t>)</w:t>
      </w:r>
      <w:r>
        <w:t>.</w:t>
      </w:r>
      <w:r>
        <w:rPr>
          <w:rStyle w:val="Funotenzeichen"/>
        </w:rPr>
        <w:footnoteReference w:id="9"/>
      </w:r>
      <w:r>
        <w:t xml:space="preserve"> </w:t>
      </w:r>
      <w:bookmarkEnd w:id="6"/>
      <w:r>
        <w:t xml:space="preserve">Bei jährlich 53 Mrd. </w:t>
      </w:r>
      <w:proofErr w:type="gramStart"/>
      <w:r>
        <w:t xml:space="preserve">Tonnen </w:t>
      </w:r>
      <w:r w:rsidR="00396629">
        <w:t xml:space="preserve"> bzw.</w:t>
      </w:r>
      <w:proofErr w:type="gramEnd"/>
      <w:r w:rsidR="00396629">
        <w:t xml:space="preserve"> </w:t>
      </w:r>
      <w:r w:rsidR="00112190">
        <w:t>53</w:t>
      </w:r>
      <w:r w:rsidR="00151322">
        <w:t>.</w:t>
      </w:r>
      <w:r w:rsidR="00112190">
        <w:t xml:space="preserve">000 Mill. Tonnen Emissionen * 0,43 </w:t>
      </w:r>
      <w:r>
        <w:t>kommt heraus</w:t>
      </w:r>
      <w:r w:rsidR="00112190">
        <w:t xml:space="preserve"> = </w:t>
      </w:r>
      <w:bookmarkStart w:id="7" w:name="_Hlk186449188"/>
      <w:r w:rsidR="00112190" w:rsidRPr="00342E28">
        <w:rPr>
          <w:b/>
          <w:bCs/>
        </w:rPr>
        <w:t>22</w:t>
      </w:r>
      <w:r w:rsidR="00151322" w:rsidRPr="00342E28">
        <w:rPr>
          <w:b/>
          <w:bCs/>
        </w:rPr>
        <w:t>.</w:t>
      </w:r>
      <w:r w:rsidR="00112190" w:rsidRPr="00342E28">
        <w:rPr>
          <w:b/>
          <w:bCs/>
        </w:rPr>
        <w:t>790 Mill. Tonnen</w:t>
      </w:r>
      <w:r w:rsidR="005627E6" w:rsidRPr="00342E28">
        <w:rPr>
          <w:b/>
          <w:bCs/>
        </w:rPr>
        <w:t xml:space="preserve"> </w:t>
      </w:r>
      <w:bookmarkEnd w:id="7"/>
      <w:r w:rsidR="005627E6" w:rsidRPr="00342E28">
        <w:rPr>
          <w:b/>
          <w:bCs/>
        </w:rPr>
        <w:t>bzw. 22,7 Mrd. Tonnen THG</w:t>
      </w:r>
      <w:r>
        <w:t xml:space="preserve">, </w:t>
      </w:r>
      <w:r w:rsidRPr="00342E28">
        <w:rPr>
          <w:u w:val="single"/>
        </w:rPr>
        <w:t xml:space="preserve">diese </w:t>
      </w:r>
      <w:r w:rsidR="00112190" w:rsidRPr="00342E28">
        <w:rPr>
          <w:u w:val="single"/>
        </w:rPr>
        <w:t>müssten bis 2030 abgebaut werden</w:t>
      </w:r>
      <w:r w:rsidR="00112190">
        <w:t xml:space="preserve">.  </w:t>
      </w:r>
    </w:p>
    <w:p w14:paraId="79657409" w14:textId="77777777" w:rsidR="00112190" w:rsidRDefault="00112190" w:rsidP="00112190"/>
    <w:p w14:paraId="6B206E72" w14:textId="77777777" w:rsidR="00342E28" w:rsidRDefault="00112190" w:rsidP="00112190">
      <w:bookmarkStart w:id="8" w:name="_Hlk177405407"/>
      <w:r>
        <w:t xml:space="preserve">Hier die Treibhausgasemission für 2022 der Top 10 Länder: </w:t>
      </w:r>
    </w:p>
    <w:p w14:paraId="02200B46" w14:textId="6A4A1A15" w:rsidR="00005C35" w:rsidRDefault="00112190" w:rsidP="00112190">
      <w:bookmarkStart w:id="9" w:name="_Hlk204550752"/>
      <w:r>
        <w:t>China mit 15</w:t>
      </w:r>
      <w:r w:rsidR="00151322">
        <w:t>.</w:t>
      </w:r>
      <w:r>
        <w:t>684 Mill. Tonnen und die USA mit 6</w:t>
      </w:r>
      <w:r w:rsidR="00151322">
        <w:t>.</w:t>
      </w:r>
      <w:r>
        <w:t>017 Mill. Tonnen, die EU27 mit 3</w:t>
      </w:r>
      <w:r w:rsidR="00151322">
        <w:t>.</w:t>
      </w:r>
      <w:r>
        <w:t>587 Mill. Tonnen (Deutschland 784 Mill. Tonnen), Indien mit 3</w:t>
      </w:r>
      <w:r w:rsidR="00151322">
        <w:t>.</w:t>
      </w:r>
      <w:r>
        <w:t>943 Mill. Tonnen Treibhausgasemissionen, Russland mit 2</w:t>
      </w:r>
      <w:r w:rsidR="00342E28">
        <w:t>.</w:t>
      </w:r>
      <w:r>
        <w:t>579 Mill. Tonnen, Brasilien mit 1</w:t>
      </w:r>
      <w:r w:rsidR="00342E28">
        <w:t>.</w:t>
      </w:r>
      <w:r>
        <w:t>310 Mill. Tonnen, Indonesien mit 1</w:t>
      </w:r>
      <w:r w:rsidR="00342E28">
        <w:t>.</w:t>
      </w:r>
      <w:r>
        <w:t>240 Mill. Tonnen, Japan mit 1</w:t>
      </w:r>
      <w:r w:rsidR="00342E28">
        <w:t>.</w:t>
      </w:r>
      <w:r>
        <w:t xml:space="preserve">182 Mill. Tonnen, Iran mit 951 Mill. Tonnen, Mexiko mit 819 Mill. Tonnen, Canada mit 756 Mill. Tonnen. </w:t>
      </w:r>
      <w:bookmarkEnd w:id="9"/>
      <w:r>
        <w:rPr>
          <w:rStyle w:val="Funotenzeichen"/>
        </w:rPr>
        <w:footnoteReference w:id="10"/>
      </w:r>
      <w:r>
        <w:t xml:space="preserve"> </w:t>
      </w:r>
    </w:p>
    <w:p w14:paraId="6E4E0E92" w14:textId="77777777" w:rsidR="00005C35" w:rsidRDefault="00005C35" w:rsidP="00112190"/>
    <w:p w14:paraId="44218736" w14:textId="7483B8D9" w:rsidR="00112190" w:rsidRDefault="00112190" w:rsidP="00112190">
      <w:r>
        <w:t>Die</w:t>
      </w:r>
      <w:r w:rsidR="00005C35">
        <w:t>se</w:t>
      </w:r>
      <w:r>
        <w:t xml:space="preserve"> Top 10 </w:t>
      </w:r>
      <w:r w:rsidR="00005C35">
        <w:t xml:space="preserve">Länder </w:t>
      </w:r>
      <w:r>
        <w:t>mit 37</w:t>
      </w:r>
      <w:r w:rsidR="00151322">
        <w:t>.</w:t>
      </w:r>
      <w:r>
        <w:t xml:space="preserve">312 Mill. Tonnen erreichen 70,4 % der globalen </w:t>
      </w:r>
      <w:proofErr w:type="gramStart"/>
      <w:r w:rsidR="00C30DE1">
        <w:t xml:space="preserve">THG </w:t>
      </w:r>
      <w:r>
        <w:t>Emissionen</w:t>
      </w:r>
      <w:proofErr w:type="gramEnd"/>
      <w:r>
        <w:t xml:space="preserve">. </w:t>
      </w:r>
    </w:p>
    <w:bookmarkEnd w:id="8"/>
    <w:p w14:paraId="554D0BE4" w14:textId="77777777" w:rsidR="00112190" w:rsidRDefault="00112190" w:rsidP="00112190"/>
    <w:p w14:paraId="2C7DBC07" w14:textId="712283CE" w:rsidR="00005C35" w:rsidRDefault="00112190" w:rsidP="00112190">
      <w:r>
        <w:t xml:space="preserve">D.h. </w:t>
      </w:r>
      <w:r w:rsidRPr="00014AFA">
        <w:rPr>
          <w:b/>
          <w:bCs/>
        </w:rPr>
        <w:t>um 22</w:t>
      </w:r>
      <w:r w:rsidR="00151322">
        <w:rPr>
          <w:b/>
          <w:bCs/>
        </w:rPr>
        <w:t>.</w:t>
      </w:r>
      <w:r w:rsidRPr="00014AFA">
        <w:rPr>
          <w:b/>
          <w:bCs/>
        </w:rPr>
        <w:t xml:space="preserve">790 Mill. Tonnen Einsparung </w:t>
      </w:r>
      <w:r w:rsidR="007C3BA5">
        <w:rPr>
          <w:b/>
          <w:bCs/>
        </w:rPr>
        <w:t xml:space="preserve">(bzw. ca. 22,7 Mrd. Tonnen) </w:t>
      </w:r>
      <w:r w:rsidRPr="00014AFA">
        <w:rPr>
          <w:b/>
          <w:bCs/>
        </w:rPr>
        <w:t>bis 2030</w:t>
      </w:r>
      <w:r>
        <w:t xml:space="preserve"> zu erreichen</w:t>
      </w:r>
      <w:r w:rsidRPr="00014AFA">
        <w:t xml:space="preserve">, </w:t>
      </w:r>
      <w:r w:rsidR="00014AFA">
        <w:rPr>
          <w:u w:val="single"/>
        </w:rPr>
        <w:t>könnten</w:t>
      </w:r>
      <w:r w:rsidRPr="005200DB">
        <w:rPr>
          <w:u w:val="single"/>
        </w:rPr>
        <w:t xml:space="preserve"> zuerst einmal die Länder</w:t>
      </w:r>
      <w:r w:rsidR="00342E28">
        <w:rPr>
          <w:u w:val="single"/>
        </w:rPr>
        <w:t xml:space="preserve"> aus der Top 10</w:t>
      </w:r>
      <w:r w:rsidRPr="005200DB">
        <w:rPr>
          <w:u w:val="single"/>
        </w:rPr>
        <w:t xml:space="preserve">, die über </w:t>
      </w:r>
      <w:r w:rsidR="00F0781F">
        <w:rPr>
          <w:u w:val="single"/>
        </w:rPr>
        <w:t>Technologien und Industrie</w:t>
      </w:r>
      <w:r w:rsidRPr="005200DB">
        <w:rPr>
          <w:u w:val="single"/>
        </w:rPr>
        <w:t xml:space="preserve"> </w:t>
      </w:r>
      <w:r w:rsidR="00342E28">
        <w:rPr>
          <w:u w:val="single"/>
        </w:rPr>
        <w:t xml:space="preserve">und Finanzierungsmöglichkeiten </w:t>
      </w:r>
      <w:r w:rsidRPr="005200DB">
        <w:rPr>
          <w:u w:val="single"/>
        </w:rPr>
        <w:t>zur Emissionseinsparung verfügen bzw. die in der Lage wäre, solche Industrien aufzubauen bzw. einzusetzen, ihre Treibhausgasemissionen halbieren (/2)</w:t>
      </w:r>
      <w:r>
        <w:t xml:space="preserve">: China auf 7842, USA </w:t>
      </w:r>
      <w:r w:rsidR="007851FF">
        <w:t xml:space="preserve">auf </w:t>
      </w:r>
      <w:r>
        <w:t xml:space="preserve">3008, EU </w:t>
      </w:r>
      <w:r w:rsidR="007851FF">
        <w:t xml:space="preserve">auf </w:t>
      </w:r>
      <w:r>
        <w:t xml:space="preserve">1793, Japan </w:t>
      </w:r>
      <w:r w:rsidR="007851FF">
        <w:t xml:space="preserve">auf </w:t>
      </w:r>
      <w:r>
        <w:t xml:space="preserve">591, Canada </w:t>
      </w:r>
      <w:r w:rsidR="007851FF">
        <w:t xml:space="preserve">auf </w:t>
      </w:r>
      <w:r>
        <w:t>378</w:t>
      </w:r>
      <w:r w:rsidR="005200DB">
        <w:t xml:space="preserve"> </w:t>
      </w:r>
      <w:r w:rsidR="007851FF">
        <w:t xml:space="preserve">Mill. Tonnen </w:t>
      </w:r>
      <w:r w:rsidR="005200DB">
        <w:t>-</w:t>
      </w:r>
      <w:r>
        <w:t xml:space="preserve"> </w:t>
      </w:r>
      <w:r w:rsidRPr="00014AFA">
        <w:rPr>
          <w:b/>
          <w:bCs/>
        </w:rPr>
        <w:t>dies sind aber leider erst 13</w:t>
      </w:r>
      <w:r w:rsidR="00151322">
        <w:rPr>
          <w:b/>
          <w:bCs/>
        </w:rPr>
        <w:t>.</w:t>
      </w:r>
      <w:r w:rsidRPr="00014AFA">
        <w:rPr>
          <w:b/>
          <w:bCs/>
        </w:rPr>
        <w:t>612 Mill. Tonnen</w:t>
      </w:r>
      <w:r w:rsidR="00C30DE1">
        <w:rPr>
          <w:b/>
          <w:bCs/>
        </w:rPr>
        <w:t xml:space="preserve"> </w:t>
      </w:r>
      <w:r w:rsidR="006645B5">
        <w:rPr>
          <w:b/>
          <w:bCs/>
        </w:rPr>
        <w:t xml:space="preserve">THG Emissionen </w:t>
      </w:r>
      <w:r w:rsidR="00C30DE1">
        <w:rPr>
          <w:b/>
          <w:bCs/>
        </w:rPr>
        <w:t xml:space="preserve">(aber </w:t>
      </w:r>
      <w:r w:rsidR="00C30DE1" w:rsidRPr="00C30DE1">
        <w:rPr>
          <w:b/>
          <w:bCs/>
        </w:rPr>
        <w:t>22.790 Mill. Tonnen</w:t>
      </w:r>
      <w:r w:rsidR="00C30DE1">
        <w:rPr>
          <w:b/>
          <w:bCs/>
        </w:rPr>
        <w:t xml:space="preserve"> sollten erreicht werden)</w:t>
      </w:r>
      <w:r>
        <w:t xml:space="preserve">. </w:t>
      </w:r>
    </w:p>
    <w:p w14:paraId="05FBC956" w14:textId="77777777" w:rsidR="00005C35" w:rsidRDefault="00005C35" w:rsidP="00112190"/>
    <w:p w14:paraId="07CE0B8A" w14:textId="0E785C77" w:rsidR="00112190" w:rsidRDefault="00C30DE1" w:rsidP="00112190">
      <w:r>
        <w:t>Rechnet man die</w:t>
      </w:r>
      <w:r w:rsidR="00112190">
        <w:t xml:space="preserve"> kooperativen Länder </w:t>
      </w:r>
      <w:r w:rsidR="00342E28">
        <w:t xml:space="preserve">in der Top 10 noch dazu </w:t>
      </w:r>
      <w:r w:rsidR="00B83AFA">
        <w:t xml:space="preserve">mit </w:t>
      </w:r>
      <w:r w:rsidR="006645B5">
        <w:t>jeweils d</w:t>
      </w:r>
      <w:r w:rsidR="00B83AFA">
        <w:t>er</w:t>
      </w:r>
      <w:r w:rsidR="006645B5">
        <w:t xml:space="preserve"> Hälfe von deren derzeitigen Emissionen </w:t>
      </w:r>
      <w:r w:rsidR="00342E28">
        <w:t xml:space="preserve">/2: </w:t>
      </w:r>
      <w:r w:rsidR="00112190">
        <w:t xml:space="preserve">Brasilien 655, Indonesien 620 und Mexiko 409, </w:t>
      </w:r>
      <w:r w:rsidR="00005C35">
        <w:t>kann man die denkbaren Einsparungen</w:t>
      </w:r>
      <w:r w:rsidR="00112190">
        <w:t xml:space="preserve"> </w:t>
      </w:r>
      <w:r w:rsidR="00005C35">
        <w:t>noch ansteigen lassen</w:t>
      </w:r>
      <w:r w:rsidR="00112190">
        <w:t xml:space="preserve"> (</w:t>
      </w:r>
      <w:r w:rsidR="00112190" w:rsidRPr="00342E28">
        <w:rPr>
          <w:b/>
          <w:bCs/>
        </w:rPr>
        <w:t>auf 15</w:t>
      </w:r>
      <w:r w:rsidR="00151322" w:rsidRPr="00342E28">
        <w:rPr>
          <w:b/>
          <w:bCs/>
        </w:rPr>
        <w:t>.</w:t>
      </w:r>
      <w:r w:rsidR="00112190" w:rsidRPr="00342E28">
        <w:rPr>
          <w:b/>
          <w:bCs/>
        </w:rPr>
        <w:t>296</w:t>
      </w:r>
      <w:r w:rsidR="007851FF" w:rsidRPr="00342E28">
        <w:rPr>
          <w:b/>
          <w:bCs/>
        </w:rPr>
        <w:t xml:space="preserve"> Mill. Tonnen</w:t>
      </w:r>
      <w:r w:rsidR="00112190">
        <w:t>), aber man sieht bereits, wie schwer es wird</w:t>
      </w:r>
      <w:r w:rsidR="007851FF">
        <w:t>, denn die gewünschte Einsparung ist immer noch nicht erreicht</w:t>
      </w:r>
      <w:r w:rsidR="00112190">
        <w:t xml:space="preserve">. Man müsste somit dringend bis 2030 weitere Länder </w:t>
      </w:r>
      <w:r>
        <w:t>überzeugen</w:t>
      </w:r>
      <w:r w:rsidR="00112190">
        <w:t xml:space="preserve">, ihre Emissionen zu verringern, </w:t>
      </w:r>
      <w:r w:rsidR="00342E28">
        <w:t>beispielsweise</w:t>
      </w:r>
      <w:r w:rsidR="00112190">
        <w:t xml:space="preserve"> d</w:t>
      </w:r>
      <w:r w:rsidR="00342E28">
        <w:t>ie</w:t>
      </w:r>
      <w:r w:rsidR="00112190">
        <w:t xml:space="preserve"> Türkei, Südkorea, </w:t>
      </w:r>
      <w:proofErr w:type="gramStart"/>
      <w:r w:rsidR="00112190">
        <w:t>Saudi Arabien</w:t>
      </w:r>
      <w:proofErr w:type="gramEnd"/>
      <w:r w:rsidR="00112190">
        <w:t>, Australien, Argentinien und Südafrika.</w:t>
      </w:r>
      <w:r w:rsidR="00112190">
        <w:rPr>
          <w:rStyle w:val="Funotenzeichen"/>
        </w:rPr>
        <w:footnoteReference w:id="11"/>
      </w:r>
      <w:r w:rsidR="00112190">
        <w:t xml:space="preserve"> </w:t>
      </w:r>
      <w:r w:rsidR="007851FF">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5832AD91" w14:textId="77777777" w:rsidR="007C3BA5" w:rsidRDefault="007C3BA5" w:rsidP="007C3BA5"/>
    <w:tbl>
      <w:tblPr>
        <w:tblStyle w:val="Tabellenraster"/>
        <w:tblW w:w="0" w:type="auto"/>
        <w:tblLook w:val="04A0" w:firstRow="1" w:lastRow="0" w:firstColumn="1" w:lastColumn="0" w:noHBand="0" w:noVBand="1"/>
      </w:tblPr>
      <w:tblGrid>
        <w:gridCol w:w="9062"/>
      </w:tblGrid>
      <w:tr w:rsidR="007C3BA5" w14:paraId="55CC2B62" w14:textId="77777777" w:rsidTr="00494B82">
        <w:tc>
          <w:tcPr>
            <w:tcW w:w="9062" w:type="dxa"/>
          </w:tcPr>
          <w:p w14:paraId="2B3971B6" w14:textId="670908AD" w:rsidR="007C3BA5" w:rsidRDefault="007C3BA5" w:rsidP="00494B82">
            <w:r>
              <w:t>China emittiert in 5 Jahren 75 Mrd.</w:t>
            </w:r>
            <w:r w:rsidR="00BD7DF4">
              <w:t xml:space="preserve"> Tonnen Treibhausgase</w:t>
            </w:r>
            <w:r>
              <w:t xml:space="preserve">, in 10 Jahren 150 Mrd. Tonnen Treibhausgase, die USA in 5 Jahren 30 Mrd., in 10 Jahren 60 Mrd., Indien in 5 Jahren ca. 20 Mrd., in 10 Jahren 40 Mrd., die EU in 5 Jahren 17,5 Mrd., in 10 Jahren 35 Mrd. </w:t>
            </w:r>
            <w:r w:rsidR="004A2159" w:rsidRPr="00BD7DF4">
              <w:rPr>
                <w:b/>
                <w:bCs/>
              </w:rPr>
              <w:t xml:space="preserve">Wie bekommt man in 5 Jahren eine 22,7 Mrd. </w:t>
            </w:r>
            <w:r w:rsidR="00BD7DF4" w:rsidRPr="00BD7DF4">
              <w:rPr>
                <w:b/>
                <w:bCs/>
              </w:rPr>
              <w:t>Einsparung</w:t>
            </w:r>
            <w:r w:rsidR="004A2159" w:rsidRPr="00BD7DF4">
              <w:rPr>
                <w:b/>
                <w:bCs/>
              </w:rPr>
              <w:t xml:space="preserve"> hin</w:t>
            </w:r>
            <w:r w:rsidR="00441169" w:rsidRPr="00BD7DF4">
              <w:rPr>
                <w:b/>
                <w:bCs/>
              </w:rPr>
              <w:t xml:space="preserve"> – indem sich die reichen Länder anstrengen!!!!!</w:t>
            </w:r>
          </w:p>
        </w:tc>
      </w:tr>
    </w:tbl>
    <w:p w14:paraId="75299B2B" w14:textId="77777777" w:rsidR="007C3BA5" w:rsidRDefault="007C3BA5" w:rsidP="00A911FC"/>
    <w:p w14:paraId="66157560" w14:textId="0B457BF0" w:rsidR="00C250F8" w:rsidRDefault="00005C35" w:rsidP="00C63846">
      <w:r>
        <w:t>Hier in diesem Text w</w:t>
      </w:r>
      <w:r w:rsidR="00342E28">
        <w:t>u</w:t>
      </w:r>
      <w:r>
        <w:t>rd</w:t>
      </w:r>
      <w:r w:rsidR="00342E28">
        <w:t>e</w:t>
      </w:r>
      <w:r>
        <w:t xml:space="preserve"> in Teil 2 vorgeschlagen, die Zementindustrie </w:t>
      </w:r>
      <w:r w:rsidR="00342E28">
        <w:t>in kurzer Zeit</w:t>
      </w:r>
      <w:r>
        <w:t xml:space="preserve"> ganz zu </w:t>
      </w:r>
      <w:proofErr w:type="spellStart"/>
      <w:r>
        <w:t>dekarbonisieren</w:t>
      </w:r>
      <w:proofErr w:type="spellEnd"/>
      <w:r>
        <w:t xml:space="preserve">, mit </w:t>
      </w:r>
      <w:r w:rsidR="00342E28">
        <w:t>den Post-</w:t>
      </w:r>
      <w:proofErr w:type="spellStart"/>
      <w:r w:rsidR="00342E28">
        <w:t>Combustion</w:t>
      </w:r>
      <w:proofErr w:type="spellEnd"/>
      <w:r w:rsidR="00342E28">
        <w:t xml:space="preserve"> </w:t>
      </w:r>
      <w:r>
        <w:t xml:space="preserve">CO2-Auffangtechnologien und </w:t>
      </w:r>
      <w:r w:rsidR="006645B5">
        <w:t>vielleicht sogar</w:t>
      </w:r>
      <w:r>
        <w:t xml:space="preserve"> mit dem Einlagern von CO2 in Drucktanks. Damit könnte man </w:t>
      </w:r>
      <w:r w:rsidR="00342E28">
        <w:t xml:space="preserve">weltweit </w:t>
      </w:r>
      <w:r w:rsidRPr="006645B5">
        <w:rPr>
          <w:b/>
          <w:bCs/>
        </w:rPr>
        <w:t>2428 Mill. Tonnen CO2</w:t>
      </w:r>
      <w:r w:rsidR="004A2159">
        <w:rPr>
          <w:b/>
          <w:bCs/>
        </w:rPr>
        <w:t xml:space="preserve"> bzw. 2,4 Mrd. Tonnen CO2 Emissionen</w:t>
      </w:r>
      <w:r w:rsidRPr="006645B5">
        <w:rPr>
          <w:b/>
          <w:bCs/>
        </w:rPr>
        <w:t xml:space="preserve"> </w:t>
      </w:r>
      <w:r w:rsidR="00342E28" w:rsidRPr="006645B5">
        <w:rPr>
          <w:b/>
          <w:bCs/>
        </w:rPr>
        <w:t xml:space="preserve">in kurzer Zeit </w:t>
      </w:r>
      <w:r w:rsidRPr="006645B5">
        <w:rPr>
          <w:b/>
          <w:bCs/>
        </w:rPr>
        <w:t>einsparen</w:t>
      </w:r>
      <w:r>
        <w:t xml:space="preserve"> (2428 / 37857 nur die CO2 Emissionen = 0,064 … dies sind 6 % der globalen CO2-Emissionen, wohlgemerkt nicht </w:t>
      </w:r>
      <w:r w:rsidR="00DF1ECA">
        <w:t xml:space="preserve">von </w:t>
      </w:r>
      <w:r>
        <w:t>de</w:t>
      </w:r>
      <w:r w:rsidR="00DF1ECA">
        <w:t>n</w:t>
      </w:r>
      <w:r>
        <w:t xml:space="preserve"> gesamten THG-Emissionen</w:t>
      </w:r>
      <w:r w:rsidR="00F0781F">
        <w:t>, davon sind es 4,5 %</w:t>
      </w:r>
      <w:r w:rsidR="00C30DE1">
        <w:t xml:space="preserve"> (2428 / 53000 = 0,045, also 4,5 %)</w:t>
      </w:r>
      <w:r>
        <w:t>.</w:t>
      </w:r>
      <w:r w:rsidR="00342E28">
        <w:t xml:space="preserve"> </w:t>
      </w:r>
    </w:p>
    <w:p w14:paraId="40AF7663" w14:textId="77777777" w:rsidR="00C63846" w:rsidRDefault="00C63846" w:rsidP="00A911FC"/>
    <w:p w14:paraId="0E8E1633" w14:textId="6DFDAFAD" w:rsidR="00C63846" w:rsidRDefault="00342E28" w:rsidP="00A911FC">
      <w:r>
        <w:t>Man sieht an dieser Zahl, dass es sich lohnt</w:t>
      </w:r>
      <w:r w:rsidR="00C250F8">
        <w:t xml:space="preserve"> könnte</w:t>
      </w:r>
      <w:r>
        <w:t xml:space="preserve">, darüber nachzudenken, wie man weltweit </w:t>
      </w:r>
      <w:r w:rsidR="00B83AFA">
        <w:t xml:space="preserve">schnell </w:t>
      </w:r>
      <w:r>
        <w:t xml:space="preserve">eine gesamte Industrie </w:t>
      </w:r>
      <w:proofErr w:type="spellStart"/>
      <w:r>
        <w:t>dekarboni</w:t>
      </w:r>
      <w:r w:rsidR="00C250F8">
        <w:t>si</w:t>
      </w:r>
      <w:r>
        <w:t>eren</w:t>
      </w:r>
      <w:proofErr w:type="spellEnd"/>
      <w:r>
        <w:t xml:space="preserve"> k</w:t>
      </w:r>
      <w:r w:rsidR="00C250F8">
        <w:t>ö</w:t>
      </w:r>
      <w:r>
        <w:t>n</w:t>
      </w:r>
      <w:r w:rsidR="00C250F8">
        <w:t>nte</w:t>
      </w:r>
      <w:r w:rsidR="00FA7373">
        <w:t xml:space="preserve"> und dies mit den Anstrengungen der Länder kombiniert</w:t>
      </w:r>
      <w:r>
        <w:t xml:space="preserve">: </w:t>
      </w:r>
      <w:r w:rsidRPr="00342E28">
        <w:t>15.296 Mill</w:t>
      </w:r>
      <w:r>
        <w:t>. (das könnten die stärkeren Länder schaffen, bis 2030) + 2428 Mill. Tonnen CO2 aus der Zementindustrie</w:t>
      </w:r>
      <w:r w:rsidR="00C63846">
        <w:t xml:space="preserve"> kämen dann noch dazu</w:t>
      </w:r>
      <w:r>
        <w:t xml:space="preserve"> = </w:t>
      </w:r>
      <w:r w:rsidR="00C63846">
        <w:t xml:space="preserve">dann wäre man schon bei </w:t>
      </w:r>
      <w:r w:rsidR="00C250F8">
        <w:t xml:space="preserve">17.724 Mill. Tonnen … </w:t>
      </w:r>
      <w:r w:rsidR="00C63846">
        <w:t>es gibt aber noch bessere Beispiel</w:t>
      </w:r>
      <w:r w:rsidR="006645B5">
        <w:t>e</w:t>
      </w:r>
      <w:r w:rsidR="00C63846">
        <w:t xml:space="preserve">: </w:t>
      </w:r>
      <w:bookmarkStart w:id="10" w:name="_Hlk204551131"/>
      <w:r w:rsidR="00C63846">
        <w:t>weltweit stoßen alle Kohlekraftwerke 9888 Millionen Tonnen CO2 aus</w:t>
      </w:r>
      <w:r w:rsidR="00BA48A7">
        <w:t xml:space="preserve"> (ca. 10 Mrd. Tonnen CO2)</w:t>
      </w:r>
      <w:r w:rsidR="00C63846">
        <w:t xml:space="preserve"> </w:t>
      </w:r>
      <w:bookmarkEnd w:id="10"/>
      <w:r w:rsidR="00C63846">
        <w:t>(</w:t>
      </w:r>
      <w:r w:rsidR="006645B5">
        <w:t xml:space="preserve">der </w:t>
      </w:r>
      <w:r w:rsidR="00C63846">
        <w:t xml:space="preserve">World Energy Outlook </w:t>
      </w:r>
      <w:r w:rsidR="006645B5">
        <w:t xml:space="preserve">gibt </w:t>
      </w:r>
      <w:r w:rsidR="00C63846">
        <w:t>15330 Millionen Tonnen</w:t>
      </w:r>
      <w:r w:rsidR="006645B5">
        <w:t xml:space="preserve"> an</w:t>
      </w:r>
      <w:r w:rsidR="00C63846">
        <w:t>)</w:t>
      </w:r>
      <w:r w:rsidR="00C63846">
        <w:rPr>
          <w:rStyle w:val="Funotenzeichen"/>
        </w:rPr>
        <w:footnoteReference w:id="12"/>
      </w:r>
      <w:r w:rsidR="00C63846">
        <w:t>, da sind wir bei 1/3 oder ½ der weltweiten CO2 Emissionen (</w:t>
      </w:r>
      <w:r w:rsidR="006645B5">
        <w:t xml:space="preserve">… weltweit sind es </w:t>
      </w:r>
      <w:r w:rsidR="00C63846">
        <w:t xml:space="preserve">37857 </w:t>
      </w:r>
      <w:r w:rsidR="006645B5">
        <w:t xml:space="preserve">Mill. Tonnen </w:t>
      </w:r>
      <w:r w:rsidR="00C63846">
        <w:t xml:space="preserve">CO2  … 53787 </w:t>
      </w:r>
      <w:r w:rsidR="006645B5">
        <w:t xml:space="preserve">Millionen Tonnen </w:t>
      </w:r>
      <w:r w:rsidR="00C63846">
        <w:t xml:space="preserve">THG Emissionen !!!!!), </w:t>
      </w:r>
      <w:r w:rsidR="00B83AFA">
        <w:t>auch da</w:t>
      </w:r>
      <w:r w:rsidR="00C63846">
        <w:t xml:space="preserve"> wäre natürlich mit Post-</w:t>
      </w:r>
      <w:proofErr w:type="spellStart"/>
      <w:r w:rsidR="00C63846">
        <w:t>Combustion</w:t>
      </w:r>
      <w:proofErr w:type="spellEnd"/>
      <w:r w:rsidR="00C63846">
        <w:t xml:space="preserve"> viel zu holen. </w:t>
      </w:r>
    </w:p>
    <w:p w14:paraId="324BAD30" w14:textId="77777777" w:rsidR="00C63846" w:rsidRDefault="00C63846" w:rsidP="00A911FC"/>
    <w:p w14:paraId="7D3B8BB4" w14:textId="31BA32C2" w:rsidR="00C63846" w:rsidRDefault="00C63846" w:rsidP="00A911FC">
      <w:r>
        <w:t xml:space="preserve">Deshalb wäre es eben auch gut, wenn sich die Chemieindustrie </w:t>
      </w:r>
      <w:r w:rsidRPr="00C63846">
        <w:rPr>
          <w:u w:val="single"/>
        </w:rPr>
        <w:t>schnell</w:t>
      </w:r>
      <w:r>
        <w:t xml:space="preserve"> so umbaut, dass sie dieses CO2 auch nutzen kann </w:t>
      </w:r>
      <w:r w:rsidR="00224A2F">
        <w:t xml:space="preserve">und temporär in Dingen zwischenparken kann </w:t>
      </w:r>
      <w:r>
        <w:t xml:space="preserve">… </w:t>
      </w:r>
    </w:p>
    <w:p w14:paraId="34200A05" w14:textId="77777777" w:rsidR="00C63846" w:rsidRDefault="00C63846" w:rsidP="00A911FC"/>
    <w:p w14:paraId="706CEA5E" w14:textId="51D6D618" w:rsidR="00C63846" w:rsidRDefault="00B83AFA" w:rsidP="00C63846">
      <w:r>
        <w:t>Die</w:t>
      </w:r>
      <w:r w:rsidR="00C63846">
        <w:t xml:space="preserve"> gesamten Emissionen </w:t>
      </w:r>
      <w:r>
        <w:t xml:space="preserve">der weltweiten Kohleindustrie </w:t>
      </w:r>
      <w:r w:rsidR="00C63846">
        <w:t>in Drucktanks unterzubringen</w:t>
      </w:r>
      <w:r>
        <w:t xml:space="preserve"> wäre sportlich</w:t>
      </w:r>
      <w:r w:rsidR="00BA48A7">
        <w:t xml:space="preserve">, für 10 Mrd. CO2 bräuchte man pro Jahr / 100 Tonnen = 100 Millionen </w:t>
      </w:r>
      <w:proofErr w:type="gramStart"/>
      <w:r w:rsidR="00BA48A7">
        <w:t>mal</w:t>
      </w:r>
      <w:proofErr w:type="gramEnd"/>
      <w:r w:rsidR="00BA48A7">
        <w:t xml:space="preserve"> einen 100 </w:t>
      </w:r>
      <w:r w:rsidR="00BA48A7">
        <w:lastRenderedPageBreak/>
        <w:t>Tonnen CO2 Drucktank</w:t>
      </w:r>
      <w:r w:rsidR="00BA48A7">
        <w:rPr>
          <w:rStyle w:val="Funotenzeichen"/>
        </w:rPr>
        <w:footnoteReference w:id="13"/>
      </w:r>
      <w:r w:rsidR="00BA48A7">
        <w:t xml:space="preserve">, da ist es besser, erneuerbare Energien aufzubauen und - </w:t>
      </w:r>
      <w:r w:rsidR="00C63846">
        <w:t>vielleicht gibt es doch noch eine</w:t>
      </w:r>
      <w:r w:rsidR="006645B5">
        <w:t xml:space="preserve"> </w:t>
      </w:r>
      <w:r w:rsidR="00C63846">
        <w:t xml:space="preserve">Innovation </w:t>
      </w:r>
      <w:r w:rsidR="00BA48A7">
        <w:t xml:space="preserve">- </w:t>
      </w:r>
      <w:r w:rsidR="00C63846">
        <w:t xml:space="preserve">… </w:t>
      </w:r>
    </w:p>
    <w:p w14:paraId="242B2FC8" w14:textId="77777777" w:rsidR="00C63846" w:rsidRDefault="00C63846" w:rsidP="00C63846"/>
    <w:tbl>
      <w:tblPr>
        <w:tblStyle w:val="Tabellenraster"/>
        <w:tblW w:w="0" w:type="auto"/>
        <w:tblLook w:val="04A0" w:firstRow="1" w:lastRow="0" w:firstColumn="1" w:lastColumn="0" w:noHBand="0" w:noVBand="1"/>
      </w:tblPr>
      <w:tblGrid>
        <w:gridCol w:w="9062"/>
      </w:tblGrid>
      <w:tr w:rsidR="00C63846" w14:paraId="3C61531E" w14:textId="77777777" w:rsidTr="00136C75">
        <w:tc>
          <w:tcPr>
            <w:tcW w:w="9062" w:type="dxa"/>
          </w:tcPr>
          <w:p w14:paraId="1D681103" w14:textId="1828B6C0" w:rsidR="00C63846" w:rsidRDefault="00C63846" w:rsidP="00136C75">
            <w:r>
              <w:t xml:space="preserve">… </w:t>
            </w:r>
            <w:r w:rsidR="007D2AA5">
              <w:t>zum Beispiel</w:t>
            </w:r>
            <w:r>
              <w:t xml:space="preserve"> CO2 zu festem Kohlenstoffpulver umformen. Im Karlsruher Institut für Technologie wird eine solche Technologie erprobt</w:t>
            </w:r>
            <w:r>
              <w:rPr>
                <w:rStyle w:val="Funotenzeichen"/>
              </w:rPr>
              <w:footnoteReference w:id="14"/>
            </w:r>
            <w:r>
              <w:t>, im Verbundvorhaben NECOC</w:t>
            </w:r>
            <w:r>
              <w:rPr>
                <w:rStyle w:val="Funotenzeichen"/>
              </w:rPr>
              <w:footnoteReference w:id="15"/>
            </w:r>
            <w:r>
              <w:t>, federführend ist hier Benjamin Dietrich.</w:t>
            </w:r>
            <w:r>
              <w:rPr>
                <w:rStyle w:val="Funotenzeichen"/>
              </w:rPr>
              <w:footnoteReference w:id="16"/>
            </w:r>
            <w:r>
              <w:t xml:space="preserve"> Hier ist eines seiner aktuellen Projekte.</w:t>
            </w:r>
            <w:r>
              <w:rPr>
                <w:rStyle w:val="Funotenzeichen"/>
              </w:rPr>
              <w:footnoteReference w:id="17"/>
            </w:r>
            <w:r>
              <w:t xml:space="preserve"> Siehe auch dieses </w:t>
            </w:r>
            <w:proofErr w:type="gramStart"/>
            <w:r>
              <w:t>FAZ Video</w:t>
            </w:r>
            <w:proofErr w:type="gramEnd"/>
            <w:r>
              <w:t>.</w:t>
            </w:r>
            <w:r>
              <w:rPr>
                <w:rStyle w:val="Funotenzeichen"/>
              </w:rPr>
              <w:footnoteReference w:id="18"/>
            </w:r>
            <w:r>
              <w:t xml:space="preserve"> </w:t>
            </w:r>
            <w:r w:rsidR="000E2590">
              <w:t>Wenn dies aber nur geht, wenn man Zinn nutzt, dan</w:t>
            </w:r>
            <w:r w:rsidR="007D2AA5">
              <w:t>n ist dies keine Lösung</w:t>
            </w:r>
            <w:r w:rsidR="000E2590">
              <w:t>, da die Zinnvorräte begrenzt sind, s</w:t>
            </w:r>
            <w:r>
              <w:t>iehe am Ende von Teil 2.2 CCS und CCU.</w:t>
            </w:r>
          </w:p>
        </w:tc>
      </w:tr>
    </w:tbl>
    <w:p w14:paraId="2E45C45B" w14:textId="77777777" w:rsidR="00C63846" w:rsidRDefault="00C63846" w:rsidP="00A911FC"/>
    <w:p w14:paraId="4FE6CCCB" w14:textId="0FF83801" w:rsidR="00005C35" w:rsidRDefault="00A911FC" w:rsidP="00A911FC">
      <w:r>
        <w:t xml:space="preserve">Die weltweiten </w:t>
      </w:r>
      <w:r w:rsidRPr="00005C35">
        <w:t>CO2-Emissionen betragen 37857 Mill. Tonnen, die weltweiten Treibhausgasemissionen 53786 Mill. Tonnen</w:t>
      </w:r>
      <w:r>
        <w:t xml:space="preserve">, siehe </w:t>
      </w:r>
      <w:r w:rsidR="006645B5">
        <w:t>die Tabelle:</w:t>
      </w:r>
      <w:r>
        <w:t xml:space="preserve"> </w:t>
      </w:r>
    </w:p>
    <w:p w14:paraId="129433DB" w14:textId="77777777" w:rsidR="00A911FC" w:rsidRDefault="00A911FC" w:rsidP="00A911FC"/>
    <w:p w14:paraId="137C7AE6" w14:textId="2983838D" w:rsidR="005E6E3F" w:rsidRDefault="00A911FC" w:rsidP="00A911FC">
      <w:r w:rsidRPr="00C54E11">
        <w:t>Rangliste der 16 weltweiten Treibhausgas-Emittenten (CO2, Methan, Lachgas und fluorierte Gase</w:t>
      </w:r>
      <w:r>
        <w:t>, THG</w:t>
      </w:r>
      <w:r w:rsidRPr="00C54E11">
        <w:t>)</w:t>
      </w:r>
      <w:r>
        <w:t xml:space="preserve"> und </w:t>
      </w:r>
      <w:proofErr w:type="gramStart"/>
      <w:r>
        <w:t xml:space="preserve">CO2 </w:t>
      </w:r>
      <w:r w:rsidRPr="00C54E11">
        <w:t>,</w:t>
      </w:r>
      <w:proofErr w:type="gramEnd"/>
      <w:r w:rsidRPr="00C54E11">
        <w:t xml:space="preserve"> </w:t>
      </w:r>
      <w:r>
        <w:t>in Megatonnen (</w:t>
      </w:r>
      <w:proofErr w:type="spellStart"/>
      <w:r>
        <w:t>Mt</w:t>
      </w:r>
      <w:proofErr w:type="spellEnd"/>
      <w:r>
        <w:t xml:space="preserve">) = Millionen Tonnen pro Jahr, </w:t>
      </w:r>
      <w:r w:rsidRPr="00C54E11">
        <w:t>aus der EDGAR Datenbank der EU</w:t>
      </w:r>
      <w:r>
        <w:t>, für 2022</w:t>
      </w:r>
      <w:r w:rsidRPr="00C54E11">
        <w:t>.</w:t>
      </w:r>
      <w:r>
        <w:rPr>
          <w:rStyle w:val="Funotenzeichen"/>
        </w:rPr>
        <w:footnoteReference w:id="19"/>
      </w:r>
    </w:p>
    <w:tbl>
      <w:tblPr>
        <w:tblStyle w:val="Tabellenraster"/>
        <w:tblW w:w="0" w:type="auto"/>
        <w:tblLook w:val="04A0" w:firstRow="1" w:lastRow="0" w:firstColumn="1" w:lastColumn="0" w:noHBand="0" w:noVBand="1"/>
      </w:tblPr>
      <w:tblGrid>
        <w:gridCol w:w="988"/>
        <w:gridCol w:w="1701"/>
        <w:gridCol w:w="2268"/>
        <w:gridCol w:w="2303"/>
        <w:gridCol w:w="1802"/>
      </w:tblGrid>
      <w:tr w:rsidR="00A911FC" w14:paraId="78A90C3B" w14:textId="77777777" w:rsidTr="008E5424">
        <w:tc>
          <w:tcPr>
            <w:tcW w:w="988" w:type="dxa"/>
          </w:tcPr>
          <w:p w14:paraId="49DCC0FE" w14:textId="77777777" w:rsidR="00A911FC" w:rsidRDefault="00A911FC" w:rsidP="008E5424">
            <w:r>
              <w:t>Rang</w:t>
            </w:r>
          </w:p>
        </w:tc>
        <w:tc>
          <w:tcPr>
            <w:tcW w:w="1701" w:type="dxa"/>
          </w:tcPr>
          <w:p w14:paraId="34E4ABE9" w14:textId="77777777" w:rsidR="00A911FC" w:rsidRDefault="00A911FC" w:rsidP="008E5424">
            <w:r>
              <w:t>Länder</w:t>
            </w:r>
          </w:p>
        </w:tc>
        <w:tc>
          <w:tcPr>
            <w:tcW w:w="2268" w:type="dxa"/>
          </w:tcPr>
          <w:p w14:paraId="43A3E91A" w14:textId="77777777" w:rsidR="00A911FC" w:rsidRDefault="00A911FC" w:rsidP="008E5424">
            <w:r w:rsidRPr="002A69D1">
              <w:t xml:space="preserve">THG-Emissionen in </w:t>
            </w:r>
            <w:proofErr w:type="spellStart"/>
            <w:r w:rsidRPr="002A69D1">
              <w:t>Mt</w:t>
            </w:r>
            <w:proofErr w:type="spellEnd"/>
          </w:p>
        </w:tc>
        <w:tc>
          <w:tcPr>
            <w:tcW w:w="2303" w:type="dxa"/>
          </w:tcPr>
          <w:p w14:paraId="02327406" w14:textId="77777777" w:rsidR="00A911FC" w:rsidRDefault="00A911FC" w:rsidP="008E5424">
            <w:r>
              <w:t xml:space="preserve">CO2 Emissionen in </w:t>
            </w:r>
            <w:proofErr w:type="spellStart"/>
            <w:r>
              <w:t>Mt</w:t>
            </w:r>
            <w:proofErr w:type="spellEnd"/>
          </w:p>
        </w:tc>
        <w:tc>
          <w:tcPr>
            <w:tcW w:w="1802" w:type="dxa"/>
          </w:tcPr>
          <w:p w14:paraId="6499BB08" w14:textId="77777777" w:rsidR="00A911FC" w:rsidRDefault="00A911FC" w:rsidP="008E5424">
            <w:r>
              <w:t>Anteil in %</w:t>
            </w:r>
          </w:p>
        </w:tc>
      </w:tr>
      <w:tr w:rsidR="00A911FC" w14:paraId="5E3203AC" w14:textId="77777777" w:rsidTr="008E5424">
        <w:tc>
          <w:tcPr>
            <w:tcW w:w="988" w:type="dxa"/>
          </w:tcPr>
          <w:p w14:paraId="08471A9D" w14:textId="77777777" w:rsidR="00A911FC" w:rsidRDefault="00A911FC" w:rsidP="008E5424"/>
        </w:tc>
        <w:tc>
          <w:tcPr>
            <w:tcW w:w="1701" w:type="dxa"/>
          </w:tcPr>
          <w:p w14:paraId="2AD4B128" w14:textId="77777777" w:rsidR="00A911FC" w:rsidRDefault="00A911FC" w:rsidP="008E5424">
            <w:r>
              <w:t>Welt</w:t>
            </w:r>
          </w:p>
        </w:tc>
        <w:tc>
          <w:tcPr>
            <w:tcW w:w="2268" w:type="dxa"/>
          </w:tcPr>
          <w:p w14:paraId="3C9D273E" w14:textId="01EF93CA" w:rsidR="00A911FC" w:rsidRDefault="00A911FC" w:rsidP="008E5424">
            <w:r>
              <w:t>53786</w:t>
            </w:r>
          </w:p>
        </w:tc>
        <w:tc>
          <w:tcPr>
            <w:tcW w:w="2303" w:type="dxa"/>
          </w:tcPr>
          <w:p w14:paraId="73F75BF3" w14:textId="77777777" w:rsidR="00A911FC" w:rsidRDefault="00A911FC" w:rsidP="008E5424">
            <w:r>
              <w:t>37857</w:t>
            </w:r>
          </w:p>
        </w:tc>
        <w:tc>
          <w:tcPr>
            <w:tcW w:w="1802" w:type="dxa"/>
          </w:tcPr>
          <w:p w14:paraId="738F5EBA" w14:textId="77777777" w:rsidR="00A911FC" w:rsidRDefault="00A911FC" w:rsidP="008E5424">
            <w:r>
              <w:t>100</w:t>
            </w:r>
          </w:p>
        </w:tc>
      </w:tr>
      <w:tr w:rsidR="00A911FC" w14:paraId="1D65B72A" w14:textId="77777777" w:rsidTr="008E5424">
        <w:tc>
          <w:tcPr>
            <w:tcW w:w="988" w:type="dxa"/>
          </w:tcPr>
          <w:p w14:paraId="3FC3D24C" w14:textId="77777777" w:rsidR="00A911FC" w:rsidRDefault="00A911FC" w:rsidP="008E5424">
            <w:r>
              <w:t>1</w:t>
            </w:r>
          </w:p>
        </w:tc>
        <w:tc>
          <w:tcPr>
            <w:tcW w:w="1701" w:type="dxa"/>
          </w:tcPr>
          <w:p w14:paraId="56678E44" w14:textId="77777777" w:rsidR="00A911FC" w:rsidRDefault="00A911FC" w:rsidP="008E5424">
            <w:r>
              <w:t>China</w:t>
            </w:r>
          </w:p>
        </w:tc>
        <w:tc>
          <w:tcPr>
            <w:tcW w:w="2268" w:type="dxa"/>
          </w:tcPr>
          <w:p w14:paraId="5DC9ACAE" w14:textId="2CE2554F" w:rsidR="00A911FC" w:rsidRDefault="00A911FC" w:rsidP="008E5424">
            <w:r>
              <w:t>15684</w:t>
            </w:r>
          </w:p>
        </w:tc>
        <w:tc>
          <w:tcPr>
            <w:tcW w:w="2303" w:type="dxa"/>
          </w:tcPr>
          <w:p w14:paraId="1CF27138" w14:textId="77777777" w:rsidR="00A911FC" w:rsidRDefault="00A911FC" w:rsidP="008E5424">
            <w:r>
              <w:t>12466</w:t>
            </w:r>
          </w:p>
        </w:tc>
        <w:tc>
          <w:tcPr>
            <w:tcW w:w="1802" w:type="dxa"/>
          </w:tcPr>
          <w:p w14:paraId="1BEE3B4D" w14:textId="77777777" w:rsidR="00A911FC" w:rsidRDefault="00A911FC" w:rsidP="008E5424">
            <w:r>
              <w:t>29,1</w:t>
            </w:r>
          </w:p>
        </w:tc>
      </w:tr>
      <w:tr w:rsidR="00A911FC" w14:paraId="117B0F75" w14:textId="77777777" w:rsidTr="008E5424">
        <w:tc>
          <w:tcPr>
            <w:tcW w:w="988" w:type="dxa"/>
          </w:tcPr>
          <w:p w14:paraId="623096F4" w14:textId="77777777" w:rsidR="00A911FC" w:rsidRDefault="00A911FC" w:rsidP="008E5424">
            <w:r>
              <w:t>2</w:t>
            </w:r>
          </w:p>
        </w:tc>
        <w:tc>
          <w:tcPr>
            <w:tcW w:w="1701" w:type="dxa"/>
          </w:tcPr>
          <w:p w14:paraId="7D1C0087" w14:textId="77777777" w:rsidR="00A911FC" w:rsidRDefault="00A911FC" w:rsidP="008E5424">
            <w:r>
              <w:t>USA</w:t>
            </w:r>
          </w:p>
        </w:tc>
        <w:tc>
          <w:tcPr>
            <w:tcW w:w="2268" w:type="dxa"/>
          </w:tcPr>
          <w:p w14:paraId="364D3ED8" w14:textId="77777777" w:rsidR="00A911FC" w:rsidRDefault="00A911FC" w:rsidP="008E5424">
            <w:r>
              <w:t>6017</w:t>
            </w:r>
          </w:p>
        </w:tc>
        <w:tc>
          <w:tcPr>
            <w:tcW w:w="2303" w:type="dxa"/>
          </w:tcPr>
          <w:p w14:paraId="4C70AB6D" w14:textId="77777777" w:rsidR="00A911FC" w:rsidRDefault="00A911FC" w:rsidP="008E5424">
            <w:r>
              <w:t>4752</w:t>
            </w:r>
          </w:p>
        </w:tc>
        <w:tc>
          <w:tcPr>
            <w:tcW w:w="1802" w:type="dxa"/>
          </w:tcPr>
          <w:p w14:paraId="196D4EF7" w14:textId="77777777" w:rsidR="00A911FC" w:rsidRDefault="00A911FC" w:rsidP="008E5424">
            <w:r>
              <w:t>11,2</w:t>
            </w:r>
          </w:p>
        </w:tc>
      </w:tr>
      <w:tr w:rsidR="00A911FC" w14:paraId="6089E70E" w14:textId="77777777" w:rsidTr="008E5424">
        <w:tc>
          <w:tcPr>
            <w:tcW w:w="988" w:type="dxa"/>
          </w:tcPr>
          <w:p w14:paraId="390CB80C" w14:textId="77777777" w:rsidR="00A911FC" w:rsidRDefault="00A911FC" w:rsidP="008E5424">
            <w:r>
              <w:t>3</w:t>
            </w:r>
          </w:p>
        </w:tc>
        <w:tc>
          <w:tcPr>
            <w:tcW w:w="1701" w:type="dxa"/>
          </w:tcPr>
          <w:p w14:paraId="37FD7535" w14:textId="77777777" w:rsidR="00A911FC" w:rsidRDefault="00A911FC" w:rsidP="008E5424">
            <w:r>
              <w:t>Indien</w:t>
            </w:r>
          </w:p>
        </w:tc>
        <w:tc>
          <w:tcPr>
            <w:tcW w:w="2268" w:type="dxa"/>
          </w:tcPr>
          <w:p w14:paraId="11864BB9" w14:textId="77777777" w:rsidR="00A911FC" w:rsidRDefault="00A911FC" w:rsidP="008E5424">
            <w:r>
              <w:t>3943</w:t>
            </w:r>
          </w:p>
        </w:tc>
        <w:tc>
          <w:tcPr>
            <w:tcW w:w="2303" w:type="dxa"/>
          </w:tcPr>
          <w:p w14:paraId="6813A709" w14:textId="77777777" w:rsidR="00A911FC" w:rsidRDefault="00A911FC" w:rsidP="008E5424">
            <w:r>
              <w:t>2648</w:t>
            </w:r>
          </w:p>
        </w:tc>
        <w:tc>
          <w:tcPr>
            <w:tcW w:w="1802" w:type="dxa"/>
          </w:tcPr>
          <w:p w14:paraId="54FBF243" w14:textId="77777777" w:rsidR="00A911FC" w:rsidRDefault="00A911FC" w:rsidP="008E5424">
            <w:r>
              <w:t>7,3</w:t>
            </w:r>
          </w:p>
        </w:tc>
      </w:tr>
      <w:tr w:rsidR="00A911FC" w14:paraId="759CBE04" w14:textId="77777777" w:rsidTr="008E5424">
        <w:tc>
          <w:tcPr>
            <w:tcW w:w="988" w:type="dxa"/>
          </w:tcPr>
          <w:p w14:paraId="2571E173" w14:textId="77777777" w:rsidR="00A911FC" w:rsidRDefault="00A911FC" w:rsidP="008E5424">
            <w:r>
              <w:t>4</w:t>
            </w:r>
          </w:p>
        </w:tc>
        <w:tc>
          <w:tcPr>
            <w:tcW w:w="1701" w:type="dxa"/>
          </w:tcPr>
          <w:p w14:paraId="1CE2B8B2" w14:textId="77777777" w:rsidR="00A911FC" w:rsidRDefault="00A911FC" w:rsidP="008E5424">
            <w:r>
              <w:t>EU total</w:t>
            </w:r>
          </w:p>
        </w:tc>
        <w:tc>
          <w:tcPr>
            <w:tcW w:w="2268" w:type="dxa"/>
          </w:tcPr>
          <w:p w14:paraId="40D435D1" w14:textId="77777777" w:rsidR="00A911FC" w:rsidRDefault="00A911FC" w:rsidP="008E5424">
            <w:r>
              <w:t>3587</w:t>
            </w:r>
          </w:p>
        </w:tc>
        <w:tc>
          <w:tcPr>
            <w:tcW w:w="2303" w:type="dxa"/>
          </w:tcPr>
          <w:p w14:paraId="282172C3" w14:textId="77777777" w:rsidR="00A911FC" w:rsidRDefault="00A911FC" w:rsidP="008E5424">
            <w:r>
              <w:t>2774</w:t>
            </w:r>
          </w:p>
        </w:tc>
        <w:tc>
          <w:tcPr>
            <w:tcW w:w="1802" w:type="dxa"/>
          </w:tcPr>
          <w:p w14:paraId="263C6288" w14:textId="77777777" w:rsidR="00A911FC" w:rsidRDefault="00A911FC" w:rsidP="008E5424">
            <w:r>
              <w:t>6,6</w:t>
            </w:r>
          </w:p>
        </w:tc>
      </w:tr>
      <w:tr w:rsidR="00A911FC" w14:paraId="08015B85" w14:textId="77777777" w:rsidTr="008E5424">
        <w:tc>
          <w:tcPr>
            <w:tcW w:w="988" w:type="dxa"/>
          </w:tcPr>
          <w:p w14:paraId="19328BA7" w14:textId="77777777" w:rsidR="00A911FC" w:rsidRDefault="00A911FC" w:rsidP="008E5424">
            <w:r>
              <w:t>5</w:t>
            </w:r>
          </w:p>
        </w:tc>
        <w:tc>
          <w:tcPr>
            <w:tcW w:w="1701" w:type="dxa"/>
          </w:tcPr>
          <w:p w14:paraId="4324443C" w14:textId="77777777" w:rsidR="00A911FC" w:rsidRDefault="00A911FC" w:rsidP="008E5424">
            <w:r>
              <w:t>Russland</w:t>
            </w:r>
          </w:p>
        </w:tc>
        <w:tc>
          <w:tcPr>
            <w:tcW w:w="2268" w:type="dxa"/>
          </w:tcPr>
          <w:p w14:paraId="615A7EF9" w14:textId="77777777" w:rsidR="00A911FC" w:rsidRDefault="00A911FC" w:rsidP="008E5424">
            <w:r>
              <w:t>2579</w:t>
            </w:r>
          </w:p>
        </w:tc>
        <w:tc>
          <w:tcPr>
            <w:tcW w:w="2303" w:type="dxa"/>
          </w:tcPr>
          <w:p w14:paraId="67C5F3BE" w14:textId="77777777" w:rsidR="00A911FC" w:rsidRDefault="00A911FC" w:rsidP="008E5424">
            <w:r>
              <w:t>1942</w:t>
            </w:r>
          </w:p>
        </w:tc>
        <w:tc>
          <w:tcPr>
            <w:tcW w:w="1802" w:type="dxa"/>
          </w:tcPr>
          <w:p w14:paraId="30249F55" w14:textId="77777777" w:rsidR="00A911FC" w:rsidRDefault="00A911FC" w:rsidP="008E5424">
            <w:r>
              <w:t>4,8</w:t>
            </w:r>
          </w:p>
        </w:tc>
      </w:tr>
      <w:tr w:rsidR="00A911FC" w14:paraId="53672ECB" w14:textId="77777777" w:rsidTr="008E5424">
        <w:tc>
          <w:tcPr>
            <w:tcW w:w="988" w:type="dxa"/>
          </w:tcPr>
          <w:p w14:paraId="3720B66A" w14:textId="77777777" w:rsidR="00A911FC" w:rsidRDefault="00A911FC" w:rsidP="008E5424">
            <w:r>
              <w:t>6</w:t>
            </w:r>
          </w:p>
        </w:tc>
        <w:tc>
          <w:tcPr>
            <w:tcW w:w="1701" w:type="dxa"/>
          </w:tcPr>
          <w:p w14:paraId="7D02C3B7" w14:textId="77777777" w:rsidR="00A911FC" w:rsidRDefault="00A911FC" w:rsidP="008E5424">
            <w:r>
              <w:t>Brasilien</w:t>
            </w:r>
          </w:p>
        </w:tc>
        <w:tc>
          <w:tcPr>
            <w:tcW w:w="2268" w:type="dxa"/>
          </w:tcPr>
          <w:p w14:paraId="6E1B410F" w14:textId="77777777" w:rsidR="00A911FC" w:rsidRDefault="00A911FC" w:rsidP="008E5424">
            <w:r>
              <w:t>1310</w:t>
            </w:r>
          </w:p>
        </w:tc>
        <w:tc>
          <w:tcPr>
            <w:tcW w:w="2303" w:type="dxa"/>
          </w:tcPr>
          <w:p w14:paraId="269BC6C6" w14:textId="77777777" w:rsidR="00A911FC" w:rsidRDefault="00A911FC" w:rsidP="008E5424">
            <w:r>
              <w:t>489</w:t>
            </w:r>
          </w:p>
        </w:tc>
        <w:tc>
          <w:tcPr>
            <w:tcW w:w="1802" w:type="dxa"/>
          </w:tcPr>
          <w:p w14:paraId="41256A2E" w14:textId="77777777" w:rsidR="00A911FC" w:rsidRDefault="00A911FC" w:rsidP="008E5424">
            <w:r>
              <w:t>2,4</w:t>
            </w:r>
          </w:p>
        </w:tc>
      </w:tr>
      <w:tr w:rsidR="00A911FC" w14:paraId="28660169" w14:textId="77777777" w:rsidTr="008E5424">
        <w:tc>
          <w:tcPr>
            <w:tcW w:w="988" w:type="dxa"/>
          </w:tcPr>
          <w:p w14:paraId="387AF18C" w14:textId="77777777" w:rsidR="00A911FC" w:rsidRDefault="00A911FC" w:rsidP="008E5424">
            <w:r>
              <w:t>7</w:t>
            </w:r>
          </w:p>
        </w:tc>
        <w:tc>
          <w:tcPr>
            <w:tcW w:w="1701" w:type="dxa"/>
          </w:tcPr>
          <w:p w14:paraId="5F914C7E" w14:textId="77777777" w:rsidR="00A911FC" w:rsidRDefault="00A911FC" w:rsidP="008E5424">
            <w:r>
              <w:t>Indonesien</w:t>
            </w:r>
          </w:p>
        </w:tc>
        <w:tc>
          <w:tcPr>
            <w:tcW w:w="2268" w:type="dxa"/>
          </w:tcPr>
          <w:p w14:paraId="6430664C" w14:textId="77777777" w:rsidR="00A911FC" w:rsidRDefault="00A911FC" w:rsidP="008E5424">
            <w:r>
              <w:t>1240</w:t>
            </w:r>
          </w:p>
        </w:tc>
        <w:tc>
          <w:tcPr>
            <w:tcW w:w="2303" w:type="dxa"/>
          </w:tcPr>
          <w:p w14:paraId="2FD15A5C" w14:textId="77777777" w:rsidR="00A911FC" w:rsidRDefault="00A911FC" w:rsidP="008E5424">
            <w:r>
              <w:t>602</w:t>
            </w:r>
          </w:p>
        </w:tc>
        <w:tc>
          <w:tcPr>
            <w:tcW w:w="1802" w:type="dxa"/>
          </w:tcPr>
          <w:p w14:paraId="0D8452B7" w14:textId="77777777" w:rsidR="00A911FC" w:rsidRDefault="00A911FC" w:rsidP="008E5424">
            <w:r>
              <w:t>2,3</w:t>
            </w:r>
          </w:p>
        </w:tc>
      </w:tr>
      <w:tr w:rsidR="00A911FC" w14:paraId="2564EBD1" w14:textId="77777777" w:rsidTr="008E5424">
        <w:tc>
          <w:tcPr>
            <w:tcW w:w="988" w:type="dxa"/>
          </w:tcPr>
          <w:p w14:paraId="6C50E532" w14:textId="77777777" w:rsidR="00A911FC" w:rsidRDefault="00A911FC" w:rsidP="008E5424">
            <w:r>
              <w:t>8</w:t>
            </w:r>
          </w:p>
        </w:tc>
        <w:tc>
          <w:tcPr>
            <w:tcW w:w="1701" w:type="dxa"/>
          </w:tcPr>
          <w:p w14:paraId="76759703" w14:textId="77777777" w:rsidR="00A911FC" w:rsidRDefault="00A911FC" w:rsidP="008E5424">
            <w:r>
              <w:t>Japan</w:t>
            </w:r>
          </w:p>
        </w:tc>
        <w:tc>
          <w:tcPr>
            <w:tcW w:w="2268" w:type="dxa"/>
          </w:tcPr>
          <w:p w14:paraId="182F4501" w14:textId="77777777" w:rsidR="00A911FC" w:rsidRDefault="00A911FC" w:rsidP="008E5424">
            <w:r>
              <w:t>1182</w:t>
            </w:r>
          </w:p>
        </w:tc>
        <w:tc>
          <w:tcPr>
            <w:tcW w:w="2303" w:type="dxa"/>
          </w:tcPr>
          <w:p w14:paraId="6876F507" w14:textId="77777777" w:rsidR="00A911FC" w:rsidRDefault="00A911FC" w:rsidP="008E5424">
            <w:r>
              <w:t>1084</w:t>
            </w:r>
          </w:p>
        </w:tc>
        <w:tc>
          <w:tcPr>
            <w:tcW w:w="1802" w:type="dxa"/>
          </w:tcPr>
          <w:p w14:paraId="36A2FA31" w14:textId="77777777" w:rsidR="00A911FC" w:rsidRDefault="00A911FC" w:rsidP="008E5424">
            <w:r>
              <w:t>2,2</w:t>
            </w:r>
          </w:p>
        </w:tc>
      </w:tr>
      <w:tr w:rsidR="00A911FC" w14:paraId="1612F226" w14:textId="77777777" w:rsidTr="008E5424">
        <w:tc>
          <w:tcPr>
            <w:tcW w:w="988" w:type="dxa"/>
          </w:tcPr>
          <w:p w14:paraId="2BB76561" w14:textId="77777777" w:rsidR="00A911FC" w:rsidRDefault="00A911FC" w:rsidP="008E5424">
            <w:r>
              <w:t>9</w:t>
            </w:r>
          </w:p>
        </w:tc>
        <w:tc>
          <w:tcPr>
            <w:tcW w:w="1701" w:type="dxa"/>
          </w:tcPr>
          <w:p w14:paraId="35B8F369" w14:textId="77777777" w:rsidR="00A911FC" w:rsidRDefault="00A911FC" w:rsidP="008E5424">
            <w:r>
              <w:t>Iran</w:t>
            </w:r>
          </w:p>
        </w:tc>
        <w:tc>
          <w:tcPr>
            <w:tcW w:w="2268" w:type="dxa"/>
          </w:tcPr>
          <w:p w14:paraId="135ECD54" w14:textId="77777777" w:rsidR="00A911FC" w:rsidRDefault="00A911FC" w:rsidP="008E5424">
            <w:r>
              <w:t>951</w:t>
            </w:r>
          </w:p>
        </w:tc>
        <w:tc>
          <w:tcPr>
            <w:tcW w:w="2303" w:type="dxa"/>
          </w:tcPr>
          <w:p w14:paraId="36F7BC40" w14:textId="77777777" w:rsidR="00A911FC" w:rsidRDefault="00A911FC" w:rsidP="008E5424">
            <w:r>
              <w:t>710</w:t>
            </w:r>
          </w:p>
        </w:tc>
        <w:tc>
          <w:tcPr>
            <w:tcW w:w="1802" w:type="dxa"/>
          </w:tcPr>
          <w:p w14:paraId="58FDA795" w14:textId="77777777" w:rsidR="00A911FC" w:rsidRDefault="00A911FC" w:rsidP="008E5424">
            <w:r>
              <w:t>1,7</w:t>
            </w:r>
          </w:p>
        </w:tc>
      </w:tr>
      <w:tr w:rsidR="00A911FC" w14:paraId="0B543C91" w14:textId="77777777" w:rsidTr="008E5424">
        <w:tc>
          <w:tcPr>
            <w:tcW w:w="988" w:type="dxa"/>
          </w:tcPr>
          <w:p w14:paraId="6FE0484F" w14:textId="77777777" w:rsidR="00A911FC" w:rsidRDefault="00A911FC" w:rsidP="008E5424">
            <w:r>
              <w:t>10</w:t>
            </w:r>
          </w:p>
        </w:tc>
        <w:tc>
          <w:tcPr>
            <w:tcW w:w="1701" w:type="dxa"/>
          </w:tcPr>
          <w:p w14:paraId="0A42FADC" w14:textId="77777777" w:rsidR="00A911FC" w:rsidRDefault="00A911FC" w:rsidP="008E5424">
            <w:proofErr w:type="gramStart"/>
            <w:r>
              <w:t>Saudi Arabien</w:t>
            </w:r>
            <w:proofErr w:type="gramEnd"/>
          </w:p>
        </w:tc>
        <w:tc>
          <w:tcPr>
            <w:tcW w:w="2268" w:type="dxa"/>
          </w:tcPr>
          <w:p w14:paraId="469E7CA6" w14:textId="77777777" w:rsidR="00A911FC" w:rsidRDefault="00A911FC" w:rsidP="008E5424">
            <w:r>
              <w:t>810</w:t>
            </w:r>
          </w:p>
        </w:tc>
        <w:tc>
          <w:tcPr>
            <w:tcW w:w="2303" w:type="dxa"/>
          </w:tcPr>
          <w:p w14:paraId="4920C505" w14:textId="77777777" w:rsidR="00A911FC" w:rsidRDefault="00A911FC" w:rsidP="008E5424">
            <w:r>
              <w:t>586</w:t>
            </w:r>
          </w:p>
        </w:tc>
        <w:tc>
          <w:tcPr>
            <w:tcW w:w="1802" w:type="dxa"/>
          </w:tcPr>
          <w:p w14:paraId="09332D0F" w14:textId="77777777" w:rsidR="00A911FC" w:rsidRDefault="00A911FC" w:rsidP="008E5424">
            <w:r>
              <w:t>1,5</w:t>
            </w:r>
          </w:p>
        </w:tc>
      </w:tr>
      <w:tr w:rsidR="00A911FC" w14:paraId="718B6C7C" w14:textId="77777777" w:rsidTr="008E5424">
        <w:tc>
          <w:tcPr>
            <w:tcW w:w="988" w:type="dxa"/>
          </w:tcPr>
          <w:p w14:paraId="39A44F48" w14:textId="77777777" w:rsidR="00A911FC" w:rsidRDefault="00A911FC" w:rsidP="008E5424">
            <w:r>
              <w:t>11</w:t>
            </w:r>
          </w:p>
        </w:tc>
        <w:tc>
          <w:tcPr>
            <w:tcW w:w="1701" w:type="dxa"/>
          </w:tcPr>
          <w:p w14:paraId="6F82575E" w14:textId="77777777" w:rsidR="00A911FC" w:rsidRDefault="00A911FC" w:rsidP="008E5424">
            <w:r>
              <w:t>Deutschland</w:t>
            </w:r>
          </w:p>
        </w:tc>
        <w:tc>
          <w:tcPr>
            <w:tcW w:w="2268" w:type="dxa"/>
          </w:tcPr>
          <w:p w14:paraId="765EA5A9" w14:textId="77777777" w:rsidR="00A911FC" w:rsidRDefault="00A911FC" w:rsidP="008E5424">
            <w:r>
              <w:t>784</w:t>
            </w:r>
          </w:p>
        </w:tc>
        <w:tc>
          <w:tcPr>
            <w:tcW w:w="2303" w:type="dxa"/>
          </w:tcPr>
          <w:p w14:paraId="28062F9E" w14:textId="77777777" w:rsidR="00A911FC" w:rsidRDefault="00A911FC" w:rsidP="008E5424">
            <w:r>
              <w:t>665</w:t>
            </w:r>
          </w:p>
        </w:tc>
        <w:tc>
          <w:tcPr>
            <w:tcW w:w="1802" w:type="dxa"/>
          </w:tcPr>
          <w:p w14:paraId="105D978B" w14:textId="77777777" w:rsidR="00A911FC" w:rsidRDefault="00A911FC" w:rsidP="008E5424">
            <w:r>
              <w:t>1,4 (CO2: 1,7 %)</w:t>
            </w:r>
          </w:p>
        </w:tc>
      </w:tr>
      <w:tr w:rsidR="00A911FC" w14:paraId="70232D8B" w14:textId="77777777" w:rsidTr="008E5424">
        <w:tc>
          <w:tcPr>
            <w:tcW w:w="988" w:type="dxa"/>
          </w:tcPr>
          <w:p w14:paraId="0CCDCBB5" w14:textId="77777777" w:rsidR="00A911FC" w:rsidRDefault="00A911FC" w:rsidP="008E5424">
            <w:r>
              <w:t>12</w:t>
            </w:r>
          </w:p>
        </w:tc>
        <w:tc>
          <w:tcPr>
            <w:tcW w:w="1701" w:type="dxa"/>
          </w:tcPr>
          <w:p w14:paraId="4E0C9F91" w14:textId="77777777" w:rsidR="00A911FC" w:rsidRDefault="00A911FC" w:rsidP="008E5424">
            <w:r>
              <w:t>Kanada</w:t>
            </w:r>
          </w:p>
        </w:tc>
        <w:tc>
          <w:tcPr>
            <w:tcW w:w="2268" w:type="dxa"/>
          </w:tcPr>
          <w:p w14:paraId="55525C16" w14:textId="77777777" w:rsidR="00A911FC" w:rsidRDefault="00A911FC" w:rsidP="008E5424">
            <w:r>
              <w:t>756</w:t>
            </w:r>
          </w:p>
        </w:tc>
        <w:tc>
          <w:tcPr>
            <w:tcW w:w="2303" w:type="dxa"/>
          </w:tcPr>
          <w:p w14:paraId="53A38CBC" w14:textId="77777777" w:rsidR="00A911FC" w:rsidRDefault="00A911FC" w:rsidP="008E5424">
            <w:r>
              <w:t>563</w:t>
            </w:r>
          </w:p>
        </w:tc>
        <w:tc>
          <w:tcPr>
            <w:tcW w:w="1802" w:type="dxa"/>
          </w:tcPr>
          <w:p w14:paraId="445AF2D8" w14:textId="77777777" w:rsidR="00A911FC" w:rsidRDefault="00A911FC" w:rsidP="008E5424">
            <w:r>
              <w:t>1,4</w:t>
            </w:r>
          </w:p>
        </w:tc>
      </w:tr>
      <w:tr w:rsidR="00A911FC" w14:paraId="10552922" w14:textId="77777777" w:rsidTr="008E5424">
        <w:tc>
          <w:tcPr>
            <w:tcW w:w="988" w:type="dxa"/>
          </w:tcPr>
          <w:p w14:paraId="10972EFA" w14:textId="77777777" w:rsidR="00A911FC" w:rsidRDefault="00A911FC" w:rsidP="008E5424">
            <w:r>
              <w:t>13</w:t>
            </w:r>
          </w:p>
        </w:tc>
        <w:tc>
          <w:tcPr>
            <w:tcW w:w="1701" w:type="dxa"/>
          </w:tcPr>
          <w:p w14:paraId="12F1DB81" w14:textId="77777777" w:rsidR="00A911FC" w:rsidRDefault="00A911FC" w:rsidP="008E5424">
            <w:r>
              <w:t>Int. Shipping</w:t>
            </w:r>
          </w:p>
        </w:tc>
        <w:tc>
          <w:tcPr>
            <w:tcW w:w="2268" w:type="dxa"/>
          </w:tcPr>
          <w:p w14:paraId="637E9D8E" w14:textId="77777777" w:rsidR="00A911FC" w:rsidRDefault="00A911FC" w:rsidP="008E5424">
            <w:r>
              <w:t>750</w:t>
            </w:r>
          </w:p>
        </w:tc>
        <w:tc>
          <w:tcPr>
            <w:tcW w:w="2303" w:type="dxa"/>
          </w:tcPr>
          <w:p w14:paraId="0B6F4B8C" w14:textId="77777777" w:rsidR="00A911FC" w:rsidRDefault="00A911FC" w:rsidP="008E5424">
            <w:r>
              <w:t>699</w:t>
            </w:r>
          </w:p>
        </w:tc>
        <w:tc>
          <w:tcPr>
            <w:tcW w:w="1802" w:type="dxa"/>
          </w:tcPr>
          <w:p w14:paraId="47B1F01B" w14:textId="77777777" w:rsidR="00A911FC" w:rsidRDefault="00A911FC" w:rsidP="008E5424">
            <w:r>
              <w:t>1,4</w:t>
            </w:r>
          </w:p>
        </w:tc>
      </w:tr>
      <w:tr w:rsidR="00A911FC" w14:paraId="6E0A2D9D" w14:textId="77777777" w:rsidTr="008E5424">
        <w:tc>
          <w:tcPr>
            <w:tcW w:w="988" w:type="dxa"/>
          </w:tcPr>
          <w:p w14:paraId="2E17B15A" w14:textId="77777777" w:rsidR="00A911FC" w:rsidRDefault="00A911FC" w:rsidP="008E5424">
            <w:r>
              <w:t>14</w:t>
            </w:r>
          </w:p>
        </w:tc>
        <w:tc>
          <w:tcPr>
            <w:tcW w:w="1701" w:type="dxa"/>
          </w:tcPr>
          <w:p w14:paraId="5DFBA5C8" w14:textId="77777777" w:rsidR="00A911FC" w:rsidRDefault="00A911FC" w:rsidP="008E5424">
            <w:r>
              <w:t>Südkorea</w:t>
            </w:r>
          </w:p>
        </w:tc>
        <w:tc>
          <w:tcPr>
            <w:tcW w:w="2268" w:type="dxa"/>
          </w:tcPr>
          <w:p w14:paraId="1A13CC90" w14:textId="77777777" w:rsidR="00A911FC" w:rsidRDefault="00A911FC" w:rsidP="008E5424">
            <w:r>
              <w:t>725</w:t>
            </w:r>
          </w:p>
        </w:tc>
        <w:tc>
          <w:tcPr>
            <w:tcW w:w="2303" w:type="dxa"/>
          </w:tcPr>
          <w:p w14:paraId="049B812A" w14:textId="77777777" w:rsidR="00A911FC" w:rsidRDefault="00A911FC" w:rsidP="008E5424">
            <w:r>
              <w:t>626</w:t>
            </w:r>
          </w:p>
        </w:tc>
        <w:tc>
          <w:tcPr>
            <w:tcW w:w="1802" w:type="dxa"/>
          </w:tcPr>
          <w:p w14:paraId="5CB6DB5C" w14:textId="77777777" w:rsidR="00A911FC" w:rsidRDefault="00A911FC" w:rsidP="008E5424">
            <w:r>
              <w:t>1,3</w:t>
            </w:r>
          </w:p>
        </w:tc>
      </w:tr>
      <w:tr w:rsidR="00A911FC" w14:paraId="6570D736" w14:textId="77777777" w:rsidTr="008E5424">
        <w:tc>
          <w:tcPr>
            <w:tcW w:w="988" w:type="dxa"/>
          </w:tcPr>
          <w:p w14:paraId="1784CE08" w14:textId="77777777" w:rsidR="00A911FC" w:rsidRDefault="00A911FC" w:rsidP="008E5424">
            <w:r>
              <w:t>15</w:t>
            </w:r>
          </w:p>
        </w:tc>
        <w:tc>
          <w:tcPr>
            <w:tcW w:w="1701" w:type="dxa"/>
          </w:tcPr>
          <w:p w14:paraId="5CE0D542" w14:textId="77777777" w:rsidR="00A911FC" w:rsidRDefault="00A911FC" w:rsidP="008E5424">
            <w:r>
              <w:t>Türkei</w:t>
            </w:r>
          </w:p>
        </w:tc>
        <w:tc>
          <w:tcPr>
            <w:tcW w:w="2268" w:type="dxa"/>
          </w:tcPr>
          <w:p w14:paraId="38622257" w14:textId="77777777" w:rsidR="00A911FC" w:rsidRDefault="00A911FC" w:rsidP="008E5424">
            <w:r>
              <w:t>687</w:t>
            </w:r>
          </w:p>
        </w:tc>
        <w:tc>
          <w:tcPr>
            <w:tcW w:w="2303" w:type="dxa"/>
          </w:tcPr>
          <w:p w14:paraId="27CC2385" w14:textId="77777777" w:rsidR="00A911FC" w:rsidRDefault="00A911FC" w:rsidP="008E5424">
            <w:r>
              <w:t>449</w:t>
            </w:r>
          </w:p>
        </w:tc>
        <w:tc>
          <w:tcPr>
            <w:tcW w:w="1802" w:type="dxa"/>
          </w:tcPr>
          <w:p w14:paraId="5D7B7CD5" w14:textId="77777777" w:rsidR="00A911FC" w:rsidRDefault="00A911FC" w:rsidP="008E5424">
            <w:r>
              <w:t>1,2</w:t>
            </w:r>
          </w:p>
        </w:tc>
      </w:tr>
      <w:tr w:rsidR="00A911FC" w14:paraId="06690339" w14:textId="77777777" w:rsidTr="008E5424">
        <w:tc>
          <w:tcPr>
            <w:tcW w:w="988" w:type="dxa"/>
          </w:tcPr>
          <w:p w14:paraId="34FD18AC" w14:textId="77777777" w:rsidR="00A911FC" w:rsidRDefault="00A911FC" w:rsidP="008E5424">
            <w:r>
              <w:t>16</w:t>
            </w:r>
          </w:p>
        </w:tc>
        <w:tc>
          <w:tcPr>
            <w:tcW w:w="1701" w:type="dxa"/>
          </w:tcPr>
          <w:p w14:paraId="6CA84118" w14:textId="77777777" w:rsidR="00A911FC" w:rsidRDefault="00A911FC" w:rsidP="008E5424">
            <w:r>
              <w:t>Int. Aviation</w:t>
            </w:r>
          </w:p>
        </w:tc>
        <w:tc>
          <w:tcPr>
            <w:tcW w:w="2268" w:type="dxa"/>
          </w:tcPr>
          <w:p w14:paraId="0DD621EB" w14:textId="77777777" w:rsidR="00A911FC" w:rsidRDefault="00A911FC" w:rsidP="008E5424">
            <w:r>
              <w:t>425</w:t>
            </w:r>
          </w:p>
        </w:tc>
        <w:tc>
          <w:tcPr>
            <w:tcW w:w="2303" w:type="dxa"/>
          </w:tcPr>
          <w:p w14:paraId="6ADFF2EF" w14:textId="77777777" w:rsidR="00A911FC" w:rsidRDefault="00A911FC" w:rsidP="008E5424">
            <w:r>
              <w:t>390</w:t>
            </w:r>
          </w:p>
        </w:tc>
        <w:tc>
          <w:tcPr>
            <w:tcW w:w="1802" w:type="dxa"/>
          </w:tcPr>
          <w:p w14:paraId="2C77AE5D" w14:textId="77777777" w:rsidR="00A911FC" w:rsidRDefault="00A911FC" w:rsidP="008E5424">
            <w:r>
              <w:t>0,7</w:t>
            </w:r>
          </w:p>
        </w:tc>
      </w:tr>
      <w:tr w:rsidR="00A911FC" w14:paraId="7DCA0648" w14:textId="77777777" w:rsidTr="008E5424">
        <w:tc>
          <w:tcPr>
            <w:tcW w:w="988" w:type="dxa"/>
          </w:tcPr>
          <w:p w14:paraId="05AD6898" w14:textId="77777777" w:rsidR="00A911FC" w:rsidRDefault="00A911FC" w:rsidP="008E5424"/>
        </w:tc>
        <w:tc>
          <w:tcPr>
            <w:tcW w:w="1701" w:type="dxa"/>
          </w:tcPr>
          <w:p w14:paraId="68923C40" w14:textId="77777777" w:rsidR="00A911FC" w:rsidRDefault="00A911FC" w:rsidP="008E5424">
            <w:r>
              <w:t>1-16 insgesamt</w:t>
            </w:r>
          </w:p>
        </w:tc>
        <w:tc>
          <w:tcPr>
            <w:tcW w:w="2268" w:type="dxa"/>
          </w:tcPr>
          <w:p w14:paraId="4D1E4375" w14:textId="77777777" w:rsidR="00A911FC" w:rsidRDefault="00A911FC" w:rsidP="008E5424">
            <w:r>
              <w:t>39234</w:t>
            </w:r>
          </w:p>
        </w:tc>
        <w:tc>
          <w:tcPr>
            <w:tcW w:w="2303" w:type="dxa"/>
          </w:tcPr>
          <w:p w14:paraId="1D0EC209" w14:textId="77777777" w:rsidR="00A911FC" w:rsidRDefault="00A911FC" w:rsidP="008E5424"/>
        </w:tc>
        <w:tc>
          <w:tcPr>
            <w:tcW w:w="1802" w:type="dxa"/>
          </w:tcPr>
          <w:p w14:paraId="5A36A7A3" w14:textId="77777777" w:rsidR="00A911FC" w:rsidRDefault="00A911FC" w:rsidP="008E5424">
            <w:r>
              <w:t>72</w:t>
            </w:r>
          </w:p>
        </w:tc>
      </w:tr>
      <w:tr w:rsidR="00A911FC" w14:paraId="425FB551" w14:textId="77777777" w:rsidTr="008E5424">
        <w:tc>
          <w:tcPr>
            <w:tcW w:w="988" w:type="dxa"/>
          </w:tcPr>
          <w:p w14:paraId="4A5FF1D7" w14:textId="77777777" w:rsidR="00A911FC" w:rsidRDefault="00A911FC" w:rsidP="008E5424"/>
        </w:tc>
        <w:tc>
          <w:tcPr>
            <w:tcW w:w="1701" w:type="dxa"/>
          </w:tcPr>
          <w:p w14:paraId="5DCD9E58" w14:textId="77777777" w:rsidR="00A911FC" w:rsidRDefault="00A911FC" w:rsidP="008E5424">
            <w:r>
              <w:t>der Rest</w:t>
            </w:r>
          </w:p>
        </w:tc>
        <w:tc>
          <w:tcPr>
            <w:tcW w:w="2268" w:type="dxa"/>
          </w:tcPr>
          <w:p w14:paraId="34407C9F" w14:textId="77777777" w:rsidR="00A911FC" w:rsidRDefault="00A911FC" w:rsidP="008E5424">
            <w:r>
              <w:t>14552</w:t>
            </w:r>
          </w:p>
        </w:tc>
        <w:tc>
          <w:tcPr>
            <w:tcW w:w="2303" w:type="dxa"/>
          </w:tcPr>
          <w:p w14:paraId="28F9B3C2" w14:textId="77777777" w:rsidR="00A911FC" w:rsidRDefault="00A911FC" w:rsidP="008E5424"/>
        </w:tc>
        <w:tc>
          <w:tcPr>
            <w:tcW w:w="1802" w:type="dxa"/>
          </w:tcPr>
          <w:p w14:paraId="0E71E4B5" w14:textId="77777777" w:rsidR="00A911FC" w:rsidRDefault="00A911FC" w:rsidP="008E5424">
            <w:r>
              <w:t>28</w:t>
            </w:r>
          </w:p>
        </w:tc>
      </w:tr>
    </w:tbl>
    <w:p w14:paraId="6CBBBBCA" w14:textId="77777777" w:rsidR="00A911FC" w:rsidRDefault="00A911FC" w:rsidP="00A911FC">
      <w:r>
        <w:t xml:space="preserve">Bei der Berechnung 1-16 insgesamt wurde Deutschland von der EU abgezogen. </w:t>
      </w:r>
    </w:p>
    <w:p w14:paraId="79202CA4" w14:textId="77777777" w:rsidR="00A911FC" w:rsidRDefault="00A911FC" w:rsidP="00A911FC"/>
    <w:p w14:paraId="2A09768C" w14:textId="43E7C3A3" w:rsidR="006645B5" w:rsidRDefault="006645B5" w:rsidP="006645B5">
      <w:r>
        <w:t xml:space="preserve">Bierdeckelrechnung: Wie viel Prozent an den weltweiten CO2-Emissionen hat Deutschland? 657 / 37857 = 0,01734 … * 100 = 1,7 %, an den </w:t>
      </w:r>
      <w:proofErr w:type="gramStart"/>
      <w:r>
        <w:t>THG Emissionen</w:t>
      </w:r>
      <w:proofErr w:type="gramEnd"/>
      <w:r>
        <w:t xml:space="preserve">: 784 / 53786 = 0,01457 … * 100 = 1,4 %. </w:t>
      </w:r>
    </w:p>
    <w:p w14:paraId="61CB9A94" w14:textId="77777777" w:rsidR="006645B5" w:rsidRDefault="006645B5" w:rsidP="00A911FC"/>
    <w:p w14:paraId="625D7DF2" w14:textId="2FBFEC5E" w:rsidR="00A911FC" w:rsidRDefault="006645B5" w:rsidP="00A911FC">
      <w:bookmarkStart w:id="11" w:name="_Hlk177405433"/>
      <w:r>
        <w:t xml:space="preserve">Auf weltweiter Ebene stammen </w:t>
      </w:r>
      <w:r w:rsidR="00A911FC">
        <w:t>15.330 Megatonnen CO</w:t>
      </w:r>
      <w:r w:rsidR="00FA7373">
        <w:t>2</w:t>
      </w:r>
      <w:r w:rsidR="00A911FC">
        <w:t xml:space="preserve"> aus der Kohleverbrennung, 10.963 aus Öl, 7499 aus Erdgas. 8.998 aus der Industrie: </w:t>
      </w:r>
      <w:r w:rsidR="006B45BF">
        <w:t xml:space="preserve">davon </w:t>
      </w:r>
      <w:r w:rsidR="00A911FC">
        <w:t>Chemie 1.330; Eisen- und Stahl: 2.623; Zement 2.418, Aluminium 265; Verkehr: 5.964, davon Autos 2975, Lkw 1.812, Flugverkehr 792, Schiff 855 und Heizungs- bzw. Wohnungsbereich: 1997 (World Energy Outlook 2023).</w:t>
      </w:r>
      <w:r w:rsidR="00A911FC">
        <w:rPr>
          <w:rStyle w:val="Funotenzeichen"/>
        </w:rPr>
        <w:footnoteReference w:id="20"/>
      </w:r>
      <w:r w:rsidR="00A911FC">
        <w:t xml:space="preserve"> </w:t>
      </w:r>
      <w:bookmarkEnd w:id="11"/>
      <w:r w:rsidR="00A911FC">
        <w:t xml:space="preserve">Man bemerkt hier die unterschiedlichen Zahlen von EDGAR und WEO für den Flugverkehr und Schiffstransport. </w:t>
      </w:r>
    </w:p>
    <w:p w14:paraId="37B59C2F" w14:textId="77777777" w:rsidR="00A911FC" w:rsidRDefault="00A911FC" w:rsidP="00A911FC"/>
    <w:p w14:paraId="4D3586CC" w14:textId="66712ABC" w:rsidR="00A911FC" w:rsidRDefault="00A911FC" w:rsidP="00A911FC">
      <w:r>
        <w:t xml:space="preserve">Auffällig: China emittiert bei THG und CO2 fast genauso viel wie die USA, Indien, EU und Russland zusammen (16.126 </w:t>
      </w:r>
      <w:proofErr w:type="spellStart"/>
      <w:r>
        <w:t>Mt</w:t>
      </w:r>
      <w:proofErr w:type="spellEnd"/>
      <w:r>
        <w:t xml:space="preserve"> THG, 12.116 </w:t>
      </w:r>
      <w:proofErr w:type="spellStart"/>
      <w:r>
        <w:t>Mt</w:t>
      </w:r>
      <w:proofErr w:type="spellEnd"/>
      <w:r>
        <w:t xml:space="preserve"> CO2). Im Umkehrschluss bringt es aber auch etwas, wenn die USA und die EU es schaffen, ihre Emissionen zu verringern (9.604 </w:t>
      </w:r>
      <w:proofErr w:type="spellStart"/>
      <w:r>
        <w:t>Mt</w:t>
      </w:r>
      <w:proofErr w:type="spellEnd"/>
      <w:r>
        <w:t xml:space="preserve"> THG, 7.526 </w:t>
      </w:r>
      <w:proofErr w:type="spellStart"/>
      <w:r>
        <w:t>Mt</w:t>
      </w:r>
      <w:proofErr w:type="spellEnd"/>
      <w:r>
        <w:t xml:space="preserve"> CO2). </w:t>
      </w:r>
      <w:r w:rsidR="007C3BA5">
        <w:t>(Megatonnen = Millionen Tonnen)</w:t>
      </w:r>
    </w:p>
    <w:p w14:paraId="19812424" w14:textId="77777777" w:rsidR="00A911FC" w:rsidRDefault="00A911FC" w:rsidP="00A911FC"/>
    <w:p w14:paraId="0A543F5D" w14:textId="48EE8CFD" w:rsidR="00A911FC" w:rsidRDefault="00A911FC" w:rsidP="00A911FC">
      <w:r w:rsidRPr="005E6E3F">
        <w:rPr>
          <w:u w:val="single"/>
        </w:rPr>
        <w:t>Die Kategorie Rest hat aber so hohe Emissionen, dass man sie nicht vergessen darf</w:t>
      </w:r>
      <w:r>
        <w:t xml:space="preserve">. </w:t>
      </w:r>
      <w:r w:rsidR="0086168C">
        <w:t xml:space="preserve">Zum Beispiel hat </w:t>
      </w:r>
      <w:r>
        <w:t>Vietnam 8 Kohlekraftwerke in Bau, weitere sind angekündigt.</w:t>
      </w:r>
      <w:r>
        <w:rPr>
          <w:rStyle w:val="Funotenzeichen"/>
        </w:rPr>
        <w:footnoteReference w:id="21"/>
      </w:r>
      <w:r>
        <w:t xml:space="preserve"> </w:t>
      </w:r>
    </w:p>
    <w:p w14:paraId="5D0F94CC" w14:textId="77777777" w:rsidR="00A911FC" w:rsidRDefault="00A911FC" w:rsidP="00A911FC"/>
    <w:p w14:paraId="39CC30EC" w14:textId="28EED80E" w:rsidR="00A911FC" w:rsidRDefault="00A911FC" w:rsidP="00A911FC">
      <w:r>
        <w:t>Kohlekraftwerke</w:t>
      </w:r>
      <w:r w:rsidR="00802B56">
        <w:rPr>
          <w:rStyle w:val="Funotenzeichen"/>
        </w:rPr>
        <w:footnoteReference w:id="22"/>
      </w:r>
      <w:r>
        <w:t xml:space="preserve"> bleiben ein </w:t>
      </w:r>
      <w:r w:rsidR="006645B5">
        <w:t xml:space="preserve">riesiges </w:t>
      </w:r>
      <w:r>
        <w:t xml:space="preserve">Problem. Insgesamt gesehen geht die Kapazität langsam zurück, es gibt aber </w:t>
      </w:r>
      <w:r w:rsidRPr="000E65B3">
        <w:rPr>
          <w:u w:val="single"/>
        </w:rPr>
        <w:t>viel zu viele Kohlekraftwerke und es werden weiter Neue gebaut</w:t>
      </w:r>
      <w:r>
        <w:t>.</w:t>
      </w:r>
      <w:r>
        <w:rPr>
          <w:rStyle w:val="Funotenzeichen"/>
        </w:rPr>
        <w:footnoteReference w:id="23"/>
      </w:r>
      <w:r>
        <w:t xml:space="preserve"> </w:t>
      </w:r>
      <w:r w:rsidR="00802B56" w:rsidRPr="00EB611F">
        <w:rPr>
          <w:b/>
          <w:bCs/>
        </w:rPr>
        <w:t>Kohlekraftwerke sind billig</w:t>
      </w:r>
      <w:r w:rsidR="00802B56">
        <w:t xml:space="preserve">, ein </w:t>
      </w:r>
      <w:r w:rsidR="00997BE2">
        <w:t>Kohlek</w:t>
      </w:r>
      <w:r w:rsidR="00802B56">
        <w:t>raftwerk mit 1000 MW Leistung kostet 1 bis 2,5 Mrd.</w:t>
      </w:r>
      <w:r w:rsidR="00802B56">
        <w:rPr>
          <w:rStyle w:val="Funotenzeichen"/>
        </w:rPr>
        <w:footnoteReference w:id="24"/>
      </w:r>
      <w:r w:rsidR="00802B56">
        <w:t>, bei Volllast sind das 8760 MWh, das sind 8,7 Terawattstunden. In China und Indien ist der Bau sicher günstig. (</w:t>
      </w:r>
      <w:r w:rsidR="00BD7DF4">
        <w:t xml:space="preserve">ein </w:t>
      </w:r>
      <w:r w:rsidR="00802B56">
        <w:t xml:space="preserve">Atomkraftwerk </w:t>
      </w:r>
      <w:r w:rsidR="00BD7DF4">
        <w:t xml:space="preserve">kostet vielleicht </w:t>
      </w:r>
      <w:r w:rsidR="00802B56">
        <w:t xml:space="preserve">10 </w:t>
      </w:r>
      <w:r w:rsidR="00EB611F">
        <w:t>Mrd.</w:t>
      </w:r>
      <w:r w:rsidR="00802B56">
        <w:t xml:space="preserve">, </w:t>
      </w:r>
      <w:r w:rsidR="00EB611F">
        <w:t xml:space="preserve">erneuerbare Energien </w:t>
      </w:r>
      <w:r w:rsidR="00BD7DF4">
        <w:t>kosten</w:t>
      </w:r>
      <w:r w:rsidR="00EB611F">
        <w:t xml:space="preserve"> 10 Mrd. </w:t>
      </w:r>
      <w:r w:rsidR="00BD7DF4">
        <w:t xml:space="preserve">für </w:t>
      </w:r>
      <w:r w:rsidR="00EB611F">
        <w:t>10 Terawattstunden</w:t>
      </w:r>
      <w:r w:rsidR="00EB611F">
        <w:rPr>
          <w:rStyle w:val="Funotenzeichen"/>
        </w:rPr>
        <w:footnoteReference w:id="25"/>
      </w:r>
      <w:r w:rsidR="00441169">
        <w:t>, neu ist die Info, dass China in der Lage ist für 2,4 Mrd. einen 1200 MW Atom-Kraftwerksblock herzustellen</w:t>
      </w:r>
      <w:r w:rsidR="00441169">
        <w:rPr>
          <w:rStyle w:val="Funotenzeichen"/>
        </w:rPr>
        <w:footnoteReference w:id="26"/>
      </w:r>
      <w:r w:rsidR="00EB611F">
        <w:t>)</w:t>
      </w:r>
      <w:r w:rsidR="00802B56">
        <w:t xml:space="preserve"> </w:t>
      </w:r>
      <w:r w:rsidRPr="00082E15">
        <w:t xml:space="preserve">In der </w:t>
      </w:r>
      <w:proofErr w:type="spellStart"/>
      <w:r w:rsidRPr="00082E15">
        <w:t>Powering</w:t>
      </w:r>
      <w:proofErr w:type="spellEnd"/>
      <w:r w:rsidRPr="00082E15">
        <w:t xml:space="preserve"> Past Coal Alliance (PPCA)</w:t>
      </w:r>
      <w:r>
        <w:t xml:space="preserve"> haben sich Länder zusammengeschlossen, die keine neuen Kohlekraftwerke bauen und schrittweise den Ausstieg durchführen wollen.</w:t>
      </w:r>
      <w:r>
        <w:rPr>
          <w:rStyle w:val="Funotenzeichen"/>
        </w:rPr>
        <w:footnoteReference w:id="27"/>
      </w:r>
      <w:r>
        <w:t xml:space="preserve"> Länder mit über 50 Kohlekraftwerken sind: in Australien 59, in China 3115, in Deutschland 100, Indien 842, Indonesien 238, Japan 154, Ka</w:t>
      </w:r>
      <w:r w:rsidR="00DF1ECA">
        <w:t>s</w:t>
      </w:r>
      <w:r>
        <w:t>a</w:t>
      </w:r>
      <w:r w:rsidR="00DF1ECA">
        <w:t>c</w:t>
      </w:r>
      <w:r>
        <w:t xml:space="preserve">hstan 98, Philippinen 62, Polen 145, Russland 297, Südafrika 90, Südkorea 79, Taiwan 55, Tschechien 69, Türkei 78, USA 427, Vietnam 75. </w:t>
      </w:r>
      <w:r w:rsidRPr="00B33D84">
        <w:rPr>
          <w:u w:val="single"/>
        </w:rPr>
        <w:t>Insgesamt sind weltweit 6550 Kohlekraftwerke in Betrieb</w:t>
      </w:r>
      <w:r>
        <w:t>. Hier findet sich ein Überblick auf der Webseite Global Energy Monitor.</w:t>
      </w:r>
      <w:r w:rsidRPr="00180EEC">
        <w:rPr>
          <w:rStyle w:val="Funotenzeichen"/>
        </w:rPr>
        <w:t xml:space="preserve"> </w:t>
      </w:r>
      <w:r>
        <w:rPr>
          <w:rStyle w:val="Funotenzeichen"/>
        </w:rPr>
        <w:footnoteReference w:id="28"/>
      </w:r>
      <w:r>
        <w:t xml:space="preserve"> Der Global Energy Monitor gibt den CO2 Ausstoß aller Kohlekraftwerke mit 9888 Millionen Tonnen CO2 an (World Energy Outlook 15330 Millionen </w:t>
      </w:r>
      <w:r>
        <w:lastRenderedPageBreak/>
        <w:t>Tonnen).</w:t>
      </w:r>
      <w:r>
        <w:rPr>
          <w:rStyle w:val="Funotenzeichen"/>
        </w:rPr>
        <w:footnoteReference w:id="29"/>
      </w:r>
      <w:r>
        <w:t xml:space="preserve"> Ein Grund dafür, dass China 2022 ca. 38 neue Kohlekraftwerke begann zu bauen, war paradoxerweise auch, dass durch die Hitzewelle ein erhöhter Strombedarf durch Klimaanlagen zu verzeichnen war, mit einem kurzfristigem Spitzenbedarf im Stromnetz von China von 1290 GW.</w:t>
      </w:r>
      <w:r>
        <w:rPr>
          <w:rStyle w:val="Funotenzeichen"/>
        </w:rPr>
        <w:footnoteReference w:id="30"/>
      </w:r>
    </w:p>
    <w:p w14:paraId="0AFD414D" w14:textId="77777777" w:rsidR="00AE11F3" w:rsidRDefault="00AE11F3" w:rsidP="00112190"/>
    <w:tbl>
      <w:tblPr>
        <w:tblStyle w:val="Tabellenraster"/>
        <w:tblW w:w="0" w:type="auto"/>
        <w:tblLook w:val="04A0" w:firstRow="1" w:lastRow="0" w:firstColumn="1" w:lastColumn="0" w:noHBand="0" w:noVBand="1"/>
      </w:tblPr>
      <w:tblGrid>
        <w:gridCol w:w="9062"/>
      </w:tblGrid>
      <w:tr w:rsidR="00F9134C" w14:paraId="1B6622D8" w14:textId="77777777" w:rsidTr="00F9134C">
        <w:tc>
          <w:tcPr>
            <w:tcW w:w="9062" w:type="dxa"/>
          </w:tcPr>
          <w:p w14:paraId="44D1F184" w14:textId="327CACF6" w:rsidR="006902E2" w:rsidRDefault="005C1317" w:rsidP="00112190">
            <w:r w:rsidRPr="005C1317">
              <w:t>China hat im Jahr 2020 erklärt, dass es bis 2060 klimaneutral sein will</w:t>
            </w:r>
            <w:r>
              <w:t>, darauf hat Joseph Borell, Hoher Vertreter der Europäischen Union für Außen- und Sicherheitspolitik hat mit dieser Rede darauf reagiert.</w:t>
            </w:r>
            <w:r>
              <w:rPr>
                <w:rStyle w:val="Funotenzeichen"/>
              </w:rPr>
              <w:footnoteReference w:id="31"/>
            </w:r>
            <w:r>
              <w:t xml:space="preserve"> China hat 2021 ein Emissionshandelssystem eingeführt. Mehr zu China, siehe den Punkt China unten. </w:t>
            </w:r>
            <w:r w:rsidRPr="005C1317">
              <w:rPr>
                <w:u w:val="single"/>
              </w:rPr>
              <w:t xml:space="preserve">China will in 35 Jahren </w:t>
            </w:r>
            <w:r w:rsidR="007C3BA5">
              <w:rPr>
                <w:u w:val="single"/>
              </w:rPr>
              <w:t>k</w:t>
            </w:r>
            <w:r w:rsidRPr="005C1317">
              <w:rPr>
                <w:u w:val="single"/>
              </w:rPr>
              <w:t>limaneutral sein</w:t>
            </w:r>
            <w:r w:rsidR="007C3BA5">
              <w:rPr>
                <w:u w:val="single"/>
              </w:rPr>
              <w:t xml:space="preserve"> und kommt derzeit für 30 % aller weltweiten Emissionen auf</w:t>
            </w:r>
            <w:r>
              <w:t>.</w:t>
            </w:r>
            <w:r w:rsidR="007C3BA5">
              <w:t xml:space="preserve"> </w:t>
            </w:r>
            <w:r w:rsidR="006902E2">
              <w:t>Aktuell hat China</w:t>
            </w:r>
            <w:r w:rsidR="00FD7E05">
              <w:t>s Präsident Xi Jinping</w:t>
            </w:r>
            <w:r w:rsidR="006902E2">
              <w:t xml:space="preserve"> </w:t>
            </w:r>
            <w:r w:rsidR="00FD7E05">
              <w:t xml:space="preserve">am 25.09.2025 beim kurzen Klimagipfel während der UN-Vollversammlung Ende September 2025 versprochen, dass China bis 2025 seine Treibhausemissionen um 7 bis 10 % senken will und die Kapazität Chinas erneuerbaren Energien </w:t>
            </w:r>
            <w:proofErr w:type="spellStart"/>
            <w:r w:rsidR="00FD7E05">
              <w:t>versechsfachen</w:t>
            </w:r>
            <w:proofErr w:type="spellEnd"/>
            <w:r w:rsidR="00FD7E05">
              <w:t xml:space="preserve"> will.</w:t>
            </w:r>
            <w:r w:rsidR="00FD7E05">
              <w:rPr>
                <w:rStyle w:val="Funotenzeichen"/>
              </w:rPr>
              <w:footnoteReference w:id="32"/>
            </w:r>
            <w:r w:rsidR="001253A4">
              <w:t xml:space="preserve"> China will weiterhin den Anteil nichtfossiler Brennstoff am Gesamtenergieverbrauch auf mehr als 30 % bringen.</w:t>
            </w:r>
            <w:r w:rsidR="001253A4">
              <w:rPr>
                <w:rStyle w:val="Funotenzeichen"/>
              </w:rPr>
              <w:footnoteReference w:id="33"/>
            </w:r>
            <w:r w:rsidR="001253A4">
              <w:t xml:space="preserve"> </w:t>
            </w:r>
          </w:p>
          <w:p w14:paraId="21CF1487" w14:textId="77777777" w:rsidR="006902E2" w:rsidRDefault="006902E2" w:rsidP="00112190"/>
          <w:p w14:paraId="5E945A03" w14:textId="239B3994" w:rsidR="00B641F8" w:rsidRDefault="00F9134C" w:rsidP="00112190">
            <w:r>
              <w:t xml:space="preserve">Indien hat durch </w:t>
            </w:r>
            <w:r w:rsidR="00E87D9C">
              <w:t>Premierminister</w:t>
            </w:r>
            <w:r>
              <w:t xml:space="preserve"> Modi </w:t>
            </w:r>
            <w:r w:rsidR="00B542CE">
              <w:t>im Oktober 2024</w:t>
            </w:r>
            <w:r w:rsidR="00E87D9C">
              <w:t xml:space="preserve"> </w:t>
            </w:r>
            <w:r>
              <w:t xml:space="preserve">versprochen, nun im Klimaschutz aktiv zu werden. Bis 2030 sollen 500 GW erneuerbare Energien entstehen. Seit dem Amtsantritt von Modi wurden allerdings für 500 GW Kohlekraftwerke gebaut. </w:t>
            </w:r>
            <w:r w:rsidR="003E2A03">
              <w:t>Öl- und Kohle haben einen Anteil von fast 90 % an der Energieversorgung. Ziel von Indien ist es bis 2070 kein CO2 mehr auszustoßen.</w:t>
            </w:r>
            <w:r w:rsidR="0067001B">
              <w:t xml:space="preserve"> Es wird aber bezweifelt, ob es Indien wirklich ernst meint mit dem Klimaschutz.</w:t>
            </w:r>
            <w:r w:rsidR="003E2A03">
              <w:rPr>
                <w:rStyle w:val="Funotenzeichen"/>
              </w:rPr>
              <w:footnoteReference w:id="34"/>
            </w:r>
            <w:r w:rsidR="002457DB">
              <w:t xml:space="preserve"> </w:t>
            </w:r>
            <w:r w:rsidR="0067001B">
              <w:t xml:space="preserve">500 GW ist </w:t>
            </w:r>
            <w:r w:rsidR="002457DB">
              <w:t xml:space="preserve">eine ganze Menge, speziell auch für indische Verhältnisse. </w:t>
            </w:r>
            <w:r w:rsidR="00BB2662">
              <w:t xml:space="preserve">Indien </w:t>
            </w:r>
            <w:r w:rsidR="00E87D9C">
              <w:t>verfügte 2022 nur über 400 GW Stromkapazität, davon 28 % erneuerbare Energien.</w:t>
            </w:r>
            <w:r w:rsidR="00BB2662">
              <w:t xml:space="preserve"> </w:t>
            </w:r>
            <w:r w:rsidR="00E87D9C">
              <w:t xml:space="preserve">Es würde also mit dem Ausbau erneuerbarer Energien seine Kapazität also verdoppeln. </w:t>
            </w:r>
            <w:r w:rsidR="00E87D9C" w:rsidRPr="000E65B3">
              <w:rPr>
                <w:u w:val="single"/>
              </w:rPr>
              <w:t>Am Rande: Schon auf der COP26 in Glasgow 2021 hatte Premierminister Modi dasselbe versprochen</w:t>
            </w:r>
            <w:r w:rsidR="00E87D9C">
              <w:t>.</w:t>
            </w:r>
            <w:r w:rsidR="00E87D9C">
              <w:rPr>
                <w:rStyle w:val="Funotenzeichen"/>
              </w:rPr>
              <w:footnoteReference w:id="35"/>
            </w:r>
            <w:r w:rsidR="00E87D9C">
              <w:t xml:space="preserve"> </w:t>
            </w:r>
            <w:r w:rsidR="00B641F8">
              <w:t>Am 06.12.2025 wird von der FAZ gemeldet, dass Indien vielleicht doch wieder Kohlekraftwerke bauen will, es handelt sich aber erst einmal um eine interne Planung, die noch nicht offiziell ist.</w:t>
            </w:r>
            <w:r w:rsidR="00B641F8">
              <w:rPr>
                <w:rStyle w:val="Funotenzeichen"/>
              </w:rPr>
              <w:footnoteReference w:id="36"/>
            </w:r>
            <w:r w:rsidR="00B641F8">
              <w:t xml:space="preserve"> </w:t>
            </w:r>
            <w:r w:rsidR="00E87D9C">
              <w:t xml:space="preserve">Bierdeckelrechnung: </w:t>
            </w:r>
            <w:r w:rsidR="002457DB">
              <w:t xml:space="preserve">Wenn man für Solar und Wind insgesamt gesehen einen Kapazitätsfaktor von 30 % annimmt, dann wären das: 500 * 8760 = 4.380.000 * 0,3 = 1.324.000 Gigawattstunden, das sind 1324 Terawattstunden. Indien hat einen Stromverbrauch von 1628 Terawattstunden. </w:t>
            </w:r>
          </w:p>
          <w:p w14:paraId="5736E243" w14:textId="77777777" w:rsidR="00B641F8" w:rsidRDefault="00B641F8" w:rsidP="00112190"/>
          <w:p w14:paraId="5F407AF3" w14:textId="7C4DFEDA" w:rsidR="0067001B" w:rsidRDefault="002457DB" w:rsidP="00112190">
            <w:r>
              <w:t xml:space="preserve">Zum Vergleich: die deutschen Ausbauziele bis 2030 betragen Solar 215 GW, Landwind 115 GW und </w:t>
            </w:r>
            <w:proofErr w:type="spellStart"/>
            <w:r>
              <w:t>Offshorewind</w:t>
            </w:r>
            <w:proofErr w:type="spellEnd"/>
            <w:r>
              <w:t xml:space="preserve"> 30 GW, insgesamt 360 GW, </w:t>
            </w:r>
            <w:r w:rsidR="00A158B3">
              <w:t>hier realistisch bei Solar mit 10 % Kapazitätsfaktor und bei Wind mit 30 % Kapazitätsfaktor gerechnet</w:t>
            </w:r>
            <w:r>
              <w:t xml:space="preserve">: </w:t>
            </w:r>
            <w:r w:rsidR="00A158B3">
              <w:t>215 GW * 8760 = 1.883.400 * 0,1 = 188.340 Gigawattstunden, das sind 188 Terawattstunden und 144</w:t>
            </w:r>
            <w:r>
              <w:t xml:space="preserve"> * 8760 = </w:t>
            </w:r>
            <w:r w:rsidR="00A158B3">
              <w:t xml:space="preserve">1.261.440 </w:t>
            </w:r>
            <w:r>
              <w:t xml:space="preserve">* 0,3 = </w:t>
            </w:r>
            <w:r w:rsidR="00A158B3">
              <w:t>378.432</w:t>
            </w:r>
            <w:r>
              <w:t xml:space="preserve"> Gigawattstunden, die wären </w:t>
            </w:r>
            <w:r w:rsidR="00A158B3">
              <w:t>378</w:t>
            </w:r>
            <w:r>
              <w:t xml:space="preserve"> Terawattstunden</w:t>
            </w:r>
            <w:r w:rsidR="00A158B3">
              <w:t>, insgesamt: 566 Terawattstunden.</w:t>
            </w:r>
            <w:r>
              <w:t xml:space="preserve"> </w:t>
            </w:r>
          </w:p>
          <w:p w14:paraId="39D71F7F" w14:textId="77777777" w:rsidR="00F0781F" w:rsidRDefault="00F0781F" w:rsidP="00112190"/>
          <w:p w14:paraId="49108FB6" w14:textId="6C1437A8" w:rsidR="00F0781F" w:rsidRDefault="00F0781F" w:rsidP="00112190">
            <w:r>
              <w:lastRenderedPageBreak/>
              <w:t>Siehe unten</w:t>
            </w:r>
            <w:r w:rsidR="00142B9D">
              <w:t xml:space="preserve">, </w:t>
            </w:r>
            <w:r>
              <w:t xml:space="preserve">ein </w:t>
            </w:r>
            <w:proofErr w:type="spellStart"/>
            <w:r>
              <w:t>plurilaterales</w:t>
            </w:r>
            <w:proofErr w:type="spellEnd"/>
            <w:r>
              <w:t xml:space="preserve"> Abkommen </w:t>
            </w:r>
            <w:r w:rsidR="00142B9D">
              <w:t xml:space="preserve">von Deutschland </w:t>
            </w:r>
            <w:r>
              <w:t xml:space="preserve">mit Indien </w:t>
            </w:r>
            <w:r w:rsidR="00142B9D">
              <w:t xml:space="preserve">ist </w:t>
            </w:r>
            <w:r>
              <w:t>gescheitert, in</w:t>
            </w:r>
            <w:r w:rsidR="000E2590">
              <w:t xml:space="preserve"> </w:t>
            </w:r>
            <w:r>
              <w:t>dem</w:t>
            </w:r>
            <w:r w:rsidR="000E2590">
              <w:t xml:space="preserve"> es</w:t>
            </w:r>
            <w:r>
              <w:t xml:space="preserve"> vielleicht um Kohlekraftwerke </w:t>
            </w:r>
            <w:r w:rsidR="000E2590">
              <w:t>hätte gehen können</w:t>
            </w:r>
            <w:r w:rsidR="00142B9D">
              <w:t>, es war aber offenbar gar nicht erst das Thema</w:t>
            </w:r>
            <w:r>
              <w:t>. In Indien sind</w:t>
            </w:r>
            <w:r w:rsidR="00142B9D">
              <w:t xml:space="preserve"> </w:t>
            </w:r>
            <w:r>
              <w:t xml:space="preserve">Millionen von Arbeitsplätzen </w:t>
            </w:r>
            <w:r w:rsidR="000E2590">
              <w:t xml:space="preserve">von </w:t>
            </w:r>
            <w:r w:rsidR="00981855">
              <w:t xml:space="preserve">der Kohleindustrie </w:t>
            </w:r>
            <w:r>
              <w:t>abhängig</w:t>
            </w:r>
            <w:r w:rsidR="00981855">
              <w:t>, für die braucht man eine Alternative</w:t>
            </w:r>
            <w:r>
              <w:t xml:space="preserve">. </w:t>
            </w:r>
            <w:r w:rsidR="00BD7DF4">
              <w:t>Indien will nun</w:t>
            </w:r>
            <w:r>
              <w:t xml:space="preserve"> erneuerbare Energien förder</w:t>
            </w:r>
            <w:r w:rsidR="00BD7DF4">
              <w:t>n</w:t>
            </w:r>
            <w:r>
              <w:t xml:space="preserve"> … </w:t>
            </w:r>
            <w:r w:rsidR="00B44A4C">
              <w:t>es könnte allerdings</w:t>
            </w:r>
            <w:r w:rsidRPr="005E6E3F">
              <w:rPr>
                <w:u w:val="single"/>
              </w:rPr>
              <w:t xml:space="preserve"> Post-</w:t>
            </w:r>
            <w:proofErr w:type="spellStart"/>
            <w:r w:rsidRPr="005E6E3F">
              <w:rPr>
                <w:u w:val="single"/>
              </w:rPr>
              <w:t>Combustion</w:t>
            </w:r>
            <w:proofErr w:type="spellEnd"/>
            <w:r w:rsidRPr="005E6E3F">
              <w:rPr>
                <w:u w:val="single"/>
              </w:rPr>
              <w:t xml:space="preserve"> CO2 Abscheidung bei Kohlekraftwerken in Indien durchführ</w:t>
            </w:r>
            <w:r w:rsidR="00BD7DF4">
              <w:rPr>
                <w:u w:val="single"/>
              </w:rPr>
              <w:t>en</w:t>
            </w:r>
            <w:r w:rsidR="006D32E3">
              <w:rPr>
                <w:u w:val="single"/>
              </w:rPr>
              <w:t xml:space="preserve"> … </w:t>
            </w:r>
            <w:r w:rsidR="00B44A4C">
              <w:rPr>
                <w:u w:val="single"/>
              </w:rPr>
              <w:t>warum passiert dies nicht? Das</w:t>
            </w:r>
            <w:r w:rsidR="006D32E3">
              <w:rPr>
                <w:u w:val="single"/>
              </w:rPr>
              <w:t xml:space="preserve"> CO2</w:t>
            </w:r>
            <w:r w:rsidR="00142B9D">
              <w:rPr>
                <w:u w:val="single"/>
              </w:rPr>
              <w:t>,</w:t>
            </w:r>
            <w:r w:rsidR="006D32E3">
              <w:rPr>
                <w:u w:val="single"/>
              </w:rPr>
              <w:t xml:space="preserve"> </w:t>
            </w:r>
            <w:r w:rsidR="00B44A4C">
              <w:rPr>
                <w:u w:val="single"/>
              </w:rPr>
              <w:t>das in Kohlekraftwerken aufgefangen wird, ist</w:t>
            </w:r>
            <w:r w:rsidR="006D32E3">
              <w:rPr>
                <w:u w:val="single"/>
              </w:rPr>
              <w:t xml:space="preserve"> </w:t>
            </w:r>
            <w:r w:rsidR="00BD7DF4">
              <w:rPr>
                <w:u w:val="single"/>
              </w:rPr>
              <w:t xml:space="preserve">durch Schwefel etc. </w:t>
            </w:r>
            <w:r w:rsidR="00B44A4C">
              <w:rPr>
                <w:u w:val="single"/>
              </w:rPr>
              <w:t>verunreinigt</w:t>
            </w:r>
            <w:r w:rsidR="006D32E3">
              <w:rPr>
                <w:u w:val="single"/>
              </w:rPr>
              <w:t xml:space="preserve">, man muss es noch aufbereiten … </w:t>
            </w:r>
            <w:r w:rsidR="00B44A4C">
              <w:rPr>
                <w:u w:val="single"/>
              </w:rPr>
              <w:t xml:space="preserve">dies scheint aber möglich zu sein </w:t>
            </w:r>
            <w:r w:rsidR="006D32E3">
              <w:rPr>
                <w:u w:val="single"/>
              </w:rPr>
              <w:t xml:space="preserve">… dies untersucht </w:t>
            </w:r>
            <w:r w:rsidR="00B542CE">
              <w:rPr>
                <w:u w:val="single"/>
              </w:rPr>
              <w:t xml:space="preserve">u.a. </w:t>
            </w:r>
            <w:r w:rsidR="006D32E3">
              <w:rPr>
                <w:u w:val="single"/>
              </w:rPr>
              <w:t>das Fraunhofer Projekt UMSICHT mit Carbon2Chem</w:t>
            </w:r>
            <w:r w:rsidR="006D32E3">
              <w:rPr>
                <w:rStyle w:val="Funotenzeichen"/>
                <w:u w:val="single"/>
              </w:rPr>
              <w:footnoteReference w:id="37"/>
            </w:r>
            <w:r>
              <w:t xml:space="preserv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tc>
      </w:tr>
    </w:tbl>
    <w:p w14:paraId="06C6FF24" w14:textId="77777777" w:rsidR="00F9134C" w:rsidRDefault="00F9134C" w:rsidP="00112190"/>
    <w:p w14:paraId="6A6D8621" w14:textId="3E4AA88B" w:rsidR="00242506" w:rsidRDefault="00112190" w:rsidP="00112190">
      <w:r>
        <w:t>Treibhausgas-Emissionen beruhen beim CO2 auf fossilen Brennstoffen (Benzin, Gas, Kohle, Kerosin), aber auch auf Landnutzungsänderungen wie dem Abholzen von Wald, der CO2 aufnehmen kann und wie dem Entwässern von Mooren, die dann CO2 freisetzen.</w:t>
      </w:r>
      <w:r>
        <w:rPr>
          <w:rStyle w:val="Funotenzeichen"/>
        </w:rPr>
        <w:footnoteReference w:id="38"/>
      </w:r>
      <w:r>
        <w:t xml:space="preserve"> </w:t>
      </w:r>
      <w:r w:rsidR="00F644D5">
        <w:t xml:space="preserve">Es gibt </w:t>
      </w:r>
      <w:r w:rsidR="00461923">
        <w:t xml:space="preserve">auch </w:t>
      </w:r>
      <w:r w:rsidR="00F644D5">
        <w:t xml:space="preserve">natürliche CO2 Lagerstätten. </w:t>
      </w:r>
      <w:r w:rsidR="00242506">
        <w:t>CO2 wird in den USA aus</w:t>
      </w:r>
      <w:r w:rsidR="00A85393">
        <w:t xml:space="preserve"> natürlichen</w:t>
      </w:r>
      <w:r w:rsidR="00242506">
        <w:t xml:space="preserve"> Erdlagerstätten entnommen (</w:t>
      </w:r>
      <w:proofErr w:type="spellStart"/>
      <w:r w:rsidR="00242506">
        <w:t>McElmo</w:t>
      </w:r>
      <w:proofErr w:type="spellEnd"/>
      <w:r w:rsidR="00242506">
        <w:t xml:space="preserve"> Dome), und das CO2 wird </w:t>
      </w:r>
      <w:r w:rsidR="00A85393">
        <w:t xml:space="preserve">dann </w:t>
      </w:r>
      <w:r w:rsidR="00242506">
        <w:t xml:space="preserve">in Ölfelder gepresst, um </w:t>
      </w:r>
      <w:r w:rsidR="00B44A4C">
        <w:t xml:space="preserve">daraus </w:t>
      </w:r>
      <w:r w:rsidR="00242506">
        <w:t>mehr Öl zu fördern, genannt Enhanced Oil Recovery (EOR).</w:t>
      </w:r>
      <w:r w:rsidR="00242506">
        <w:rPr>
          <w:rStyle w:val="Funotenzeichen"/>
        </w:rPr>
        <w:footnoteReference w:id="39"/>
      </w:r>
      <w:r w:rsidR="00242506">
        <w:t xml:space="preserve"> </w:t>
      </w:r>
      <w:r w:rsidR="00F0781F">
        <w:t>CO2 entsteht auch, siehe auch den Abschnitt zu CCS, wenn Erdgas gefördert wird, zur Produktion von LNG, teils sind hier 14 % CO2 dabei, die abgetrennt werden bzw. normalerweise offenbar in die Luft gelassen werden.</w:t>
      </w:r>
      <w:r w:rsidR="00F0781F">
        <w:rPr>
          <w:rStyle w:val="Funotenzeichen"/>
        </w:rPr>
        <w:footnoteReference w:id="40"/>
      </w:r>
      <w:r w:rsidR="00F0781F">
        <w:t xml:space="preserve"> </w:t>
      </w:r>
      <w:r>
        <w:t>Lachgas entsteht bei der stickstoffhaltigen Nitratdüngung in der Landwirtschaft (besonders Raps), in Kläranlagen und chemischen Prozessen, teils auch in der Atmosphäre selbst.</w:t>
      </w:r>
      <w:r>
        <w:rPr>
          <w:rStyle w:val="Funotenzeichen"/>
        </w:rPr>
        <w:footnoteReference w:id="41"/>
      </w:r>
      <w:r>
        <w:t xml:space="preserve"> </w:t>
      </w:r>
    </w:p>
    <w:p w14:paraId="005A4A83" w14:textId="77777777" w:rsidR="00242506" w:rsidRDefault="00242506" w:rsidP="00112190"/>
    <w:p w14:paraId="5DC11BA7" w14:textId="49983589" w:rsidR="00112190" w:rsidRDefault="00112190" w:rsidP="00112190">
      <w:r>
        <w:t>Methan stammt aus der landwirtschaftlichen Tierhaltung, besonders der tierischen Verdauung, und zu einem geringeren Teil aus der Abfalldeponierung</w:t>
      </w:r>
      <w:r>
        <w:rPr>
          <w:rStyle w:val="Funotenzeichen"/>
        </w:rPr>
        <w:footnoteReference w:id="42"/>
      </w:r>
      <w:r w:rsidR="00F82F93">
        <w:t>, ebenso bei der Handhabung von Erdgas in den Pipelinenetzen.</w:t>
      </w:r>
      <w:r w:rsidR="00F82F93">
        <w:rPr>
          <w:rStyle w:val="Funotenzeichen"/>
        </w:rPr>
        <w:footnoteReference w:id="43"/>
      </w:r>
      <w:r>
        <w:t xml:space="preserve"> </w:t>
      </w:r>
      <w:bookmarkStart w:id="12" w:name="_Hlk204551403"/>
      <w:r w:rsidR="00F82F93">
        <w:t xml:space="preserve">Methan ist als Treibhausgas </w:t>
      </w:r>
      <w:proofErr w:type="gramStart"/>
      <w:r w:rsidR="00F82F93">
        <w:t>25 mal</w:t>
      </w:r>
      <w:proofErr w:type="gramEnd"/>
      <w:r w:rsidR="00F82F93">
        <w:t xml:space="preserve"> so wirksam wie CO2, wird aber viel schneller abgebaut. Wie viel Methan wirksamer ist als CO2, die Werte </w:t>
      </w:r>
      <w:r w:rsidR="0065179C">
        <w:t>sind stark unterschiedlich, hier wird der Wert vom Umweltbundesamt genommen.</w:t>
      </w:r>
      <w:r w:rsidR="0065179C">
        <w:rPr>
          <w:rStyle w:val="Funotenzeichen"/>
        </w:rPr>
        <w:footnoteReference w:id="44"/>
      </w:r>
      <w:r w:rsidR="0065179C">
        <w:t xml:space="preserve"> </w:t>
      </w:r>
      <w:bookmarkEnd w:id="12"/>
      <w:r w:rsidR="0046180F">
        <w:t>Ein weiteres Thema sind die Methanemissionen bei der Gasproduktion in den USA, hier werden Methan und andere Gase freigesetzt. Dies wurde an einem Beispiel von Bohrungen mitten in der Stadt Arlington gezeigt, siehe die Arte-Doku am 30.10.2023</w:t>
      </w:r>
      <w:r w:rsidR="0046180F">
        <w:rPr>
          <w:rStyle w:val="Funotenzeichen"/>
        </w:rPr>
        <w:footnoteReference w:id="45"/>
      </w:r>
      <w:r w:rsidR="0046180F">
        <w:t xml:space="preserve"> </w:t>
      </w:r>
      <w:r w:rsidR="00E55709">
        <w:t xml:space="preserve">und anhand </w:t>
      </w:r>
      <w:r w:rsidR="006B45BF">
        <w:t>von</w:t>
      </w:r>
      <w:r w:rsidR="00E55709">
        <w:t xml:space="preserve"> Bohrungen in Texas.</w:t>
      </w:r>
      <w:r w:rsidR="00E55709">
        <w:rPr>
          <w:rStyle w:val="Funotenzeichen"/>
        </w:rPr>
        <w:footnoteReference w:id="46"/>
      </w:r>
      <w:r w:rsidR="00E55709">
        <w:t xml:space="preserve"> </w:t>
      </w:r>
      <w:r w:rsidR="006B45BF">
        <w:t xml:space="preserve">Die NGO Webseite Global Energy Monitor gibt </w:t>
      </w:r>
      <w:r w:rsidR="009A07EA">
        <w:t xml:space="preserve">nur für die Öl- </w:t>
      </w:r>
      <w:r w:rsidR="009A07EA">
        <w:lastRenderedPageBreak/>
        <w:t>und Gasindustrie Methanemissionen an</w:t>
      </w:r>
      <w:r w:rsidR="006B45BF">
        <w:t>: weltweit sind dies 2747 Mill. Tonnen CO2-Äquivalent, also immerhin 2,7 Mrd. Tonnen</w:t>
      </w:r>
      <w:r w:rsidR="009A07EA">
        <w:t xml:space="preserve"> der insgesamten 53 Mrd. weltweiten THG-Emissionen, weit vor den anderen Ländern liegen hier Öl- und Gasförderländer: Iran, Irak, Russland, Saudi Arabien und die USA</w:t>
      </w:r>
      <w:r w:rsidR="006B45BF">
        <w:t>.</w:t>
      </w:r>
      <w:r w:rsidR="009A07EA">
        <w:rPr>
          <w:rStyle w:val="Funotenzeichen"/>
        </w:rPr>
        <w:footnoteReference w:id="47"/>
      </w:r>
      <w:r w:rsidR="006B45BF">
        <w:t xml:space="preserve"> </w:t>
      </w:r>
      <w:r>
        <w:t>Auch Methan spielt bei der globalen Erwärmung eine Rolle.</w:t>
      </w:r>
      <w:r>
        <w:rPr>
          <w:rStyle w:val="Funotenzeichen"/>
        </w:rPr>
        <w:footnoteReference w:id="48"/>
      </w:r>
      <w:r>
        <w:t xml:space="preserve"> Um Methanemissionen zu verringern, gibt es derzeit diverse Initiativen und die Errichtung einer Überwachungsstelle für Methanemissionen (IMEO).</w:t>
      </w:r>
      <w:r>
        <w:rPr>
          <w:rStyle w:val="Funotenzeichen"/>
        </w:rPr>
        <w:footnoteReference w:id="49"/>
      </w:r>
      <w:r>
        <w:t xml:space="preserve"> </w:t>
      </w:r>
      <w:r w:rsidR="005630DF">
        <w:t>Die USA hat eine Methan</w:t>
      </w:r>
      <w:r w:rsidR="00E11353">
        <w:t xml:space="preserve">gebühr im Inflation </w:t>
      </w:r>
      <w:proofErr w:type="spellStart"/>
      <w:r w:rsidR="00E11353">
        <w:t>Reduction</w:t>
      </w:r>
      <w:proofErr w:type="spellEnd"/>
      <w:r w:rsidR="00E11353">
        <w:t xml:space="preserve"> Act erhoben, die EU </w:t>
      </w:r>
      <w:r w:rsidR="005200DB">
        <w:t>möchte Methan ebenfalls reduzieren</w:t>
      </w:r>
      <w:r w:rsidR="00E11353">
        <w:t>, dies wird derzeit als große Chance zu einer U.S.-EU Kooperation in diesem Bereich gesehen und dazu, dass die U.S. dann später ggf. auch einen CO2-Preis einführt, etwas, dass in den USA als schwierig angesehen wird.</w:t>
      </w:r>
      <w:r w:rsidR="00E11353">
        <w:rPr>
          <w:rStyle w:val="Funotenzeichen"/>
        </w:rPr>
        <w:footnoteReference w:id="50"/>
      </w:r>
      <w:r w:rsidR="00E11353">
        <w:t xml:space="preserve"> </w:t>
      </w:r>
      <w:r>
        <w:t>Die Emissionen der vier wichtigsten Treibhausgase werden z.B. auf dieser Webseite gemessen und sind dort abrufbar.</w:t>
      </w:r>
      <w:r>
        <w:rPr>
          <w:rStyle w:val="Funotenzeichen"/>
        </w:rPr>
        <w:footnoteReference w:id="51"/>
      </w:r>
      <w:r w:rsidR="009E3789">
        <w:t xml:space="preserve"> </w:t>
      </w:r>
      <w:r w:rsidR="00634C42">
        <w:t xml:space="preserve">Im </w:t>
      </w:r>
      <w:r w:rsidR="006B45BF">
        <w:t>EU ETS</w:t>
      </w:r>
      <w:r w:rsidR="009E3789">
        <w:t xml:space="preserve"> Emissionshandelssystem </w:t>
      </w:r>
      <w:r w:rsidR="00F82F93">
        <w:t xml:space="preserve">und auch das CBAM </w:t>
      </w:r>
      <w:r w:rsidR="00634C42">
        <w:t>w</w:t>
      </w:r>
      <w:r w:rsidR="00F82F93">
        <w:t>erden vorgelagerte Emissionen etwa von</w:t>
      </w:r>
      <w:r w:rsidR="00634C42">
        <w:t xml:space="preserve"> Methan</w:t>
      </w:r>
      <w:r w:rsidR="00F82F93">
        <w:t xml:space="preserve"> </w:t>
      </w:r>
      <w:r w:rsidR="00634C42">
        <w:t xml:space="preserve">bislang nicht </w:t>
      </w:r>
      <w:r w:rsidR="009E3789">
        <w:t>einbezogen</w:t>
      </w:r>
      <w:r w:rsidR="00F82F93">
        <w:t>, dies</w:t>
      </w:r>
      <w:r w:rsidR="00B81276">
        <w:t xml:space="preserve"> muss noch geklärt werden</w:t>
      </w:r>
      <w:r w:rsidR="00F82F93">
        <w:t>.</w:t>
      </w:r>
      <w:r w:rsidR="00F82F93">
        <w:rPr>
          <w:rStyle w:val="Funotenzeichen"/>
        </w:rPr>
        <w:footnoteReference w:id="52"/>
      </w:r>
      <w:r w:rsidR="00F82F93">
        <w:t xml:space="preserve"> </w:t>
      </w:r>
    </w:p>
    <w:p w14:paraId="544ECB3B" w14:textId="77777777" w:rsidR="00112190" w:rsidRDefault="00112190" w:rsidP="00112190"/>
    <w:p w14:paraId="1096D3FB" w14:textId="20D8E15E" w:rsidR="00F644D5" w:rsidRDefault="00F644D5" w:rsidP="00112190">
      <w:r>
        <w:t>Ethan</w:t>
      </w:r>
      <w:r w:rsidR="005E6E3F">
        <w:t>emissionen steigen auch stark an, besonders in den Gegenden der USA, in denen Öl und Erdgas gefördert wird. Ethan ist</w:t>
      </w:r>
      <w:r w:rsidR="009E082D">
        <w:t xml:space="preserve"> </w:t>
      </w:r>
      <w:r w:rsidR="005E6E3F">
        <w:t>nicht gelistet als Treibhausgas</w:t>
      </w:r>
      <w:r w:rsidR="009E082D">
        <w:t xml:space="preserve">, </w:t>
      </w:r>
      <w:r w:rsidR="000A688D">
        <w:t>es erzeugt in Bodennähe Ozon</w:t>
      </w:r>
      <w:r w:rsidR="005E6E3F">
        <w:t>.</w:t>
      </w:r>
      <w:r w:rsidR="005E6E3F">
        <w:rPr>
          <w:rStyle w:val="Funotenzeichen"/>
        </w:rPr>
        <w:footnoteReference w:id="53"/>
      </w:r>
      <w:r w:rsidR="005E6E3F">
        <w:t xml:space="preserve"> </w:t>
      </w:r>
      <w:r>
        <w:t xml:space="preserve"> </w:t>
      </w:r>
    </w:p>
    <w:p w14:paraId="4123E434" w14:textId="77777777" w:rsidR="00F644D5" w:rsidRDefault="00F644D5" w:rsidP="00112190"/>
    <w:p w14:paraId="6DD7700C" w14:textId="77777777" w:rsidR="00112190" w:rsidRDefault="00112190" w:rsidP="00112190">
      <w:bookmarkStart w:id="13" w:name="_Hlk204551445"/>
      <w:r>
        <w:t>In einer aktuellen Bilanz des IPCC (2023) werden 500 Milliarden Tonnen CO2 bzw. Gigatonnen (500.000 Millionen Tonnen) angegeben, die maximal noch in die Luft gelassen werden können, damit das Klimaziel 1,5 Grad noch mit 50 % Wahrscheinlichkeit realistisch bleibt. Genannt wird dies verbliebenes Emissionsbudget bzw. Remaining Carbon Budget (RCB)</w:t>
      </w:r>
      <w:bookmarkEnd w:id="13"/>
      <w:r>
        <w:t>.</w:t>
      </w:r>
      <w:r>
        <w:rPr>
          <w:rStyle w:val="Funotenzeichen"/>
        </w:rPr>
        <w:footnoteReference w:id="54"/>
      </w:r>
      <w:r>
        <w:t xml:space="preserve"> Nach einer aktuellen Mitteilung des IPCC seien es, so die FAZ, aber nur noch 250 Milliarden Tonnen CO2, die bleiben, damit zu 50 % Wahrscheinlichkeit noch das 1,5 Grad Ziel erreichbar ist.</w:t>
      </w:r>
      <w:r>
        <w:rPr>
          <w:rStyle w:val="Funotenzeichen"/>
        </w:rPr>
        <w:footnoteReference w:id="55"/>
      </w:r>
      <w:r>
        <w:t xml:space="preserve"> Zwar kann man mit einem höheren 2 Grad Klimaziel liebäugeln, dann gibt es mit 1150 Mrd. Tonnen etwas mehr Spielräume.</w:t>
      </w:r>
      <w:r>
        <w:rPr>
          <w:rStyle w:val="Funotenzeichen"/>
        </w:rPr>
        <w:footnoteReference w:id="56"/>
      </w:r>
      <w:r>
        <w:t xml:space="preserve"> Aber da wir jährlich 53 Mrd. Tonnen bzw. Gigatonnen weltweit emittieren (2022)</w:t>
      </w:r>
      <w:r>
        <w:rPr>
          <w:rStyle w:val="Funotenzeichen"/>
        </w:rPr>
        <w:footnoteReference w:id="57"/>
      </w:r>
      <w:r>
        <w:t>, haben wir auch dann nicht mehr viel Zeit (5, 10 oder 23 Jahre bei diesen Mengen</w:t>
      </w:r>
      <w:r>
        <w:rPr>
          <w:rStyle w:val="Funotenzeichen"/>
        </w:rPr>
        <w:footnoteReference w:id="58"/>
      </w:r>
      <w:r>
        <w:t xml:space="preserve">), um die Erderwärmung anzuhalten. </w:t>
      </w:r>
    </w:p>
    <w:p w14:paraId="6740A2DF" w14:textId="77777777" w:rsidR="007C3BA5" w:rsidRDefault="007C3BA5" w:rsidP="00112190"/>
    <w:p w14:paraId="7946243C" w14:textId="412FF116" w:rsidR="00112190" w:rsidRDefault="00112190" w:rsidP="00112190">
      <w:r>
        <w:t xml:space="preserve">Da der Weltklimarat IPCC nicht jedes Jahr einen globalen Sachstandsbericht erarbeitet, erscheint, so </w:t>
      </w:r>
      <w:r w:rsidR="00B01479">
        <w:t>ein FAZ-Artikel</w:t>
      </w:r>
      <w:r w:rsidR="00B01479">
        <w:rPr>
          <w:rStyle w:val="Funotenzeichen"/>
        </w:rPr>
        <w:footnoteReference w:id="59"/>
      </w:r>
      <w:r>
        <w:t xml:space="preserve">, nun seit 2023 jährlich ein Bericht mit den wichtigsten Klimawandel-Indikatoren. Aktuell liegt der Bericht </w:t>
      </w:r>
      <w:proofErr w:type="spellStart"/>
      <w:r>
        <w:t>Indicators</w:t>
      </w:r>
      <w:proofErr w:type="spellEnd"/>
      <w:r>
        <w:t xml:space="preserve"> </w:t>
      </w:r>
      <w:proofErr w:type="spellStart"/>
      <w:r>
        <w:t>of</w:t>
      </w:r>
      <w:proofErr w:type="spellEnd"/>
      <w:r>
        <w:t xml:space="preserve"> Global Climate Change 2024 vor und </w:t>
      </w:r>
      <w:r w:rsidR="00CC561C">
        <w:t xml:space="preserve">er </w:t>
      </w:r>
      <w:r>
        <w:t xml:space="preserve">wurde am 04.06.2024 veröffentlicht. Dort wird etwas optimistischer argumentiert, dass die klimaschädlichen Emissionen womöglich einen Wendepunkt erreicht haben und in zwanzig Jahren halbiert werden können, wenn etwa die auf dem UN-Klimagipfel beschlossenen Maßnahmen umgesetzt werden. Die Erde erwärmt sich aber weiter, zwischen 2014 und 2023 allein hätte es eine Erwärmung von 0,26 Grad gegeben. Dazu kommen derzeit hohe Meerestemperaturen dazu, die auf den El Nino zurückzuführen sind. Derzeit würden die Emissionsmengen bei 53 Mrd. Tonnen stagnieren. Anfang 2024 gäbe es ein Restbudget von 200 Mrd. Tonnen CO2, um das Pariser Klimaziel von 1,5 Grad mit 50 % Wahrscheinlichkeit zu erreichen. Es sei denkbar, dass China durch seinen Zubau von Solar- und Windkraft seinen Höhepunkt der Emissionen bereits dieses Jahr erreicht hat. </w:t>
      </w:r>
      <w:r w:rsidR="00B01479">
        <w:t xml:space="preserve">Ich finde </w:t>
      </w:r>
      <w:r w:rsidR="00CC561C">
        <w:t>einen</w:t>
      </w:r>
      <w:r w:rsidR="00B01479">
        <w:t xml:space="preserve"> IPCC-Bericht </w:t>
      </w:r>
      <w:r w:rsidR="00CC561C">
        <w:t xml:space="preserve">mit diesen Daten </w:t>
      </w:r>
      <w:r w:rsidR="00B01479">
        <w:t>nicht im Internet</w:t>
      </w:r>
      <w:r>
        <w:t>.</w:t>
      </w:r>
      <w:r>
        <w:rPr>
          <w:rStyle w:val="Funotenzeichen"/>
        </w:rPr>
        <w:footnoteReference w:id="60"/>
      </w:r>
      <w:r>
        <w:t xml:space="preserve">   </w:t>
      </w:r>
    </w:p>
    <w:p w14:paraId="12E90C4F" w14:textId="77777777" w:rsidR="00112190" w:rsidRDefault="00112190" w:rsidP="00112190"/>
    <w:p w14:paraId="1189E594" w14:textId="365E9F69" w:rsidR="00112190" w:rsidRDefault="00112190" w:rsidP="00112190">
      <w:r>
        <w:t>Nicht alles läuft in eine positive Richtung: Besonders seit Anfang der neunziger Jahre gab es ein starkes Wirtschaftswachstum, mit einen vermehrten Bedarf nach Energie (1990 bis 2022 + 92 %), einer stärkeren Nutzung von Kohlekraftwerken und mehr Verkehr (+ 72 %).</w:t>
      </w:r>
      <w:r>
        <w:rPr>
          <w:rStyle w:val="Funotenzeichen"/>
        </w:rPr>
        <w:footnoteReference w:id="61"/>
      </w:r>
      <w:r>
        <w:t xml:space="preserve"> Weitere Beispiele: die Erhöhung der Temperaturen führt zu einer steigenden Nutzung von Klimaanlagen, was wiederum den Strombedarf erhöht, </w:t>
      </w:r>
      <w:r w:rsidR="00981855">
        <w:t xml:space="preserve">prognostiziert wird eine Steigerung </w:t>
      </w:r>
      <w:r>
        <w:t>von 3,6 Mrd. auf 9,5 Mrd. Klimaanlagen bis 2050.</w:t>
      </w:r>
      <w:r>
        <w:rPr>
          <w:rStyle w:val="Funotenzeichen"/>
        </w:rPr>
        <w:footnoteReference w:id="62"/>
      </w:r>
      <w:r>
        <w:t xml:space="preserve"> Effizienzgewinne bei der Heizung helfen nicht, wenn mehr Häuser und Wohnungen gebaut wurden, die beheizt werden müssen.</w:t>
      </w:r>
      <w:r>
        <w:rPr>
          <w:rStyle w:val="Funotenzeichen"/>
        </w:rPr>
        <w:footnoteReference w:id="63"/>
      </w:r>
      <w:r>
        <w:t xml:space="preserve"> Treibhausemissionen steigen, wenn die Bevölkerungszahl, das Einkommen und die Verstädterung ansteigt, auch weil dies zu höherem Einkommen und einer energieintensiven Lebensform führt, z.B. mit Heizung, Klimaanlage, Strom und Mineralölverbrauch.</w:t>
      </w:r>
      <w:r>
        <w:rPr>
          <w:rStyle w:val="Funotenzeichen"/>
        </w:rPr>
        <w:footnoteReference w:id="64"/>
      </w:r>
      <w:r>
        <w:t xml:space="preserve"> Schwierig ist es Konsum, Verbrauchs- und Verkehrsgewohnheiten zu ändern.</w:t>
      </w:r>
      <w:r>
        <w:rPr>
          <w:rStyle w:val="Funotenzeichen"/>
        </w:rPr>
        <w:footnoteReference w:id="65"/>
      </w:r>
      <w:r>
        <w:t xml:space="preserve"> </w:t>
      </w:r>
    </w:p>
    <w:p w14:paraId="72391F0D" w14:textId="77777777" w:rsidR="00112190" w:rsidRDefault="00112190" w:rsidP="00112190"/>
    <w:p w14:paraId="14693015" w14:textId="34148940" w:rsidR="00112190" w:rsidRDefault="00112190" w:rsidP="00112190">
      <w:r>
        <w:t xml:space="preserve">Die Internationale Energie Agentur (IEA) geht in ihrem ‚realistischen‘ Szenario im World Energy Outlook 2023 davon aus, dass der Verbrauch fossiler Brennstoffe, Öl und Gas bis 2030 sogar noch steigen wird, Kohle </w:t>
      </w:r>
      <w:r w:rsidR="00981855">
        <w:t xml:space="preserve">wird </w:t>
      </w:r>
      <w:r>
        <w:t>ab ca. 2024 deutlicher ab</w:t>
      </w:r>
      <w:r w:rsidR="00981855">
        <w:t>sinken</w:t>
      </w:r>
      <w:r>
        <w:t xml:space="preserve"> und danach geht der Verbrauch, je nach Szenario, langsamer oder schneller zurück.</w:t>
      </w:r>
      <w:r>
        <w:rPr>
          <w:rStyle w:val="Funotenzeichen"/>
        </w:rPr>
        <w:footnoteReference w:id="66"/>
      </w:r>
      <w:r>
        <w:t xml:space="preserve"> Im GHG </w:t>
      </w:r>
      <w:proofErr w:type="spellStart"/>
      <w:r>
        <w:t>Emissions</w:t>
      </w:r>
      <w:proofErr w:type="spellEnd"/>
      <w:r>
        <w:t xml:space="preserve"> </w:t>
      </w:r>
      <w:proofErr w:type="spellStart"/>
      <w:r>
        <w:t>of</w:t>
      </w:r>
      <w:proofErr w:type="spellEnd"/>
      <w:r>
        <w:t xml:space="preserve"> all World Countries 2023 Report wird </w:t>
      </w:r>
      <w:r w:rsidR="00981855" w:rsidRPr="00981855">
        <w:rPr>
          <w:b/>
          <w:bCs/>
        </w:rPr>
        <w:t xml:space="preserve">noch </w:t>
      </w:r>
      <w:r w:rsidRPr="00981855">
        <w:rPr>
          <w:b/>
          <w:bCs/>
        </w:rPr>
        <w:t xml:space="preserve">2019 bis 2022 von </w:t>
      </w:r>
      <w:r w:rsidR="00981855" w:rsidRPr="00981855">
        <w:rPr>
          <w:b/>
          <w:bCs/>
        </w:rPr>
        <w:t>THG-Emissionss</w:t>
      </w:r>
      <w:r w:rsidRPr="00981855">
        <w:rPr>
          <w:b/>
          <w:bCs/>
        </w:rPr>
        <w:t>teigerungen mehrerer Länder berichtet, China 7,4 %, Indien 5,7 %, Indonesien 6,8 %, Iran 3,9 %, Mexiko 3,7 %, Saudi Arabien 6,4 %, Türkei 15,8 %</w:t>
      </w:r>
      <w:r>
        <w:t>.</w:t>
      </w:r>
      <w:r>
        <w:rPr>
          <w:rStyle w:val="Funotenzeichen"/>
        </w:rPr>
        <w:footnoteReference w:id="67"/>
      </w:r>
      <w:r>
        <w:t xml:space="preserve"> </w:t>
      </w:r>
      <w:r w:rsidR="00B01479">
        <w:t xml:space="preserve">Im </w:t>
      </w:r>
      <w:r w:rsidR="00B01479">
        <w:lastRenderedPageBreak/>
        <w:t>Juli 2024 hat BP seine Prognosen zur Nachfrage nach Erdöl und Erdgas nach oben korrigiert.</w:t>
      </w:r>
      <w:r w:rsidR="00B01479">
        <w:rPr>
          <w:rStyle w:val="Funotenzeichen"/>
        </w:rPr>
        <w:footnoteReference w:id="68"/>
      </w:r>
      <w:r w:rsidR="00B01479">
        <w:t xml:space="preserve"> </w:t>
      </w:r>
      <w:r>
        <w:t>Wenn der Verbrauch fossiler Brennstoffe, besonders Öl und Gas, bis 2030 noch ansteigt und danach erst langsam zurückgeht und selbst 2050 noch auf hohem Niveau besteht, wie die IEA im World Energy Outlook 2023 annimmt, dann lässt sich bis 2050 das Net-Zero-Ziel nicht erreichen, siehe dazu auch Vaclav Smil (2024: 6). Vaclav Smil (2022, 2024) weist eindringlich auf die schwierige Natur das Umstieg auf Elektrizität hin, weil so vieles der modernen Welt auf Öl, Gas und Kohle basiert.</w:t>
      </w:r>
    </w:p>
    <w:p w14:paraId="226660EF" w14:textId="77777777" w:rsidR="00112190" w:rsidRDefault="00112190" w:rsidP="00112190"/>
    <w:tbl>
      <w:tblPr>
        <w:tblStyle w:val="Tabellenraster"/>
        <w:tblW w:w="0" w:type="auto"/>
        <w:tblLook w:val="04A0" w:firstRow="1" w:lastRow="0" w:firstColumn="1" w:lastColumn="0" w:noHBand="0" w:noVBand="1"/>
      </w:tblPr>
      <w:tblGrid>
        <w:gridCol w:w="9062"/>
      </w:tblGrid>
      <w:tr w:rsidR="00112190" w14:paraId="69B96B4D" w14:textId="77777777" w:rsidTr="006B301B">
        <w:tc>
          <w:tcPr>
            <w:tcW w:w="9062" w:type="dxa"/>
          </w:tcPr>
          <w:p w14:paraId="699231BC" w14:textId="77F544A0" w:rsidR="00222268" w:rsidRDefault="00112190" w:rsidP="00421B77">
            <w:r>
              <w:t>Spitzenbedarf im Stromnetz von China</w:t>
            </w:r>
            <w:r w:rsidR="003F0865">
              <w:t xml:space="preserve"> (und Deutschland</w:t>
            </w:r>
            <w:r w:rsidR="00E3785D">
              <w:t xml:space="preserve"> und deutsche E-Autos</w:t>
            </w:r>
            <w:r w:rsidR="003F0865">
              <w:t>)</w:t>
            </w:r>
            <w:r>
              <w:t>. Ein Grund dafür, dass China im Jahr 2022 ca. 38 neue Kohlekraftwerke begann zu bauen, war</w:t>
            </w:r>
            <w:r w:rsidR="0076611E">
              <w:t>, siehe oben schon,</w:t>
            </w:r>
            <w:r>
              <w:t xml:space="preserve"> paradoxerweise auch, dass durch </w:t>
            </w:r>
            <w:r w:rsidRPr="0086168C">
              <w:rPr>
                <w:u w:val="single"/>
              </w:rPr>
              <w:t>die Hitzewelle ein erhöhter Strombedarf durch Klimaanlagen zu verzeichnen war</w:t>
            </w:r>
            <w:r>
              <w:t>, mit einem kurzfristigem Spitzenbedarf im Stromnetz von China von 1290 GW</w:t>
            </w:r>
            <w:r w:rsidR="000E65B3">
              <w:t xml:space="preserve"> Leistung</w:t>
            </w:r>
            <w:r>
              <w:t>.</w:t>
            </w:r>
            <w:r>
              <w:rPr>
                <w:rStyle w:val="Funotenzeichen"/>
              </w:rPr>
              <w:footnoteReference w:id="69"/>
            </w:r>
            <w:r>
              <w:t xml:space="preserve"> </w:t>
            </w:r>
          </w:p>
          <w:p w14:paraId="15C360C0" w14:textId="77777777" w:rsidR="00222268" w:rsidRDefault="00222268" w:rsidP="00421B77"/>
          <w:p w14:paraId="46FBF90A" w14:textId="7613095C" w:rsidR="00222268" w:rsidRDefault="000D484B" w:rsidP="00222268">
            <w:r>
              <w:t xml:space="preserve">Zu Vergleich: </w:t>
            </w:r>
            <w:r w:rsidR="00222268">
              <w:t>Die deutsche maximal gemessene Last betrug 2018 78 GW bzw. 78.000 MW. Wenn 1 Mill. Elektrofahrzeuge an einem 11 kW Ladepunkt gleichzeitig laden würden, ergäbe dies eine 11.000 MW bzw. 11 GW Gesamtlast, lt. eines Berichts der Monopolkommission.</w:t>
            </w:r>
            <w:r w:rsidR="00222268">
              <w:rPr>
                <w:rStyle w:val="Funotenzeichen"/>
              </w:rPr>
              <w:footnoteReference w:id="70"/>
            </w:r>
            <w:r w:rsidR="00222268">
              <w:t xml:space="preserve"> </w:t>
            </w:r>
          </w:p>
          <w:p w14:paraId="4B8DD1D8" w14:textId="77777777" w:rsidR="00222268" w:rsidRDefault="00222268" w:rsidP="00222268"/>
          <w:p w14:paraId="31AE96D6" w14:textId="73D33B75" w:rsidR="0086168C" w:rsidRDefault="00222268" w:rsidP="00222268">
            <w:r>
              <w:t>Bierdeckel</w:t>
            </w:r>
            <w:r w:rsidR="0086168C">
              <w:t>überprüfung</w:t>
            </w:r>
            <w:r>
              <w:t xml:space="preserve">: </w:t>
            </w:r>
            <w:r w:rsidR="0086168C">
              <w:t xml:space="preserve">11 kW sind </w:t>
            </w:r>
            <w:r>
              <w:t>11000 W * 1.000.000 = 11.000.000.000 W / = 11.000.000 kW /= 11.000 MW /= 11 GW -&gt; daraus folgt natürlich auch, dass es dann, wenn es mehr E-Autos gäbe, etwa 5 Millionen und man weiter von 11 kW Ladepunkten ausgeht, die Last auf 55 GW ansteigt</w:t>
            </w:r>
            <w:r w:rsidR="0086168C">
              <w:t>, bei 10 Millionen auf 110 GW, man will gar nicht wissen, was bei 10 Millionen E-Autos und 50 kW ist, nach Adam Riese: 500 GW</w:t>
            </w:r>
            <w:r w:rsidR="00E3785D">
              <w:t xml:space="preserve"> (im Bereich Schnellladen geht es bis 400 kW –</w:t>
            </w:r>
            <w:r w:rsidR="00E90962">
              <w:t xml:space="preserve"> aber nicht alle Autos benutzen gleichzeitig Schnellladen …) Was ist, wenn 1 Mill. E-Autos gleichzeitig mit 300 kW Schnellladen? Antwort: 300 GW. </w:t>
            </w:r>
            <w:r w:rsidR="006A0798">
              <w:t>Kurz: 10 Mill. E-Autos gleichzeitig schnell laden, das geht nicht, dazu wären 3000 GW Leistung</w:t>
            </w:r>
            <w:r w:rsidR="00FD7E05">
              <w:t xml:space="preserve"> nötig</w:t>
            </w:r>
            <w:r w:rsidR="006A0798">
              <w:t xml:space="preserve">. </w:t>
            </w:r>
          </w:p>
          <w:p w14:paraId="74901D2A" w14:textId="77777777" w:rsidR="0086168C" w:rsidRDefault="0086168C" w:rsidP="00222268"/>
          <w:p w14:paraId="15D5D292" w14:textId="6F57C8F4" w:rsidR="00222268" w:rsidRDefault="00222268" w:rsidP="00222268">
            <w:r>
              <w:t xml:space="preserve">Beruhigend ist, dass </w:t>
            </w:r>
            <w:r w:rsidR="0086168C">
              <w:t xml:space="preserve">eine </w:t>
            </w:r>
            <w:r>
              <w:t xml:space="preserve">Leistung </w:t>
            </w:r>
            <w:r w:rsidR="0086168C">
              <w:t xml:space="preserve">in dieser </w:t>
            </w:r>
            <w:r w:rsidR="0086168C" w:rsidRPr="0086168C">
              <w:rPr>
                <w:u w:val="single"/>
              </w:rPr>
              <w:t>Dimension</w:t>
            </w:r>
            <w:r w:rsidR="0086168C">
              <w:t xml:space="preserve"> in</w:t>
            </w:r>
            <w:r>
              <w:t xml:space="preserve"> Deutschland</w:t>
            </w:r>
            <w:r w:rsidR="00E3785D">
              <w:t xml:space="preserve"> </w:t>
            </w:r>
            <w:r w:rsidR="006A0798">
              <w:t xml:space="preserve">schon heute </w:t>
            </w:r>
            <w:r>
              <w:t xml:space="preserve">vorhanden ist </w:t>
            </w:r>
            <w:r w:rsidR="0086168C">
              <w:t>–</w:t>
            </w:r>
            <w:r w:rsidR="000D484B">
              <w:t>i</w:t>
            </w:r>
            <w:r>
              <w:t>n Deutschland haben alle am Strommarkt angeschlossenen Kraftwerke, Stand 31. Dezember 2022, eine Leistung von 234 GW.</w:t>
            </w:r>
            <w:r>
              <w:rPr>
                <w:rStyle w:val="Funotenzeichen"/>
              </w:rPr>
              <w:footnoteReference w:id="71"/>
            </w:r>
            <w:r w:rsidR="00E3785D">
              <w:t xml:space="preserve"> </w:t>
            </w:r>
            <w:r w:rsidR="006A0798">
              <w:t xml:space="preserve">Das würde bei 11 kW für 20 Millionen E-Autos gleichzeitig reichen (einmal mögliche Netzengpässe auf lokaler Ebene ausgeklammert). </w:t>
            </w:r>
            <w:r w:rsidR="00E3785D">
              <w:t xml:space="preserve">Dennoch wirft dies natürlich Fragen auf … </w:t>
            </w:r>
            <w:r w:rsidR="006A0798">
              <w:t xml:space="preserve">man kann bei den E-Autos </w:t>
            </w:r>
            <w:r w:rsidR="00FD7E05">
              <w:t xml:space="preserve">die Leistung der Energieversorgung </w:t>
            </w:r>
            <w:r w:rsidR="006A0798">
              <w:t xml:space="preserve">nicht einfach </w:t>
            </w:r>
            <w:r w:rsidR="00FD7E05">
              <w:t xml:space="preserve">so auf 3000 GW </w:t>
            </w:r>
            <w:r w:rsidR="00E90962">
              <w:t>skaliere</w:t>
            </w:r>
            <w:r w:rsidR="006A0798">
              <w:t>n …</w:t>
            </w:r>
            <w:r w:rsidR="00E90962">
              <w:t xml:space="preserve"> eine Idee wäre, dass man </w:t>
            </w:r>
            <w:proofErr w:type="gramStart"/>
            <w:r w:rsidR="00E90962">
              <w:t>Mittags</w:t>
            </w:r>
            <w:proofErr w:type="gramEnd"/>
            <w:r w:rsidR="00E90962">
              <w:t xml:space="preserve"> mit Solarstrom bei seinem Arbeitgeber auf dem Parkplatz lädt</w:t>
            </w:r>
            <w:r w:rsidR="006A0798">
              <w:t xml:space="preserve"> und dass dieser Strom dezentral vorhanden sein muss, damit nicht zusätzlicher Netzausbau sein muss, </w:t>
            </w:r>
            <w:r w:rsidR="00E90962">
              <w:t>dass man überall, in allen Gemeinden, Regionen etc. Solarstrom u.a. für diesen Zweck ausbau</w:t>
            </w:r>
            <w:r w:rsidR="006A0798">
              <w:t>t</w:t>
            </w:r>
            <w:r w:rsidR="00E90962">
              <w:t xml:space="preserve"> und dies müsste auch in die Netzentwicklungspläne einfließen … und:</w:t>
            </w:r>
            <w:r w:rsidR="00E3785D">
              <w:t xml:space="preserve"> man sollte jedem Mittelklassehaushalt mit Haus dankbar sein, wenn sie über die eigene Solaranlage laden wollen</w:t>
            </w:r>
            <w:r w:rsidR="00E90962">
              <w:t xml:space="preserve"> …</w:t>
            </w:r>
            <w:r w:rsidR="00E3785D">
              <w:t xml:space="preserve"> fragt sich nur, was im Winter passiert </w:t>
            </w:r>
            <w:proofErr w:type="gramStart"/>
            <w:r w:rsidR="00E3785D">
              <w:t>…</w:t>
            </w:r>
            <w:proofErr w:type="gramEnd"/>
            <w:r w:rsidR="006A0798">
              <w:t xml:space="preserve"> wenn über eine Woche </w:t>
            </w:r>
            <w:r w:rsidR="0082596C">
              <w:t>kaum die Sonne scheint … dann müssen die Wasserstoffkraftwerke einspringen … und es ist selbst dann immer noch eine Netzreserve aus Kohlekraftwerken sinnvoll, die dann zweimal im Jahr anspringt</w:t>
            </w:r>
            <w:r w:rsidR="00E3785D">
              <w:t xml:space="preserve"> </w:t>
            </w:r>
            <w:r w:rsidR="00E3785D">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sidR="006A0798">
              <w:t xml:space="preserve"> </w:t>
            </w:r>
          </w:p>
          <w:p w14:paraId="3C7CB9D1" w14:textId="77777777" w:rsidR="00222268" w:rsidRDefault="00222268" w:rsidP="00222268"/>
          <w:p w14:paraId="433B4C40" w14:textId="70BFC1D3" w:rsidR="00A53386" w:rsidRDefault="009F624B" w:rsidP="00A53386">
            <w:r>
              <w:lastRenderedPageBreak/>
              <w:t>Kohlekraftwerke kommen auf die Hälfte der Energieversorgung Chinas, sieht man nur auf die Stromversorgung sind es nur 60 %, Sonne und Wind kamen für 14 % der Stromversorgung auf (2023).</w:t>
            </w:r>
            <w:r>
              <w:rPr>
                <w:rStyle w:val="Funotenzeichen"/>
              </w:rPr>
              <w:footnoteReference w:id="72"/>
            </w:r>
            <w:r>
              <w:t xml:space="preserve"> </w:t>
            </w:r>
            <w:r w:rsidR="002F048E">
              <w:t>Im ersten Halbjahr 2024 wurden 9 GW an Kohlekraftwerkskapazität genehmigt, dies wird von Kommentatoren als positiv angesehen, weil es einen starken Rückgang im Vergleich zum Jahr davor darstellt.</w:t>
            </w:r>
            <w:r w:rsidR="002F048E">
              <w:rPr>
                <w:rStyle w:val="Funotenzeichen"/>
              </w:rPr>
              <w:t xml:space="preserve"> </w:t>
            </w:r>
            <w:r w:rsidR="002F048E">
              <w:rPr>
                <w:rStyle w:val="Funotenzeichen"/>
              </w:rPr>
              <w:footnoteReference w:id="73"/>
            </w:r>
            <w:r w:rsidR="002F048E">
              <w:t xml:space="preserve"> </w:t>
            </w:r>
            <w:r w:rsidR="00A53386">
              <w:t>Gemeldet wird weiterhin, dass Chinas Kohlekraftwerke nicht auf voller Kapazität laufen, sondern statt 70 % der Zeit wie früher</w:t>
            </w:r>
            <w:r w:rsidR="00B542CE">
              <w:t>,</w:t>
            </w:r>
            <w:r w:rsidR="00A53386">
              <w:t xml:space="preserve"> nur noch 50 % der Zeit. Diese Zahlen werden so erklärt, dass sie oft als Spitzenlast-Kraftwerke dienen, die nur bei hohen Lastspitzen anlaufen.</w:t>
            </w:r>
            <w:r w:rsidR="00A53386">
              <w:rPr>
                <w:rStyle w:val="Funotenzeichen"/>
              </w:rPr>
              <w:footnoteReference w:id="74"/>
            </w:r>
            <w:r w:rsidR="00A53386">
              <w:t xml:space="preserve"> </w:t>
            </w:r>
            <w:r w:rsidR="002A310A">
              <w:t>In diesem FAZ-Artikel vom 30.04.2025 wird gemeldet, dass China einen immer höheren Stromverbrauch hat, im Jahr 2024 hat der Stromverbrauch um 7 % bzw. 631 Terawattstunden zugenommen, die Kohleverstromung nahm um 1,7 % zu, ihr Anteil liegt bei 55 %. China plant den Anteil von Atomkraft von 5 % auf 15 % zu erhöhen.</w:t>
            </w:r>
            <w:r w:rsidR="002A310A">
              <w:rPr>
                <w:rStyle w:val="Funotenzeichen"/>
              </w:rPr>
              <w:footnoteReference w:id="75"/>
            </w:r>
            <w:r w:rsidR="002A310A">
              <w:t xml:space="preserve"> </w:t>
            </w:r>
            <w:r w:rsidR="00FD7E05">
              <w:t xml:space="preserve">Wenn China, wie am 25.09.2035 angekündigt, die Kapazität der erneuerbaren Energien bis 2035 </w:t>
            </w:r>
            <w:proofErr w:type="spellStart"/>
            <w:r w:rsidR="00FD7E05">
              <w:t>versechsfachen</w:t>
            </w:r>
            <w:proofErr w:type="spellEnd"/>
            <w:r w:rsidR="00FD7E05">
              <w:t xml:space="preserve"> will</w:t>
            </w:r>
            <w:r w:rsidR="00FD7E05">
              <w:rPr>
                <w:rStyle w:val="Funotenzeichen"/>
              </w:rPr>
              <w:footnoteReference w:id="76"/>
            </w:r>
            <w:r w:rsidR="001253A4">
              <w:t>, dann müssten sie bei 84 % der Stromversorgung liegen und wenn China den Anteil nichtfossiler Brennstoff am Gesamtenergieverbrauch auf mehr als 30 %</w:t>
            </w:r>
            <w:r w:rsidR="001253A4">
              <w:rPr>
                <w:rStyle w:val="Funotenzeichen"/>
              </w:rPr>
              <w:footnoteReference w:id="77"/>
            </w:r>
            <w:r w:rsidR="001253A4">
              <w:t xml:space="preserve"> bringen will</w:t>
            </w:r>
            <w:r w:rsidR="00FD7E05">
              <w:t xml:space="preserve">, wird es natürlich interessant, wie China dann die Kosten für den Ausbau tragen will bzw. wie China es vermeiden will, dass die Ausbaukosten den Strompreis erhöhen und wie China es lösen will, im Winter Engpässe zu vermeiden, wenn Solar nicht mehr eine so hohe Leistung hat bzw. spannend ist natürlich wie China mit dem ‚deutschen‘ Problem umgeht, dass Speicher nötig </w:t>
            </w:r>
            <w:proofErr w:type="spellStart"/>
            <w:r w:rsidR="00FD7E05">
              <w:t>ind</w:t>
            </w:r>
            <w:proofErr w:type="spellEnd"/>
            <w:r w:rsidR="00FD7E05">
              <w:t xml:space="preserve"> und ggf. auch Wasserstoff </w:t>
            </w:r>
            <w:r w:rsidR="00D94F1B">
              <w:t xml:space="preserve">hergestellt werden muss und Wasserstoffgaskraftwerke im Winter anspringen. </w:t>
            </w:r>
            <w:r w:rsidR="00FD7E05">
              <w:t xml:space="preserve"> </w:t>
            </w:r>
          </w:p>
          <w:p w14:paraId="4022F050" w14:textId="77777777" w:rsidR="00A53386" w:rsidRDefault="00A53386" w:rsidP="00421B77"/>
          <w:p w14:paraId="24E53538" w14:textId="1CB48E9C" w:rsidR="00981855" w:rsidRDefault="00A53386" w:rsidP="00421B77">
            <w:r>
              <w:t>Drei</w:t>
            </w:r>
            <w:r w:rsidR="005557BC">
              <w:t xml:space="preserve"> </w:t>
            </w:r>
            <w:r>
              <w:t xml:space="preserve">weitere </w:t>
            </w:r>
            <w:r w:rsidR="005557BC">
              <w:t>Dinge darf ma</w:t>
            </w:r>
            <w:r>
              <w:t xml:space="preserve">n </w:t>
            </w:r>
            <w:r w:rsidR="00B542CE">
              <w:t xml:space="preserve">bei China </w:t>
            </w:r>
            <w:r w:rsidR="005557BC">
              <w:t xml:space="preserve">nicht vergessen: </w:t>
            </w:r>
            <w:r>
              <w:t xml:space="preserve">Erstens stellt </w:t>
            </w:r>
            <w:r w:rsidR="00F415D8">
              <w:t>China</w:t>
            </w:r>
            <w:r>
              <w:t xml:space="preserve"> </w:t>
            </w:r>
            <w:r w:rsidR="00F415D8">
              <w:t xml:space="preserve">in seinen Fabriken </w:t>
            </w:r>
            <w:r w:rsidR="00B81276">
              <w:t xml:space="preserve">und in den Fabriken ausländischer Investoren </w:t>
            </w:r>
            <w:r w:rsidR="00BE1390">
              <w:t xml:space="preserve">in China </w:t>
            </w:r>
            <w:r w:rsidR="00F415D8">
              <w:t>Dinge für die ganze Welt her</w:t>
            </w:r>
            <w:r w:rsidR="00B81276">
              <w:t>. Die Inputgüter für diese Produktion, Stahl und Plastik, werden in China</w:t>
            </w:r>
            <w:r w:rsidR="00491F3D">
              <w:t xml:space="preserve"> </w:t>
            </w:r>
            <w:r w:rsidR="00F415D8">
              <w:t>teils mit CO2-intensive</w:t>
            </w:r>
            <w:r w:rsidR="00491F3D">
              <w:t>n</w:t>
            </w:r>
            <w:r w:rsidR="00F415D8">
              <w:t xml:space="preserve"> Prozesse</w:t>
            </w:r>
            <w:r w:rsidR="00491F3D">
              <w:t>n</w:t>
            </w:r>
            <w:r w:rsidR="00F415D8">
              <w:t xml:space="preserve"> bzw. mit Strom aus Kohlekraftwerken</w:t>
            </w:r>
            <w:r w:rsidR="00B81276">
              <w:t xml:space="preserve"> hergestellt</w:t>
            </w:r>
            <w:r w:rsidR="00F415D8">
              <w:t xml:space="preserve">. </w:t>
            </w:r>
            <w:r w:rsidR="00BE1390">
              <w:t xml:space="preserve">Investoren </w:t>
            </w:r>
            <w:r w:rsidR="00B542CE">
              <w:t xml:space="preserve">und Konsumenten </w:t>
            </w:r>
            <w:r w:rsidR="00BE1390">
              <w:t>aus westlichen Ländern profitieren also auch von dem Kohlestrom. Wenn wir z.B. im Baumarkt Werkzeuge von Ryobi und sonstige Dinge aus China kaufen, sind diese eben mit Hilfe von Kohlestrom hergestellt.</w:t>
            </w:r>
            <w:r w:rsidR="00BE1390">
              <w:rPr>
                <w:rStyle w:val="Funotenzeichen"/>
              </w:rPr>
              <w:footnoteReference w:id="78"/>
            </w:r>
            <w:r w:rsidR="00BE1390">
              <w:t xml:space="preserve"> </w:t>
            </w:r>
          </w:p>
          <w:p w14:paraId="5073A9A6" w14:textId="77777777" w:rsidR="00981855" w:rsidRDefault="00981855" w:rsidP="00421B77"/>
          <w:p w14:paraId="2331B2D3" w14:textId="656B429C" w:rsidR="00BE1390" w:rsidRDefault="00A53386" w:rsidP="00421B77">
            <w:r>
              <w:t>Zweitens ist d</w:t>
            </w:r>
            <w:r w:rsidR="00F415D8">
              <w:t xml:space="preserve">ie Produktion </w:t>
            </w:r>
            <w:r w:rsidR="00BE1390">
              <w:t xml:space="preserve">in China </w:t>
            </w:r>
            <w:r w:rsidR="00F415D8">
              <w:t>wichtig</w:t>
            </w:r>
            <w:r w:rsidR="00491F3D">
              <w:t xml:space="preserve"> für die Energiewende</w:t>
            </w:r>
            <w:r w:rsidR="00151322">
              <w:t>.</w:t>
            </w:r>
            <w:r w:rsidR="00F415D8">
              <w:t xml:space="preserve"> </w:t>
            </w:r>
            <w:r w:rsidR="009804F0">
              <w:t>China hat auf E-</w:t>
            </w:r>
            <w:r w:rsidR="00C528E2">
              <w:t>A</w:t>
            </w:r>
            <w:r w:rsidR="009804F0">
              <w:t xml:space="preserve">utos gesetzt und wird damit in den nächsten Jahren einen großen Beitrag zur Emissionsreduzierung leisten, siehe </w:t>
            </w:r>
            <w:r w:rsidR="007110C9">
              <w:t>z.B.</w:t>
            </w:r>
            <w:r>
              <w:t xml:space="preserve"> </w:t>
            </w:r>
            <w:r w:rsidR="009804F0">
              <w:t>die Wikipedia Seite des chinesischen Automobil-Ingenieur</w:t>
            </w:r>
            <w:r w:rsidR="007110C9">
              <w:t>s</w:t>
            </w:r>
            <w:r w:rsidR="009804F0">
              <w:t xml:space="preserve"> und Politikers Wan Gang, der sich früh dafür einsetzte.</w:t>
            </w:r>
            <w:r w:rsidR="009804F0">
              <w:rPr>
                <w:rStyle w:val="Funotenzeichen"/>
              </w:rPr>
              <w:footnoteReference w:id="79"/>
            </w:r>
            <w:r w:rsidR="009804F0">
              <w:t xml:space="preserve"> </w:t>
            </w:r>
            <w:r w:rsidR="00F415D8">
              <w:t xml:space="preserve">Essentiell für die ganze Welt ist </w:t>
            </w:r>
            <w:r w:rsidR="009804F0">
              <w:t xml:space="preserve">weiterhin </w:t>
            </w:r>
            <w:r w:rsidR="00F415D8">
              <w:t xml:space="preserve">die CO2-intensive, weil stromintensive Produktion von Polysilizium aus Quarzsand mit Lichtbogenöfen und das </w:t>
            </w:r>
            <w:r w:rsidR="009F624B">
              <w:t xml:space="preserve">nachfolgende, wieder energieintensive </w:t>
            </w:r>
            <w:r w:rsidR="00F415D8">
              <w:t xml:space="preserve">Schmelzen der Ingots für Solarzellen. Essentiell ist </w:t>
            </w:r>
            <w:r w:rsidR="009804F0">
              <w:t xml:space="preserve">zudem </w:t>
            </w:r>
            <w:r w:rsidR="00F415D8">
              <w:t xml:space="preserve">das Schmelzen von Metallen in Gießereien u.a. von Seltenen Erden </w:t>
            </w:r>
            <w:r w:rsidR="00151322">
              <w:t>und die</w:t>
            </w:r>
            <w:r w:rsidR="00F415D8">
              <w:t xml:space="preserve"> Herstellung von </w:t>
            </w:r>
            <w:r w:rsidR="00151322">
              <w:lastRenderedPageBreak/>
              <w:t>Neodym-</w:t>
            </w:r>
            <w:r w:rsidR="0041305D">
              <w:t>Magneten für die direkt angetriebenen Windkraftanlagen</w:t>
            </w:r>
            <w:r w:rsidR="00151322">
              <w:t xml:space="preserve"> in einem energieintensiven Sinterprozess</w:t>
            </w:r>
            <w:r w:rsidR="00F415D8">
              <w:t xml:space="preserve">. </w:t>
            </w:r>
            <w:r w:rsidR="003362C1">
              <w:t xml:space="preserve">In einer Phoenix Dokumentation ‚Lithium am Oberrhein‘ reist die Filmcrew nach China zu einer Lithium Verarbeitungsfabrik </w:t>
            </w:r>
            <w:r w:rsidR="009804F0">
              <w:t xml:space="preserve">der Firma </w:t>
            </w:r>
            <w:proofErr w:type="spellStart"/>
            <w:r w:rsidR="00981855">
              <w:t>Abermarle</w:t>
            </w:r>
            <w:proofErr w:type="spellEnd"/>
            <w:r w:rsidR="002D69CE">
              <w:rPr>
                <w:rStyle w:val="Funotenzeichen"/>
              </w:rPr>
              <w:footnoteReference w:id="80"/>
            </w:r>
            <w:r w:rsidR="00981855">
              <w:t xml:space="preserve"> </w:t>
            </w:r>
            <w:r w:rsidR="003362C1">
              <w:t xml:space="preserve">und kann beobachten, wie dort Kohlezüge ankommen, die für </w:t>
            </w:r>
            <w:r w:rsidR="002D69CE">
              <w:t xml:space="preserve">Energieversorgung </w:t>
            </w:r>
            <w:r w:rsidR="003362C1">
              <w:t>dort sorgen</w:t>
            </w:r>
            <w:r w:rsidR="00981855">
              <w:rPr>
                <w:rStyle w:val="Funotenzeichen"/>
              </w:rPr>
              <w:footnoteReference w:id="81"/>
            </w:r>
            <w:r w:rsidR="003362C1">
              <w:t xml:space="preserve">, beim </w:t>
            </w:r>
            <w:proofErr w:type="spellStart"/>
            <w:r w:rsidR="003362C1">
              <w:t>Karbonisierungsprozess</w:t>
            </w:r>
            <w:proofErr w:type="spellEnd"/>
            <w:r w:rsidR="003362C1">
              <w:t xml:space="preserve"> muss es auf 80 bis 90 Grad erhitzt werden</w:t>
            </w:r>
            <w:r w:rsidR="002D69CE">
              <w:t xml:space="preserve"> (es ist nicht die Rede von höheren Temperaturen)</w:t>
            </w:r>
            <w:r w:rsidR="003362C1">
              <w:t>.</w:t>
            </w:r>
            <w:r w:rsidR="003362C1">
              <w:rPr>
                <w:rStyle w:val="Funotenzeichen"/>
              </w:rPr>
              <w:footnoteReference w:id="82"/>
            </w:r>
            <w:r w:rsidR="003362C1">
              <w:t xml:space="preserve"> </w:t>
            </w:r>
            <w:r w:rsidR="00981855">
              <w:t xml:space="preserve"> </w:t>
            </w:r>
          </w:p>
          <w:p w14:paraId="32DCA096" w14:textId="77777777" w:rsidR="00BE1390" w:rsidRDefault="00BE1390" w:rsidP="00421B77"/>
          <w:p w14:paraId="5CA01FFC" w14:textId="7AAB1F80" w:rsidR="00BE1390" w:rsidRDefault="00A53386" w:rsidP="00421B77">
            <w:r>
              <w:t>Drittens</w:t>
            </w:r>
            <w:r w:rsidR="00BE1390">
              <w:t xml:space="preserve"> kann man China zugutehalten, </w:t>
            </w:r>
            <w:r w:rsidR="00491F3D">
              <w:t xml:space="preserve">dass </w:t>
            </w:r>
            <w:r w:rsidR="00BE1390">
              <w:t>es</w:t>
            </w:r>
            <w:r w:rsidR="00491F3D">
              <w:t xml:space="preserve"> h</w:t>
            </w:r>
            <w:r w:rsidR="007645DA">
              <w:t>ohe</w:t>
            </w:r>
            <w:r w:rsidR="00491F3D">
              <w:t xml:space="preserve"> Investitionen in erneuerbare Energien </w:t>
            </w:r>
            <w:r w:rsidR="007645DA">
              <w:t xml:space="preserve">vorweisen kann, etwa 2017 126,6 Mrd. US$ und es </w:t>
            </w:r>
            <w:r w:rsidR="00222268">
              <w:t>kam</w:t>
            </w:r>
            <w:r w:rsidR="007645DA">
              <w:t xml:space="preserve"> 2024 </w:t>
            </w:r>
            <w:r w:rsidR="00222268">
              <w:t xml:space="preserve">für </w:t>
            </w:r>
            <w:r w:rsidR="007645DA">
              <w:t>64 % aller weltweit in Bau befindlichen Solar- und Windkraftkapazitäten auf</w:t>
            </w:r>
            <w:r w:rsidR="00B542CE">
              <w:t>. Die Kapazität beträgt 1,4 Terawatt</w:t>
            </w:r>
            <w:r w:rsidR="00EC16B9">
              <w:t xml:space="preserve">. 1,4 Terawatt * 8760 = 12264 Terawattstunden * einen realistischen Kapazitätsfaktor für Wind und Solar gleichzeitig, nehmen wird 20 %, also * 0,20 = 2452 Terawattstunden. </w:t>
            </w:r>
            <w:bookmarkStart w:id="17" w:name="_Hlk203830590"/>
            <w:r w:rsidR="00EC16B9">
              <w:t>Diese Rechnung war nur ein Test, ob die Angaben in Wikipedia stimmen können:</w:t>
            </w:r>
            <w:r w:rsidR="00222268">
              <w:t xml:space="preserve"> im Jahr 2021 stammten 2323 TWh Strom aus erneuerbaren Energien, von 8376 TWh</w:t>
            </w:r>
            <w:r w:rsidR="007645DA">
              <w:rPr>
                <w:rStyle w:val="Funotenzeichen"/>
              </w:rPr>
              <w:footnoteReference w:id="83"/>
            </w:r>
            <w:r w:rsidR="00222268">
              <w:t xml:space="preserve"> (hier wird mit 7500 TWh </w:t>
            </w:r>
            <w:r w:rsidR="00EC16B9">
              <w:t xml:space="preserve">Strombedarf </w:t>
            </w:r>
            <w:r w:rsidR="00222268">
              <w:t>gerechnet)</w:t>
            </w:r>
            <w:r w:rsidR="007645DA">
              <w:t xml:space="preserve"> </w:t>
            </w:r>
            <w:bookmarkEnd w:id="17"/>
            <w:r w:rsidR="00EC16B9">
              <w:t xml:space="preserve">– das ist tatsächlich viel </w:t>
            </w:r>
            <w:proofErr w:type="gramStart"/>
            <w:r w:rsidR="00EC16B9">
              <w:t>-  aber</w:t>
            </w:r>
            <w:proofErr w:type="gramEnd"/>
            <w:r w:rsidR="00EC16B9">
              <w:t xml:space="preserve"> in Relation zum Primärenergiebedarf Chinas ist es wieder weniger - </w:t>
            </w:r>
            <w:r w:rsidR="00491F3D">
              <w:t xml:space="preserve">und </w:t>
            </w:r>
            <w:r w:rsidR="00EC16B9">
              <w:t xml:space="preserve">China </w:t>
            </w:r>
            <w:r w:rsidR="00222268">
              <w:t xml:space="preserve">hat </w:t>
            </w:r>
            <w:r w:rsidR="00491F3D">
              <w:t xml:space="preserve">die höchsten </w:t>
            </w:r>
            <w:r w:rsidR="009F624B">
              <w:t>Produktionsk</w:t>
            </w:r>
            <w:r w:rsidR="00491F3D">
              <w:t xml:space="preserve">apazitäten </w:t>
            </w:r>
            <w:r w:rsidR="005557BC">
              <w:t>im Bereich</w:t>
            </w:r>
            <w:r w:rsidR="00491F3D">
              <w:t xml:space="preserve"> Solar</w:t>
            </w:r>
            <w:r w:rsidR="009F624B">
              <w:t xml:space="preserve"> vorweisen kann</w:t>
            </w:r>
            <w:r w:rsidR="00222268">
              <w:t>, siehe Teil 1.</w:t>
            </w:r>
            <w:r w:rsidR="00491F3D">
              <w:t xml:space="preserve"> </w:t>
            </w:r>
          </w:p>
          <w:p w14:paraId="5A5EB561" w14:textId="77777777" w:rsidR="00A53386" w:rsidRDefault="00A53386" w:rsidP="00421B77"/>
          <w:p w14:paraId="725E0628" w14:textId="4D2EB0F8" w:rsidR="00A53386" w:rsidRDefault="00BE1390" w:rsidP="006B301B">
            <w:r>
              <w:t>Negativ wiegt, dass d</w:t>
            </w:r>
            <w:r w:rsidR="00491F3D">
              <w:t>er Bauboom in China</w:t>
            </w:r>
            <w:r>
              <w:t xml:space="preserve"> </w:t>
            </w:r>
            <w:r w:rsidR="005557BC">
              <w:t>in den letzten Jahr</w:t>
            </w:r>
            <w:r w:rsidR="00D47D0C">
              <w:t>zehnten</w:t>
            </w:r>
            <w:r w:rsidR="005557BC">
              <w:t xml:space="preserve"> </w:t>
            </w:r>
            <w:r w:rsidR="00491F3D">
              <w:t>extrem viel CO2 aus der Zementproduktion freigesetzt</w:t>
            </w:r>
            <w:r>
              <w:t xml:space="preserve"> hat</w:t>
            </w:r>
            <w:r w:rsidR="00491F3D">
              <w:t xml:space="preserve">. </w:t>
            </w:r>
          </w:p>
          <w:p w14:paraId="6FB12052" w14:textId="77777777" w:rsidR="00A53386" w:rsidRDefault="00A53386" w:rsidP="006B301B"/>
          <w:p w14:paraId="3A2A4617" w14:textId="627B6A3E" w:rsidR="00A53386" w:rsidRDefault="00A53386" w:rsidP="00A53386">
            <w:r w:rsidRPr="009804F0">
              <w:rPr>
                <w:b/>
                <w:bCs/>
              </w:rPr>
              <w:t>China emittiert 15 Mrd. Tonnen Treibhausgase, siehe die Tabelle oben, dies sind 28 Prozent der</w:t>
            </w:r>
            <w:r>
              <w:rPr>
                <w:b/>
                <w:bCs/>
              </w:rPr>
              <w:t xml:space="preserve"> gesamten weltweit emittierten Treibhausgase von </w:t>
            </w:r>
            <w:r w:rsidRPr="009804F0">
              <w:rPr>
                <w:b/>
                <w:bCs/>
              </w:rPr>
              <w:t xml:space="preserve">53 Mrd. </w:t>
            </w:r>
            <w:r>
              <w:rPr>
                <w:b/>
                <w:bCs/>
              </w:rPr>
              <w:t xml:space="preserve">Tonnen. Das ist extrem viel. </w:t>
            </w:r>
            <w:r>
              <w:t>38 Kohlekraftwerke in dieser Situation zu bauen, ist keine gute Idee. China muss dringend umsteuern.</w:t>
            </w:r>
          </w:p>
          <w:p w14:paraId="1BCD9DC5" w14:textId="77777777" w:rsidR="00A53386" w:rsidRDefault="00A53386" w:rsidP="006B301B"/>
          <w:p w14:paraId="4CA1795B" w14:textId="5A658F38" w:rsidR="00D35A2D" w:rsidRDefault="00491F3D" w:rsidP="006B301B">
            <w:r>
              <w:t>Es ist also ein gemischtes Bild</w:t>
            </w:r>
            <w:r w:rsidR="00151322">
              <w:t>.</w:t>
            </w:r>
            <w:r>
              <w:t xml:space="preserve"> </w:t>
            </w:r>
            <w:r w:rsidR="00151322">
              <w:t>E</w:t>
            </w:r>
            <w:r>
              <w:t>s wäre</w:t>
            </w:r>
            <w:r w:rsidR="00151322">
              <w:t xml:space="preserve"> </w:t>
            </w:r>
            <w:r>
              <w:t>zu einfach China für alles die Schuld zu geben</w:t>
            </w:r>
            <w:r w:rsidR="00151322">
              <w:t>.</w:t>
            </w:r>
            <w:r w:rsidR="005557BC">
              <w:t xml:space="preserve"> </w:t>
            </w:r>
            <w:r w:rsidR="00A53386">
              <w:t xml:space="preserve">Aber man kann </w:t>
            </w:r>
            <w:r w:rsidR="00BE1390">
              <w:t>die</w:t>
            </w:r>
            <w:r w:rsidR="005557BC">
              <w:t xml:space="preserve"> Politik </w:t>
            </w:r>
            <w:r w:rsidR="00B81276">
              <w:t xml:space="preserve">Chinas </w:t>
            </w:r>
            <w:r w:rsidR="005557BC">
              <w:t xml:space="preserve">in den letzten Jahrzehnten </w:t>
            </w:r>
            <w:r w:rsidR="00A53386">
              <w:t xml:space="preserve">auch </w:t>
            </w:r>
            <w:r w:rsidR="005557BC">
              <w:t>nicht als vernünftig und vorsichtig bezeichnen</w:t>
            </w:r>
            <w:r w:rsidR="00D47D0C">
              <w:t>, Chinas Wachstum ist völlig aus dem Ruder gelaufen</w:t>
            </w:r>
            <w:r w:rsidR="00ED5193">
              <w:t>. China hat aber immerhin das Ziel formuliert, bis 20</w:t>
            </w:r>
            <w:r w:rsidR="00EC16B9">
              <w:t>6</w:t>
            </w:r>
            <w:r w:rsidR="00ED5193">
              <w:t>0 klimaneutral zu werden und es hat ein Emissionshandelssystem nach deutsche</w:t>
            </w:r>
            <w:r w:rsidR="0021708E">
              <w:t>m</w:t>
            </w:r>
            <w:r w:rsidR="00ED5193">
              <w:t xml:space="preserve"> Vorbild eingeführt. </w:t>
            </w:r>
            <w:r w:rsidR="00340273">
              <w:t>Siehe auch die Länderinfos zu China.</w:t>
            </w:r>
            <w:r w:rsidR="003F0865">
              <w:t xml:space="preserve"> </w:t>
            </w:r>
            <w:r w:rsidR="00421B77">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421B77">
              <w:t xml:space="preserve"> </w:t>
            </w:r>
            <w:r w:rsidR="005200DB">
              <w:t xml:space="preserve"> </w:t>
            </w:r>
          </w:p>
        </w:tc>
      </w:tr>
    </w:tbl>
    <w:p w14:paraId="0956619C" w14:textId="77777777" w:rsidR="00112190" w:rsidRDefault="00112190" w:rsidP="00112190"/>
    <w:p w14:paraId="51EB6215" w14:textId="77777777" w:rsidR="00112190" w:rsidRDefault="00112190" w:rsidP="00112190">
      <w:r>
        <w:t>Im Bericht des IPCC (2023) wird im Bereich Minderung des Klimawandels in einer Grafik vorgeschlagen, dass im Bereich Landnutzung die Abholzung des Waldes ganz gestoppt werden muss, bis 2030, und die Energieversorgung von Kohle, Gas und Öl ganz auf erneuerbare Energieträger umgestellt werden sollte, bis 2040. Der Transport-, Industrie- und Gebäudesektor, sollte bis 2040 mindestens die Hälfe an Reduktionen erreichen.</w:t>
      </w:r>
      <w:r>
        <w:rPr>
          <w:rStyle w:val="Funotenzeichen"/>
        </w:rPr>
        <w:footnoteReference w:id="84"/>
      </w:r>
      <w:r>
        <w:t xml:space="preserve"> Es sind weitere Maßnahmen nötig, u.a. mit dem Ziel den Mineralöl- und Gasverbrauch deutlich zu verringern, etwa in der Chemieindustrie, es müssen klimaneutrale Brenn- und Rohstoffe, wie Wasserstoff, eingesetzt werden, Heizprozesse und sonstige Prozesse in der Industrie sollten elektrifiziert werden, der Gebäudeenergieverbrauch verringert etc.</w:t>
      </w:r>
      <w:r>
        <w:rPr>
          <w:rStyle w:val="Funotenzeichen"/>
        </w:rPr>
        <w:footnoteReference w:id="85"/>
      </w:r>
      <w:r>
        <w:t xml:space="preserve"> </w:t>
      </w:r>
    </w:p>
    <w:p w14:paraId="03F4E17C" w14:textId="77777777" w:rsidR="00371B7F" w:rsidRDefault="00371B7F" w:rsidP="00301BA4"/>
    <w:p w14:paraId="743ED5FD" w14:textId="77777777" w:rsidR="00142B9D" w:rsidRDefault="00112190" w:rsidP="00301BA4">
      <w:r>
        <w:t xml:space="preserve">Um die Erwärmung zu stoppen und auf einem Niveau zu halten, braucht man </w:t>
      </w:r>
      <w:r w:rsidRPr="006649C1">
        <w:rPr>
          <w:u w:val="single"/>
        </w:rPr>
        <w:t>Nullemissionen</w:t>
      </w:r>
      <w:r>
        <w:t xml:space="preserve"> von Treibhausgasen, wohlgemerkt nicht von allen Emissionen. Mit Net-Zero sind wiederum keine Nullemissionen gemeint, es geht um eine Netto-Null, wobei unvermeidbare Treibhausgasemissionen weiter bestehen, aber ausgeglichen werden sollen, indem CO2 etwa der Atmosphäre natürlich und </w:t>
      </w:r>
      <w:r>
        <w:lastRenderedPageBreak/>
        <w:t xml:space="preserve">künstlich entzogen werden soll. Damit die Erwärmung rückgängig gemacht werden kann, braucht man negative Emissionen. </w:t>
      </w:r>
    </w:p>
    <w:p w14:paraId="1E331140" w14:textId="77777777" w:rsidR="00142B9D" w:rsidRDefault="00142B9D" w:rsidP="00301BA4"/>
    <w:p w14:paraId="2F356879" w14:textId="43DBEF70" w:rsidR="00380D28" w:rsidRDefault="00142B9D" w:rsidP="00301BA4">
      <w:r w:rsidRPr="00142B9D">
        <w:rPr>
          <w:u w:val="single"/>
        </w:rPr>
        <w:t>Negativemissionen</w:t>
      </w:r>
      <w:r>
        <w:t xml:space="preserve">. </w:t>
      </w:r>
      <w:r w:rsidR="00112190" w:rsidRPr="00AD0B25">
        <w:t xml:space="preserve">Da </w:t>
      </w:r>
      <w:r w:rsidR="00112190">
        <w:t xml:space="preserve">sich Nullemissionen ab 2050 schwer </w:t>
      </w:r>
      <w:r w:rsidR="00112190" w:rsidRPr="00AD0B25">
        <w:t>umsetzen l</w:t>
      </w:r>
      <w:r w:rsidR="00112190">
        <w:t xml:space="preserve">assen, weil bestimmte Aktivitäten mit Treibhausemissionen noch weiter da sein werden, und es </w:t>
      </w:r>
      <w:r w:rsidR="00112190" w:rsidRPr="00142B9D">
        <w:t>negative Emissionen</w:t>
      </w:r>
      <w:r w:rsidR="00112190">
        <w:t xml:space="preserve"> braucht, damit die Temperaturen nach einiger Zeit langsam wieder zurückgehen</w:t>
      </w:r>
      <w:r w:rsidR="00112190" w:rsidRPr="00AD0B25">
        <w:t xml:space="preserve">, braucht </w:t>
      </w:r>
      <w:r w:rsidR="00112190">
        <w:t>man</w:t>
      </w:r>
      <w:r w:rsidR="00112190" w:rsidRPr="00AD0B25">
        <w:t xml:space="preserve"> Ansätze, um unvermeidbare Treibhausgasemissionen auszugleichen</w:t>
      </w:r>
      <w:r w:rsidR="00112190">
        <w:t>, etwa</w:t>
      </w:r>
      <w:r w:rsidR="00112190" w:rsidRPr="00AD0B25">
        <w:t xml:space="preserve"> </w:t>
      </w:r>
      <w:r w:rsidR="00112190">
        <w:t xml:space="preserve">durch </w:t>
      </w:r>
      <w:r w:rsidR="00112190" w:rsidRPr="00AD0B25">
        <w:t>Aufforstung oder Verfahren wie das Carbon Capture and Storage (CCS), bei dem Kohlenstoff aus der Luft herausgefiltert, gepresst und in unterirdischen Lagerstätten verwahrt wird</w:t>
      </w:r>
      <w:r w:rsidR="00295A38" w:rsidRPr="00AD0B25">
        <w:t>.</w:t>
      </w:r>
      <w:r w:rsidR="00295A38">
        <w:rPr>
          <w:rStyle w:val="Funotenzeichen"/>
        </w:rPr>
        <w:footnoteReference w:id="86"/>
      </w:r>
      <w:r w:rsidR="00295A38">
        <w:t xml:space="preserve"> </w:t>
      </w:r>
      <w:r w:rsidR="00380D28">
        <w:t xml:space="preserve">Dazu wird auch Negativemissionstechnologien gesagt. </w:t>
      </w:r>
      <w:r w:rsidR="001E6413">
        <w:t xml:space="preserve">Da CCS aber offenbar wirklich nicht einfach zu betreiben ist und </w:t>
      </w:r>
      <w:r w:rsidR="00380D28">
        <w:t>m</w:t>
      </w:r>
      <w:r w:rsidR="00883F04">
        <w:t>an</w:t>
      </w:r>
      <w:r w:rsidR="00380D28">
        <w:t xml:space="preserve"> dafür viele </w:t>
      </w:r>
      <w:r w:rsidR="002F7794">
        <w:t xml:space="preserve">geschwungene </w:t>
      </w:r>
      <w:r w:rsidR="001E6413">
        <w:t>Gesteinsformationen, die wi</w:t>
      </w:r>
      <w:r w:rsidR="002F7794">
        <w:t>e</w:t>
      </w:r>
      <w:r w:rsidR="001E6413">
        <w:t xml:space="preserve"> umgekehrte Kochtöpfe </w:t>
      </w:r>
      <w:r w:rsidR="00380D28">
        <w:t xml:space="preserve">aussehen braucht, ohne Risse bzw. Brüche, um </w:t>
      </w:r>
      <w:r w:rsidR="00883F04">
        <w:t xml:space="preserve">das </w:t>
      </w:r>
      <w:r w:rsidR="001E6413">
        <w:t xml:space="preserve">CO2 </w:t>
      </w:r>
      <w:r w:rsidR="00883F04">
        <w:t xml:space="preserve">zu </w:t>
      </w:r>
      <w:r w:rsidR="001E6413">
        <w:t xml:space="preserve">halten, muss man auch nach anderen </w:t>
      </w:r>
      <w:r w:rsidR="00883F04">
        <w:t>Möglichkeiten</w:t>
      </w:r>
      <w:r w:rsidR="001E6413">
        <w:t xml:space="preserve"> suchen, etwa CO2 durch Pyrolyse zu hartem Kohlenstoff zu machen, der dann einfach im freien, als Block, auf</w:t>
      </w:r>
      <w:r w:rsidR="007645DA">
        <w:t>b</w:t>
      </w:r>
      <w:r w:rsidR="001E6413">
        <w:t>e</w:t>
      </w:r>
      <w:r w:rsidR="007645DA">
        <w:t>w</w:t>
      </w:r>
      <w:r w:rsidR="001E6413">
        <w:t>ahrt werden kann</w:t>
      </w:r>
      <w:r w:rsidR="002F7794">
        <w:t>, ohne CO2 freizusetzen</w:t>
      </w:r>
      <w:r w:rsidR="001E6413">
        <w:t>, vielleicht kann man daraus  auch Häuser bauen.</w:t>
      </w:r>
      <w:r w:rsidR="001E6413">
        <w:rPr>
          <w:rStyle w:val="Funotenzeichen"/>
        </w:rPr>
        <w:footnoteReference w:id="87"/>
      </w:r>
      <w:r w:rsidR="001E6413">
        <w:t xml:space="preserve"> </w:t>
      </w:r>
      <w:r w:rsidR="00380D28">
        <w:t>Siehe das Verbundvorhaben NECOC</w:t>
      </w:r>
      <w:r w:rsidR="00380D28">
        <w:rPr>
          <w:rStyle w:val="Funotenzeichen"/>
        </w:rPr>
        <w:footnoteReference w:id="88"/>
      </w:r>
      <w:r w:rsidR="00380D28">
        <w:t xml:space="preserve"> im Karlsruher Institut für Technologie. </w:t>
      </w:r>
    </w:p>
    <w:p w14:paraId="25F7003B" w14:textId="77777777" w:rsidR="00D97BE1" w:rsidRDefault="00D97BE1" w:rsidP="00301BA4"/>
    <w:p w14:paraId="79C49D76" w14:textId="7A67C8E4" w:rsidR="00634127" w:rsidRDefault="00FE35BE" w:rsidP="00634127">
      <w:r>
        <w:t xml:space="preserve">Es gibt </w:t>
      </w:r>
      <w:r w:rsidR="00634127">
        <w:t xml:space="preserve">zu Negativemissionen </w:t>
      </w:r>
      <w:r>
        <w:t xml:space="preserve">einige weitere Vorschläge, </w:t>
      </w:r>
      <w:r w:rsidR="00D97BE1">
        <w:t>hier im Text w</w:t>
      </w:r>
      <w:r w:rsidR="00634127">
        <w:t>erden</w:t>
      </w:r>
      <w:r w:rsidR="00D97BE1">
        <w:t xml:space="preserve"> am Ende von Teil 2 CCS und CCU </w:t>
      </w:r>
      <w:r w:rsidR="00634127">
        <w:t xml:space="preserve">kurz diskutiert: </w:t>
      </w:r>
      <w:r>
        <w:t xml:space="preserve">Aufforstung, </w:t>
      </w:r>
      <w:r w:rsidR="00D97BE1">
        <w:t xml:space="preserve">Algenfarmen, Basalgestein auf Torfböden ausbringen, </w:t>
      </w:r>
      <w:proofErr w:type="spellStart"/>
      <w:r w:rsidR="00D97BE1">
        <w:t>Alkalinitätserhöhung</w:t>
      </w:r>
      <w:proofErr w:type="spellEnd"/>
      <w:r w:rsidR="00D97BE1">
        <w:t xml:space="preserve"> der Meere durch Auflösung von Kalk oder </w:t>
      </w:r>
      <w:proofErr w:type="spellStart"/>
      <w:r w:rsidR="00D97BE1">
        <w:t>Silikatgestein</w:t>
      </w:r>
      <w:proofErr w:type="spellEnd"/>
      <w:r w:rsidR="00634127">
        <w:t>.</w:t>
      </w:r>
      <w:r w:rsidR="00D97BE1">
        <w:t xml:space="preserve"> </w:t>
      </w:r>
      <w:r w:rsidR="00634127">
        <w:t>Die Bundesregierung hat begonnen sich mit einer Langfriststrategie Negativemissionen (</w:t>
      </w:r>
      <w:proofErr w:type="spellStart"/>
      <w:r w:rsidR="00634127">
        <w:t>LNe</w:t>
      </w:r>
      <w:proofErr w:type="spellEnd"/>
      <w:r w:rsidR="00634127">
        <w:t xml:space="preserve">) mit diesem Thema zu beschäftigen. Ein Überblick findet sich hier, genannt werden: Forstwirtschaft, Aufforstung, Agroforstsysteme, Humusanreicherung im Boden, Wiedervernässung von Mooren, Kohlenstoffspeicherung durch Pflanzenkohle, Bioenergie mit Carbon Capture and Storage (BECCS), </w:t>
      </w:r>
      <w:proofErr w:type="spellStart"/>
      <w:r w:rsidR="00634127">
        <w:t>Direct</w:t>
      </w:r>
      <w:proofErr w:type="spellEnd"/>
      <w:r w:rsidR="00634127">
        <w:t xml:space="preserve"> Air Carbon Capture and Storage (DACCS), Holzprodukte / Stoffliche Biomassenutzung, Beschleunigte Karbonatisierung, Künstliche Photosynthese, </w:t>
      </w:r>
      <w:proofErr w:type="spellStart"/>
      <w:r w:rsidR="00634127">
        <w:t>Alkalinitätserhöhung</w:t>
      </w:r>
      <w:proofErr w:type="spellEnd"/>
      <w:r w:rsidR="00634127">
        <w:t xml:space="preserve"> im Ozean, Marine Biomasse, Stärkung küstennaher Ökosysteme (Blue Carbon Enhancement), Beschleunigte Verwitterung von Gesteinen, Künstlicher Auftrieb.</w:t>
      </w:r>
      <w:r w:rsidR="00634127">
        <w:rPr>
          <w:rStyle w:val="Funotenzeichen"/>
        </w:rPr>
        <w:footnoteReference w:id="89"/>
      </w:r>
      <w:r w:rsidR="00634127">
        <w:t xml:space="preserve"> Februar 2024 wurde eine Eckpunktepapier zu Negativemissionen vorgelegt, siehe hier.</w:t>
      </w:r>
      <w:r w:rsidR="00634127">
        <w:rPr>
          <w:rStyle w:val="Funotenzeichen"/>
        </w:rPr>
        <w:footnoteReference w:id="90"/>
      </w:r>
      <w:r w:rsidR="00634127">
        <w:t xml:space="preserve"> S</w:t>
      </w:r>
      <w:r w:rsidR="00634127" w:rsidRPr="00634127">
        <w:t>iehe auch Wikipedia Negative Emissionen</w:t>
      </w:r>
      <w:r w:rsidR="00866A42">
        <w:t xml:space="preserve">, auf Englisch Greenhouse Gas </w:t>
      </w:r>
      <w:proofErr w:type="spellStart"/>
      <w:r w:rsidR="00866A42">
        <w:t>Removal</w:t>
      </w:r>
      <w:proofErr w:type="spellEnd"/>
      <w:r w:rsidR="00866A42">
        <w:t xml:space="preserve"> (GGR).</w:t>
      </w:r>
      <w:r w:rsidR="00866A42">
        <w:rPr>
          <w:rStyle w:val="Funotenzeichen"/>
        </w:rPr>
        <w:footnoteReference w:id="91"/>
      </w:r>
      <w:r w:rsidR="00634127" w:rsidRPr="00634127">
        <w:t xml:space="preserve">  </w:t>
      </w:r>
    </w:p>
    <w:p w14:paraId="1880F497" w14:textId="77777777" w:rsidR="00151322" w:rsidRDefault="00151322" w:rsidP="00151322"/>
    <w:p w14:paraId="2633F782" w14:textId="13C4DA34" w:rsidR="00151322" w:rsidRDefault="00EC16B9" w:rsidP="00151322">
      <w:r>
        <w:t>2.</w:t>
      </w:r>
      <w:r w:rsidR="00151322">
        <w:t xml:space="preserve"> </w:t>
      </w:r>
      <w:r>
        <w:t>THG-Emissionen</w:t>
      </w:r>
      <w:r w:rsidR="00151322">
        <w:t xml:space="preserve"> Deutschland</w:t>
      </w:r>
    </w:p>
    <w:p w14:paraId="32AB07F9" w14:textId="77777777" w:rsidR="00151322" w:rsidRDefault="00151322" w:rsidP="00151322"/>
    <w:p w14:paraId="665DBBD0" w14:textId="42580ADD" w:rsidR="00151322" w:rsidRDefault="00151322" w:rsidP="00151322">
      <w:r>
        <w:t>In Deutschland gibt es im Jahr 2022: 746.000.000 Tonnen bzw. 746 Mill. Tonnen Emissionen CO-Äquivalente bzw. THG-Emissionen, der gesamten Treibhausgase, nicht nur CO2. Mill. Tonnen ist dasselbe wie Megatonnen (</w:t>
      </w:r>
      <w:proofErr w:type="spellStart"/>
      <w:r>
        <w:t>Mt</w:t>
      </w:r>
      <w:proofErr w:type="spellEnd"/>
      <w:r>
        <w:t>)</w:t>
      </w:r>
      <w:r w:rsidR="00C40A2C">
        <w:t xml:space="preserve">. </w:t>
      </w:r>
      <w:proofErr w:type="spellStart"/>
      <w:r>
        <w:t>Mt</w:t>
      </w:r>
      <w:proofErr w:type="spellEnd"/>
      <w:r>
        <w:t xml:space="preserve"> werden oft als Maßeinheit benutzt</w:t>
      </w:r>
      <w:r w:rsidR="00C40A2C">
        <w:t>, hier wird das geläufigere Mill. Tonnen verwendet</w:t>
      </w:r>
      <w:r>
        <w:t xml:space="preserve">: </w:t>
      </w:r>
    </w:p>
    <w:p w14:paraId="34FB0B08" w14:textId="77777777" w:rsidR="00151322" w:rsidRDefault="00151322" w:rsidP="00151322"/>
    <w:p w14:paraId="1DE2FE09" w14:textId="4D906B82" w:rsidR="00151322" w:rsidRDefault="00151322" w:rsidP="00151322">
      <w:r>
        <w:t xml:space="preserve">Platz 1 hat in Deutschland die Energieerzeugung, die 256 Mill. Tonnen CO2-Äquivalent (2022) ausstößt, dies sind die Kohlekraftwerke und Energieerzeugung über Gas und Mineralöl. </w:t>
      </w:r>
    </w:p>
    <w:p w14:paraId="283867BA" w14:textId="2B851A1C" w:rsidR="00151322" w:rsidRDefault="00151322" w:rsidP="00151322">
      <w:r>
        <w:t xml:space="preserve">Platz 2 ist die Industrie, die 164 Mill. Tonnen CO2-Äquivalente ausstößt. Nicht differenziert wird der Punkt des verarbeitenden Gewerbes mit 111 Mill. t. Einzeln aufgeführt werden kann die Chemieindustrie mit 3,6 Mill. t und die Metallindustrie mit 15 Mill. t, dies sind etwa die Stahlwerke wie das integrierte Hüttenwerk von ThyssenKrupp in Duisburg mit 8 Mill. Tonnen CO2 und die </w:t>
      </w:r>
      <w:r>
        <w:lastRenderedPageBreak/>
        <w:t xml:space="preserve">Herstellung mineralischer Produkte, dazu gehört die Zementindustrie, mit 18 Mill. Tonnen CO2. Industrieanlagen mit hohen Emissionen lassen sich einzeln benennen, siehe WWF (2023). </w:t>
      </w:r>
    </w:p>
    <w:p w14:paraId="16F016DA" w14:textId="77777777" w:rsidR="00151322" w:rsidRDefault="00151322" w:rsidP="00151322">
      <w:r>
        <w:t xml:space="preserve">Platz 3 ist der Verkehr mit 148 Mill. Tonnen. Der Straßenverkehr mit 142 Mill. Tonnen dominiert hier. Dann der Inlandsflugverkehr mit 1 Mill. Tonnen sowie Schiffart mit 1,4 Mill. Tonnen, wobei die Auslandflüge weit mehr Emissionen verursachen (29 Mill. Tonnen). </w:t>
      </w:r>
    </w:p>
    <w:p w14:paraId="13A9593A" w14:textId="77777777" w:rsidR="00151322" w:rsidRDefault="00151322" w:rsidP="00151322">
      <w:r>
        <w:t xml:space="preserve">Platz 4 die Gebäude, mit 112 Mill. Tonnen CO2, also die Gas- und Ölheizungen: Haushalte mit 80 Mill. Tonnen, Gewerbe mit 30 Mill. Tonnen. </w:t>
      </w:r>
    </w:p>
    <w:p w14:paraId="62D0CA1A" w14:textId="77777777" w:rsidR="00151322" w:rsidRDefault="00151322" w:rsidP="00151322">
      <w:r>
        <w:t xml:space="preserve">Platz 5: Die Landwirtschaft, mit 62 Mill. Tonnen, davon 8,5 Mill. Tonnen CO2, dazu kommt aber noch das Methan 34,7 Mill. Tonnen, bei dem die Landwirtschaft der Hauptverursacher ist. </w:t>
      </w:r>
    </w:p>
    <w:p w14:paraId="7EE644F2" w14:textId="77777777" w:rsidR="00151322" w:rsidRDefault="00151322" w:rsidP="00151322">
      <w:r>
        <w:t>Platz 6: Abfallwirtschaft und sonstiges, hier werden 4 Mill. Tonnen gemeldet.</w:t>
      </w:r>
    </w:p>
    <w:p w14:paraId="62F001A1" w14:textId="77777777" w:rsidR="00151322" w:rsidRDefault="00151322" w:rsidP="00151322"/>
    <w:p w14:paraId="2C7B784C" w14:textId="00C31C8F" w:rsidR="00151322" w:rsidRDefault="00151322" w:rsidP="00151322">
      <w:r>
        <w:t xml:space="preserve">Dies sind – teils gerundet - die offiziellen Zahlen, die das Umwelt Bundesamt im Rahmen des Bundesklimaschutzgesetzes meldet, siehe Tabelle unter dem Reiter THG: </w:t>
      </w:r>
      <w:r w:rsidRPr="00132180">
        <w:t>Treibhausgas-Emissionen [tausend Tonnen CO2-</w:t>
      </w:r>
      <w:r w:rsidR="00BD7DF4">
        <w:t>A</w:t>
      </w:r>
      <w:r w:rsidRPr="00132180">
        <w:t>quivalent]</w:t>
      </w:r>
      <w:r>
        <w:t xml:space="preserve"> aus der Excel-Tabelle des Bundesumweltamtes 1990-2022</w:t>
      </w:r>
      <w:r>
        <w:rPr>
          <w:rStyle w:val="Funotenzeichen"/>
        </w:rPr>
        <w:footnoteReference w:id="92"/>
      </w:r>
      <w:r>
        <w:t>, siehe weiterhin Infos des Umweltbundesamt</w:t>
      </w:r>
      <w:r>
        <w:rPr>
          <w:rStyle w:val="Funotenzeichen"/>
        </w:rPr>
        <w:footnoteReference w:id="93"/>
      </w:r>
      <w:r>
        <w:t xml:space="preserve"> und einen Kurzbericht</w:t>
      </w:r>
      <w:r>
        <w:rPr>
          <w:rStyle w:val="Funotenzeichen"/>
        </w:rPr>
        <w:footnoteReference w:id="94"/>
      </w:r>
      <w:r>
        <w:t xml:space="preserve"> sowie der jährliche Bericht des Bundesministeriums für Wirtschaft und Klimaschutz (Erneuerbare Energien in Zahlen 2021, BMWK 2022), der auch einen Überblick über die Situation in Europa und weltweit bietet. </w:t>
      </w:r>
      <w:r>
        <w:rPr>
          <w:rStyle w:val="Funotenzeichen"/>
        </w:rPr>
        <w:footnoteReference w:id="95"/>
      </w:r>
    </w:p>
    <w:p w14:paraId="17C2CA49" w14:textId="77777777" w:rsidR="00151322" w:rsidRDefault="00151322" w:rsidP="00151322"/>
    <w:p w14:paraId="26D721B8" w14:textId="6EA5A9C0" w:rsidR="00151322" w:rsidRDefault="00151322" w:rsidP="00151322">
      <w:r>
        <w:t xml:space="preserve">In der Excel-Tabelle gibt es unter dem Reiter THG auch Daten vom </w:t>
      </w:r>
      <w:proofErr w:type="gramStart"/>
      <w:r>
        <w:t>EU Emissionshandel</w:t>
      </w:r>
      <w:proofErr w:type="gramEnd"/>
      <w:r>
        <w:t>.</w:t>
      </w:r>
      <w:r>
        <w:rPr>
          <w:rStyle w:val="Funotenzeichen"/>
        </w:rPr>
        <w:footnoteReference w:id="96"/>
      </w:r>
    </w:p>
    <w:p w14:paraId="658AC3BF" w14:textId="77777777" w:rsidR="0024273B" w:rsidRDefault="0024273B" w:rsidP="00151322"/>
    <w:p w14:paraId="1DDD75B2" w14:textId="662BCE8F" w:rsidR="00E5114B" w:rsidRDefault="00E5114B" w:rsidP="00151322">
      <w:r>
        <w:t xml:space="preserve">Diese Zahlen stimmen </w:t>
      </w:r>
      <w:r w:rsidR="00B76D05">
        <w:t xml:space="preserve">ungefähr bei </w:t>
      </w:r>
      <w:r w:rsidR="00B00956">
        <w:t xml:space="preserve">Zement, hier gibt </w:t>
      </w:r>
      <w:proofErr w:type="gramStart"/>
      <w:r w:rsidR="00B00956">
        <w:t>auf der Industrieverband</w:t>
      </w:r>
      <w:proofErr w:type="gramEnd"/>
      <w:r w:rsidR="00B00956">
        <w:t xml:space="preserve"> für 2019 20 Mill. Tonnen CO2 an</w:t>
      </w:r>
      <w:r w:rsidR="00B00956">
        <w:rPr>
          <w:rStyle w:val="Funotenzeichen"/>
        </w:rPr>
        <w:footnoteReference w:id="97"/>
      </w:r>
      <w:r w:rsidR="00B00956">
        <w:t>,</w:t>
      </w:r>
      <w:r>
        <w:t xml:space="preserve"> bei der Chemie</w:t>
      </w:r>
      <w:r w:rsidR="00B00956">
        <w:t xml:space="preserve"> in breiter Definition ergibt eine Neuberechnung 181 Mill. Tonnen CO2 für 2014 (das wären 24 % der deutschen CO2 Emissionen)</w:t>
      </w:r>
      <w:r w:rsidR="00C40A2C">
        <w:t>, für 2020 allerdings weniger: 112,8 Mill. Tonnen CO2</w:t>
      </w:r>
      <w:r w:rsidR="00B00956">
        <w:rPr>
          <w:rStyle w:val="Funotenzeichen"/>
        </w:rPr>
        <w:footnoteReference w:id="98"/>
      </w:r>
      <w:r w:rsidR="00B00956">
        <w:t xml:space="preserve"> und in enger Definition bei 16,53 Mill. Tonnen CO2 für 2020, ohne </w:t>
      </w:r>
      <w:r w:rsidR="00B76D05">
        <w:t>Energieanlagen</w:t>
      </w:r>
      <w:r w:rsidR="00B00956">
        <w:t>.</w:t>
      </w:r>
      <w:r w:rsidR="00B76D05">
        <w:rPr>
          <w:rStyle w:val="Funotenzeichen"/>
        </w:rPr>
        <w:footnoteReference w:id="99"/>
      </w:r>
    </w:p>
    <w:p w14:paraId="4CC3F330" w14:textId="77777777" w:rsidR="0024273B" w:rsidRDefault="0024273B" w:rsidP="00151322"/>
    <w:p w14:paraId="26FA8E36" w14:textId="15A6D123" w:rsidR="0024273B" w:rsidRDefault="0024273B" w:rsidP="00151322">
      <w:r>
        <w:t xml:space="preserve">Für 2022 lag der CO2-Ausstoß der Kohlekraftwerke in Deutschland bei 184 Mill. Tonnen, 28 Mill. Tonnen die Gaskraftwerke. </w:t>
      </w:r>
      <w:r w:rsidR="00A90265">
        <w:t>Der CO2-Ausstoß der Kohlekraftwerke hat 2022 zugenommen, bei Steinkohle um 9 Mill. Tonnen, bei Braunkohle um 8 Mill. Tonnen. Dies lag daran, dass wegen des Ukraine Krieges die Stilllegung von Kohlekraftwerken verschoben wurde</w:t>
      </w:r>
      <w:r w:rsidR="006B2E00">
        <w:t xml:space="preserve">, 2 Gigawatt Braunkohlekraftwerke (Jänschwalde E und F, Neurath C, Niederaußem E und F) und 5,7 GW Steinkohlekraftwerke (eine längere Liste) wurden reaktiviert oder länger als geplant betrieben. </w:t>
      </w:r>
      <w:r w:rsidR="00F36151">
        <w:t>Dazu kam, dass d</w:t>
      </w:r>
      <w:r w:rsidR="00D71FB5">
        <w:t>adurch</w:t>
      </w:r>
      <w:r w:rsidR="00F36151">
        <w:t>,</w:t>
      </w:r>
      <w:r w:rsidR="00D71FB5">
        <w:t xml:space="preserve"> das</w:t>
      </w:r>
      <w:r w:rsidR="00F36151">
        <w:t>s</w:t>
      </w:r>
      <w:r w:rsidR="00D71FB5">
        <w:t xml:space="preserve"> Gas teurer wurde,</w:t>
      </w:r>
      <w:r w:rsidR="00F36151">
        <w:t xml:space="preserve"> </w:t>
      </w:r>
      <w:r w:rsidR="00D71FB5">
        <w:t xml:space="preserve">Kohlekraftwerke teils vor Gaskraftwerken in Betrieb </w:t>
      </w:r>
      <w:r w:rsidR="00D71FB5">
        <w:lastRenderedPageBreak/>
        <w:t>genommen</w:t>
      </w:r>
      <w:r w:rsidR="00F36151">
        <w:t xml:space="preserve"> wurden</w:t>
      </w:r>
      <w:r w:rsidR="00D71FB5">
        <w:t>. Einen Braunkohlepreis gibt es nicht, da die Braunkohle direkt vom Tagebau zu den Kraftwerken gebracht wird, siehe zu diesen Informationen hier.</w:t>
      </w:r>
      <w:r w:rsidR="00D71FB5">
        <w:rPr>
          <w:rStyle w:val="Funotenzeichen"/>
        </w:rPr>
        <w:footnoteReference w:id="100"/>
      </w:r>
    </w:p>
    <w:p w14:paraId="71A6EAC7" w14:textId="77777777" w:rsidR="003A2F36" w:rsidRDefault="003A2F36" w:rsidP="003A2F36"/>
    <w:tbl>
      <w:tblPr>
        <w:tblStyle w:val="Tabellenraster"/>
        <w:tblW w:w="0" w:type="auto"/>
        <w:tblLook w:val="04A0" w:firstRow="1" w:lastRow="0" w:firstColumn="1" w:lastColumn="0" w:noHBand="0" w:noVBand="1"/>
      </w:tblPr>
      <w:tblGrid>
        <w:gridCol w:w="9062"/>
      </w:tblGrid>
      <w:tr w:rsidR="00A8216B" w:rsidRPr="00A8216B" w14:paraId="30268686" w14:textId="77777777" w:rsidTr="00A8216B">
        <w:tc>
          <w:tcPr>
            <w:tcW w:w="9062" w:type="dxa"/>
          </w:tcPr>
          <w:p w14:paraId="6015673D" w14:textId="0985F498" w:rsidR="00A8216B" w:rsidRPr="00A8216B" w:rsidRDefault="00F36151" w:rsidP="003A2F36">
            <w:r>
              <w:t xml:space="preserve">Wie viel kosten die Emissionen der Kohlekraftwerke? Der </w:t>
            </w:r>
            <w:r w:rsidR="00A8216B">
              <w:t>EU-Emissionszertifikate</w:t>
            </w:r>
            <w:r>
              <w:t>-Preis</w:t>
            </w:r>
            <w:r w:rsidR="00A8216B">
              <w:t xml:space="preserve"> (an der Börse abgekürzt: EUA) </w:t>
            </w:r>
            <w:r>
              <w:t>beträgt heute</w:t>
            </w:r>
            <w:r w:rsidR="00A8216B">
              <w:t xml:space="preserve"> 72,31 Euro (21.05.2025).</w:t>
            </w:r>
            <w:r w:rsidR="00A8216B">
              <w:rPr>
                <w:rStyle w:val="Funotenzeichen"/>
              </w:rPr>
              <w:footnoteReference w:id="101"/>
            </w:r>
            <w:r w:rsidR="00A8216B">
              <w:t xml:space="preserve"> 184.000.000 * 72,31 =  13.305.040.000 Euro, </w:t>
            </w:r>
            <w:r>
              <w:t>also</w:t>
            </w:r>
            <w:r w:rsidR="00A8216B">
              <w:t xml:space="preserve"> ca. 13 Mrd. Euro, dies </w:t>
            </w:r>
            <w:r>
              <w:t>wären</w:t>
            </w:r>
            <w:r w:rsidR="00A8216B">
              <w:t xml:space="preserve"> die Kosten für die Zertifikate für die Kohlekraftwerke Deutschlands (falls sie nicht kostenlos zugeteilt w</w:t>
            </w:r>
            <w:r>
              <w:t>u</w:t>
            </w:r>
            <w:r w:rsidR="00A8216B">
              <w:t>rden)</w:t>
            </w:r>
            <w:r w:rsidR="008002A3">
              <w:t>, dies ist aber nur der Einstieg in eine komplexe Geschichte, bei der es um den Kohlekompromiss, die Frage nach der Art und Weise der Löschung von Emissionszertifikaten der Kohlekraftwerke und deren Effekt, siehe dazu etwa hier</w:t>
            </w:r>
            <w:r w:rsidR="008002A3">
              <w:rPr>
                <w:rStyle w:val="Funotenzeichen"/>
              </w:rPr>
              <w:footnoteReference w:id="102"/>
            </w:r>
            <w:r w:rsidR="008002A3">
              <w:t xml:space="preserve">, und darum geht, dass Emissionszertifikate kostenlos zugeteilt wurden und es </w:t>
            </w:r>
            <w:r w:rsidR="00A8216B">
              <w:t>eine Strompreiskompensation</w:t>
            </w:r>
            <w:r w:rsidR="008002A3">
              <w:t xml:space="preserve"> für die Industrie</w:t>
            </w:r>
            <w:r w:rsidR="00A8216B">
              <w:t xml:space="preserve"> gibt, siehe weiter unten. </w:t>
            </w:r>
          </w:p>
        </w:tc>
      </w:tr>
    </w:tbl>
    <w:p w14:paraId="31730287" w14:textId="77777777" w:rsidR="00A8216B" w:rsidRDefault="00A8216B" w:rsidP="003A2F36"/>
    <w:p w14:paraId="7CD38AAF" w14:textId="02B4B521" w:rsidR="00BA1C73" w:rsidRDefault="00866A42" w:rsidP="00151322">
      <w:r>
        <w:t>Das Kohlekraftwerk Weisweiler stößt derzeit 13,4 Mill. Tonnen CO2 aus (Deutschland 784 Mill. Tonnen THG Emissionen)</w:t>
      </w:r>
      <w:r>
        <w:rPr>
          <w:rStyle w:val="Funotenzeichen"/>
        </w:rPr>
        <w:footnoteReference w:id="103"/>
      </w:r>
      <w:r>
        <w:t>, in Polen stößt das große Kraftwerk Belchatow 33,2 Mill. Tonnen CO2 aus.</w:t>
      </w:r>
      <w:r>
        <w:rPr>
          <w:rStyle w:val="Funotenzeichen"/>
        </w:rPr>
        <w:footnoteReference w:id="104"/>
      </w:r>
      <w:r>
        <w:t xml:space="preserve"> Überall in Europa sind Kohlekraftwerke stillgelegt worden, das Thema Kohleausstieg gab es nicht nur in Deutschland. Eine Übersicht gibt Wikipedia Kohleausstieg.</w:t>
      </w:r>
      <w:r>
        <w:rPr>
          <w:rStyle w:val="Funotenzeichen"/>
        </w:rPr>
        <w:footnoteReference w:id="105"/>
      </w:r>
      <w:r>
        <w:t xml:space="preserve"> In Deutschland ist der Ausstieg aus der Kohleverstromung am 16. Januar 2020 in einer Bund-Länder-Einigung auf eine Kohlekompromiss beschlossen worden, er ist geregelt im Kohleausstiegsgesetz und im Kohleverstromungsbeendigungsgesetz, interessant ist hier, dass es auch viele kleinere Kraftwerke unter 150 MW in Deutschland gab und noch gibt, die mit Braunkohle und Steinkohle liefen und noch laufen, siehe Wikipedia.</w:t>
      </w:r>
      <w:r>
        <w:rPr>
          <w:rStyle w:val="Funotenzeichen"/>
        </w:rPr>
        <w:footnoteReference w:id="106"/>
      </w:r>
      <w:r>
        <w:t xml:space="preserve"> Der Kohleausstieg läuft in Deutschland über mehrere Ausschreibungsverfahren, in denen Mengen festgelegt sind, dafür werden Gebote für Entschädigungen abgegeben, die niedrigsten Gebote werden in der Ausschreibung berücksichtigt.</w:t>
      </w:r>
      <w:r>
        <w:rPr>
          <w:rStyle w:val="Funotenzeichen"/>
        </w:rPr>
        <w:footnoteReference w:id="107"/>
      </w:r>
      <w:r>
        <w:t xml:space="preserve">  </w:t>
      </w:r>
    </w:p>
    <w:p w14:paraId="21815E6A" w14:textId="77777777" w:rsidR="00BA1C73" w:rsidRDefault="00BA1C73" w:rsidP="00BA1C73"/>
    <w:tbl>
      <w:tblPr>
        <w:tblStyle w:val="Tabellenraster"/>
        <w:tblW w:w="0" w:type="auto"/>
        <w:tblLook w:val="04A0" w:firstRow="1" w:lastRow="0" w:firstColumn="1" w:lastColumn="0" w:noHBand="0" w:noVBand="1"/>
      </w:tblPr>
      <w:tblGrid>
        <w:gridCol w:w="9062"/>
      </w:tblGrid>
      <w:tr w:rsidR="00BA1C73" w14:paraId="29771882" w14:textId="77777777" w:rsidTr="0001659B">
        <w:tc>
          <w:tcPr>
            <w:tcW w:w="9062" w:type="dxa"/>
          </w:tcPr>
          <w:p w14:paraId="7B0FD54E" w14:textId="77777777" w:rsidR="00BA1C73" w:rsidRDefault="00BA1C73" w:rsidP="0001659B">
            <w:r>
              <w:t xml:space="preserve">Am 17.02.2025 wird gemeldet, dass das letzte große Kohlekraftwerk Bayerns, das Steinkohlekraftwerk Zolling, Kreis Freising, Betreiber ist Onyx Power, in dieser Woche abgeschaltet wird. Dieses Kraftwerk wird in Absprache mit dem zuständigen Übertragungsnetzbetreiber Tennet in die Netzreserve überführt und </w:t>
            </w:r>
            <w:proofErr w:type="gramStart"/>
            <w:r>
              <w:t>kann</w:t>
            </w:r>
            <w:proofErr w:type="gramEnd"/>
            <w:r>
              <w:t xml:space="preserve"> wenn zu wenig Energie im Netz ist, schnell wieder hochgefahren werden. Vor Ort findet sich auch ein Biomasseheizkraftwerk. Der Betreiber selbst hatte einen Antrag auf Stilllegung gestellt und hat 2022 im Zuge des 6. Auktionsverfahrens zur </w:t>
            </w:r>
            <w:r>
              <w:lastRenderedPageBreak/>
              <w:t>Reduzierung der Kohleverstromung durch die Bundesnetzagentur den Zuschlag für ein Ende des normalen, kommerziellen Betriebs erhalten.</w:t>
            </w:r>
            <w:r>
              <w:rPr>
                <w:rStyle w:val="Funotenzeichen"/>
              </w:rPr>
              <w:footnoteReference w:id="108"/>
            </w:r>
            <w:r>
              <w:t xml:space="preserve"> </w:t>
            </w:r>
          </w:p>
        </w:tc>
      </w:tr>
    </w:tbl>
    <w:p w14:paraId="50DD2383" w14:textId="77777777" w:rsidR="00E83A75" w:rsidRDefault="00E83A75" w:rsidP="00E83A75"/>
    <w:tbl>
      <w:tblPr>
        <w:tblStyle w:val="Tabellenraster"/>
        <w:tblW w:w="0" w:type="auto"/>
        <w:tblLook w:val="04A0" w:firstRow="1" w:lastRow="0" w:firstColumn="1" w:lastColumn="0" w:noHBand="0" w:noVBand="1"/>
      </w:tblPr>
      <w:tblGrid>
        <w:gridCol w:w="9062"/>
      </w:tblGrid>
      <w:tr w:rsidR="00E83A75" w14:paraId="29860AE3" w14:textId="77777777" w:rsidTr="0001659B">
        <w:tc>
          <w:tcPr>
            <w:tcW w:w="9062" w:type="dxa"/>
          </w:tcPr>
          <w:p w14:paraId="4EA84C5A" w14:textId="77777777" w:rsidR="00E83A75" w:rsidRDefault="00E83A75" w:rsidP="0001659B">
            <w:r>
              <w:t xml:space="preserve">England steigt am 30. September 2024 aus der Kohle aus und schließt sein letztes Kohlekraftwerk im Dorf Ratcliffe-on-Soar, betrieben vom Uniper Konzern aus Deutschland. 1/3 </w:t>
            </w:r>
            <w:proofErr w:type="gramStart"/>
            <w:r>
              <w:t>des Strom</w:t>
            </w:r>
            <w:proofErr w:type="gramEnd"/>
            <w:r>
              <w:t xml:space="preserve"> wird allerdings noch über Gaskraftwerke erzeugt. Die Labour-Partei möchte die Energiewende vorantreiben, mit mehr Landwindanlagen, mehr Solarenergie und mehr Offshore-Wind. </w:t>
            </w:r>
            <w:r>
              <w:rPr>
                <w:rStyle w:val="Funotenzeichen"/>
              </w:rPr>
              <w:footnoteReference w:id="109"/>
            </w:r>
          </w:p>
        </w:tc>
      </w:tr>
    </w:tbl>
    <w:p w14:paraId="53A7365B" w14:textId="77777777" w:rsidR="00E83A75" w:rsidRDefault="00E83A75" w:rsidP="00151322"/>
    <w:p w14:paraId="6A1B90A2" w14:textId="3D65935F" w:rsidR="00151322" w:rsidRDefault="00151322" w:rsidP="00151322">
      <w:r>
        <w:t>Die im Klimaschutzgesetz festgelegten Minderungsziele liegen 2030 bei Energiewirtschaft: 108; Industrie 118; Gebäude 67; Verkehr 85; Landwirtschaft 56; Abfallwirtschaft und Sonstiges 4</w:t>
      </w:r>
      <w:r w:rsidR="0024273B">
        <w:t xml:space="preserve"> (absolute Zahlen, Mill. Tonnen CO2-Aquivalent jährlich)</w:t>
      </w:r>
      <w:r>
        <w:t>.</w:t>
      </w:r>
      <w:r>
        <w:rPr>
          <w:rStyle w:val="Funotenzeichen"/>
        </w:rPr>
        <w:footnoteReference w:id="110"/>
      </w:r>
      <w:r>
        <w:t xml:space="preserve"> Die Minderungsziele vom relativ zu 1990 werden ab 2031 bis 2040 prozentual festgelegt, von 2031 67 % auf 2040 88 %.</w:t>
      </w:r>
      <w:r>
        <w:rPr>
          <w:rStyle w:val="Funotenzeichen"/>
        </w:rPr>
        <w:footnoteReference w:id="111"/>
      </w:r>
      <w:r>
        <w:t xml:space="preserve"> </w:t>
      </w:r>
    </w:p>
    <w:p w14:paraId="3E887C9B" w14:textId="77777777" w:rsidR="00151322" w:rsidRDefault="00151322" w:rsidP="00151322"/>
    <w:p w14:paraId="1521136A" w14:textId="58B8F814" w:rsidR="00151322" w:rsidRDefault="00151322" w:rsidP="00151322">
      <w:r>
        <w:t>D</w:t>
      </w:r>
      <w:r w:rsidR="0021708E">
        <w:t>er</w:t>
      </w:r>
      <w:r>
        <w:t xml:space="preserve"> bisherige Ausbau erneuerbarer Energien vermeidet derzeit </w:t>
      </w:r>
      <w:r w:rsidR="00BD7DF4">
        <w:t xml:space="preserve">in Deutschland </w:t>
      </w:r>
      <w:r>
        <w:t xml:space="preserve">den Ausstoß von </w:t>
      </w:r>
      <w:r w:rsidRPr="00F93D62">
        <w:rPr>
          <w:b/>
          <w:bCs/>
        </w:rPr>
        <w:t>217 Mill. Tonnen CO2-Emissionen</w:t>
      </w:r>
      <w:r>
        <w:t xml:space="preserve"> jährlich (2021).</w:t>
      </w:r>
      <w:r>
        <w:rPr>
          <w:rStyle w:val="Funotenzeichen"/>
        </w:rPr>
        <w:footnoteReference w:id="112"/>
      </w:r>
      <w:r>
        <w:t xml:space="preserve"> </w:t>
      </w:r>
    </w:p>
    <w:p w14:paraId="30F27977" w14:textId="77777777" w:rsidR="00151322" w:rsidRDefault="00151322" w:rsidP="00151322"/>
    <w:tbl>
      <w:tblPr>
        <w:tblStyle w:val="Tabellenraster"/>
        <w:tblW w:w="0" w:type="auto"/>
        <w:tblLook w:val="04A0" w:firstRow="1" w:lastRow="0" w:firstColumn="1" w:lastColumn="0" w:noHBand="0" w:noVBand="1"/>
      </w:tblPr>
      <w:tblGrid>
        <w:gridCol w:w="9062"/>
      </w:tblGrid>
      <w:tr w:rsidR="00151322" w14:paraId="379549DF" w14:textId="77777777" w:rsidTr="008E5424">
        <w:tc>
          <w:tcPr>
            <w:tcW w:w="9062" w:type="dxa"/>
          </w:tcPr>
          <w:p w14:paraId="40CFE1B5" w14:textId="4F6215C0" w:rsidR="00CA5F54" w:rsidRDefault="00CA5F54" w:rsidP="008E5424">
            <w:r>
              <w:t xml:space="preserve">Wie viel darf Deutschland im Bereich Verkehr, Haushalte und Landwirtschaft nach EU-Regeln emittiere? Dies steht in der: </w:t>
            </w:r>
            <w:r w:rsidR="00151322">
              <w:t xml:space="preserve">Effort Sharing bzw. Lastenausgleichsverordnung Durchführungsbeschluss / </w:t>
            </w:r>
            <w:proofErr w:type="spellStart"/>
            <w:r w:rsidR="00151322">
              <w:t>Commission</w:t>
            </w:r>
            <w:proofErr w:type="spellEnd"/>
            <w:r w:rsidR="00151322">
              <w:t xml:space="preserve"> </w:t>
            </w:r>
            <w:proofErr w:type="spellStart"/>
            <w:r w:rsidR="00151322">
              <w:t>Implementing</w:t>
            </w:r>
            <w:proofErr w:type="spellEnd"/>
            <w:r w:rsidR="00151322">
              <w:t xml:space="preserve"> </w:t>
            </w:r>
            <w:proofErr w:type="spellStart"/>
            <w:r w:rsidR="00151322">
              <w:t>Decision</w:t>
            </w:r>
            <w:proofErr w:type="spellEnd"/>
            <w:r w:rsidR="00151322">
              <w:t xml:space="preserve"> (EU) 2023/1319 der Kommission, 28. Juni 2023, hier hat Deutschland folgende Emissionsmengen zur Verfügung: 2021: 427.306.142</w:t>
            </w:r>
            <w:r w:rsidR="00F93D62">
              <w:t xml:space="preserve"> Tonnen</w:t>
            </w:r>
            <w:r w:rsidR="00151322">
              <w:t>, 2025: 349.163.918</w:t>
            </w:r>
            <w:r w:rsidR="00F93D62">
              <w:t xml:space="preserve"> Tonnen</w:t>
            </w:r>
            <w:r w:rsidR="00151322">
              <w:t xml:space="preserve">. </w:t>
            </w:r>
            <w:r w:rsidR="00151322">
              <w:rPr>
                <w:rStyle w:val="Funotenzeichen"/>
              </w:rPr>
              <w:footnoteReference w:id="113"/>
            </w:r>
            <w:r w:rsidR="00151322">
              <w:t xml:space="preserve"> Dies sind aber ‚nur‘ die </w:t>
            </w:r>
            <w:r w:rsidR="00F93D62">
              <w:t xml:space="preserve">Werte </w:t>
            </w:r>
            <w:r w:rsidR="00151322">
              <w:t xml:space="preserve">für Verkehr, Haushalte, Landwirtschaft … siehe oben: 148 Mill. t, 112 Mill. t, 62 Mill. t = 322 Mill. t, nach diesen Zahlen für 2022 hat Deutschland Glück gehabt, es hält </w:t>
            </w:r>
            <w:r>
              <w:t xml:space="preserve">damit auch </w:t>
            </w:r>
            <w:r w:rsidR="00151322">
              <w:t xml:space="preserve">schon die Grenzen für 2025 ein! </w:t>
            </w:r>
          </w:p>
          <w:p w14:paraId="21D723B2" w14:textId="77777777" w:rsidR="00CA5F54" w:rsidRDefault="00CA5F54" w:rsidP="008E5424"/>
          <w:p w14:paraId="612A874C" w14:textId="1C61319D" w:rsidR="00151322" w:rsidRDefault="00151322" w:rsidP="008E5424">
            <w:r>
              <w:t>Die Industrie fällt</w:t>
            </w:r>
            <w:r w:rsidR="00CA5F54">
              <w:t xml:space="preserve"> </w:t>
            </w:r>
            <w:r>
              <w:t xml:space="preserve">unter das ETS … </w:t>
            </w:r>
            <w:r w:rsidR="00CA5F54">
              <w:t>für das ETS ist es ziemlich schwer bestimmte Emissionsmengen als Grenzen zu bestimmen, hier halten die Firmen jeweils ihre eigenen Emissionszertifikate und es gibt Auktionen … siehe dazu unten …</w:t>
            </w:r>
          </w:p>
        </w:tc>
      </w:tr>
    </w:tbl>
    <w:p w14:paraId="4968668A" w14:textId="77777777" w:rsidR="00CA5F54" w:rsidRDefault="00CA5F54" w:rsidP="00112190"/>
    <w:p w14:paraId="2BC4860E" w14:textId="14101E55" w:rsidR="003A2F36" w:rsidRDefault="00112190" w:rsidP="00112190">
      <w:r>
        <w:t>Dass es einen verstärkten Ausbau der erneuerbaren Energien geben muss, dafür stimmen auch die Naturschutz- und Umweltverbände. Sie fordern zwar den Natur- und Artenschutz beibehalten, erkennen aber z.B.  Ausnahmen an, etwa in gut nutzbaren Zonen mit starkem Wind. Die Naturschutz- und Umweltverbände stellten z.B. im Jahr 2020 eine Ökostromlücke von 100 TWh fest</w:t>
      </w:r>
      <w:r>
        <w:rPr>
          <w:rStyle w:val="Funotenzeichen"/>
        </w:rPr>
        <w:footnoteReference w:id="114"/>
      </w:r>
      <w:r>
        <w:t>, ein</w:t>
      </w:r>
      <w:r w:rsidR="00003E19">
        <w:t xml:space="preserve">e </w:t>
      </w:r>
      <w:r>
        <w:t>niedrige Schätzung</w:t>
      </w:r>
      <w:r w:rsidR="0071170D">
        <w:t xml:space="preserve">, die den Eindruck erweckt, dass sich die Verbände sich </w:t>
      </w:r>
      <w:r w:rsidR="00003E19">
        <w:t xml:space="preserve">damals noch </w:t>
      </w:r>
      <w:r w:rsidR="0071170D">
        <w:t>nicht ausreichend mit dem Thema beschäftigt haben</w:t>
      </w:r>
      <w:r>
        <w:t xml:space="preserve">. </w:t>
      </w:r>
    </w:p>
    <w:p w14:paraId="2A826714" w14:textId="77777777" w:rsidR="00A8216B" w:rsidRDefault="00A8216B" w:rsidP="00A8216B"/>
    <w:tbl>
      <w:tblPr>
        <w:tblStyle w:val="Tabellenraster"/>
        <w:tblW w:w="0" w:type="auto"/>
        <w:tblLook w:val="04A0" w:firstRow="1" w:lastRow="0" w:firstColumn="1" w:lastColumn="0" w:noHBand="0" w:noVBand="1"/>
      </w:tblPr>
      <w:tblGrid>
        <w:gridCol w:w="9062"/>
      </w:tblGrid>
      <w:tr w:rsidR="00A8216B" w14:paraId="48D87898" w14:textId="77777777" w:rsidTr="002D10A8">
        <w:tc>
          <w:tcPr>
            <w:tcW w:w="9062" w:type="dxa"/>
          </w:tcPr>
          <w:p w14:paraId="67B93FFB" w14:textId="77777777" w:rsidR="00A8216B" w:rsidRDefault="00A8216B" w:rsidP="002D10A8">
            <w:r>
              <w:lastRenderedPageBreak/>
              <w:t>Der deutsche Wald senkt den CO2-Gehalt nicht mehr. Aktuell speichert er 1200 Millionen Tonnen CO2, derzeit gibt der Wald aber mehr CO2 in die Atmosphäre ab als er speichert, siehe diesen FAZ-Artikel.</w:t>
            </w:r>
            <w:r>
              <w:rPr>
                <w:rStyle w:val="Funotenzeichen"/>
              </w:rPr>
              <w:footnoteReference w:id="115"/>
            </w:r>
            <w:r>
              <w:t xml:space="preserve"> Im Klimaschutzgesetz ist die Speicherleistung von Wäldern und Mooren bereits eingetragen, bis 2030 sollen sie jährlich 25 Mill. Tonnen CO2 aufnehmen, von 2042 bis 2045, dann will Deutschland klimaneutral sein, 40 Mill. Tonnen CO2 im Jahr, siehe diesen FAZ-Artikel.</w:t>
            </w:r>
            <w:r>
              <w:rPr>
                <w:rStyle w:val="Funotenzeichen"/>
              </w:rPr>
              <w:footnoteReference w:id="116"/>
            </w:r>
            <w:r>
              <w:t xml:space="preserve"> (von derzeit 665 Mill. Tonnen CO2 Emissionen und 784 Mill. Tonnen THG Emissionen, siehe die Tabelle oben) </w:t>
            </w:r>
          </w:p>
        </w:tc>
      </w:tr>
    </w:tbl>
    <w:p w14:paraId="677F54C3" w14:textId="77777777" w:rsidR="00A8216B" w:rsidRDefault="00A8216B" w:rsidP="00112190"/>
    <w:p w14:paraId="1D1F3826" w14:textId="0D638791" w:rsidR="00112190" w:rsidRDefault="0071170D" w:rsidP="00112190">
      <w:r>
        <w:t>S</w:t>
      </w:r>
      <w:r w:rsidR="00112190">
        <w:t>chwer verständlich</w:t>
      </w:r>
      <w:r w:rsidR="003A2F36">
        <w:t xml:space="preserve"> ist</w:t>
      </w:r>
      <w:r w:rsidR="00112190">
        <w:t xml:space="preserve">, warum </w:t>
      </w:r>
      <w:r>
        <w:t>einzelne Akteure, etwa der</w:t>
      </w:r>
      <w:r w:rsidR="00112190">
        <w:t xml:space="preserve"> Naturschutzbund Deutschland e.V. (NABU), hartnäckig gegen Windkraftanlagen klag</w:t>
      </w:r>
      <w:r w:rsidR="00BD7DF4">
        <w:t>en</w:t>
      </w:r>
      <w:r w:rsidR="00112190">
        <w:t>, auch gegen bereits funktionierende, große Anlagen.</w:t>
      </w:r>
      <w:r w:rsidR="00112190">
        <w:rPr>
          <w:rStyle w:val="Funotenzeichen"/>
        </w:rPr>
        <w:footnoteReference w:id="117"/>
      </w:r>
      <w:r w:rsidR="00112190">
        <w:t xml:space="preserve"> Für den NABU sind Windenergieanlagen, siehe die NABU Webseite, „Vogelfallen auf See“ und er behauptet dort, dass man eine Gefährdung bestimmter Vogelarten mit einer Studie belegen kann.</w:t>
      </w:r>
      <w:r w:rsidR="00112190" w:rsidRPr="002906AF">
        <w:rPr>
          <w:rStyle w:val="Funotenzeichen"/>
        </w:rPr>
        <w:t xml:space="preserve"> </w:t>
      </w:r>
      <w:r w:rsidR="00112190">
        <w:rPr>
          <w:rStyle w:val="Funotenzeichen"/>
        </w:rPr>
        <w:footnoteReference w:id="118"/>
      </w:r>
      <w:r w:rsidR="00112190">
        <w:t xml:space="preserve"> </w:t>
      </w:r>
      <w:r w:rsidR="0076611E">
        <w:t>Sieht man sich diese Studie einmal an, stellt man fest, dass diese</w:t>
      </w:r>
      <w:r w:rsidR="00112190">
        <w:t xml:space="preserve"> aus einem Literaturüberblick über die allgemeine Forschung über Seevögel</w:t>
      </w:r>
      <w:r w:rsidR="0076611E">
        <w:t xml:space="preserve"> besteht</w:t>
      </w:r>
      <w:r w:rsidR="00112190">
        <w:t xml:space="preserve">. Das Kollisionsrisiko mit Windenergieanlagen wird nur indirekt hergeleitet, durch das Wissen über die Flughöhe, die die Vögel normalerweise haben. Zugegeben wird dort, dass es nicht ausreichend empirische Beweise für das Vogelverhalten bei Offshore Plattformen gibt. Seltsam erscheint auch, dass in einer tabellarischen Übersicht bei den Arten, die ein niedriges Kollisionsrisiko haben, ein hohes </w:t>
      </w:r>
      <w:proofErr w:type="spellStart"/>
      <w:r w:rsidR="00112190">
        <w:t>Displacement</w:t>
      </w:r>
      <w:proofErr w:type="spellEnd"/>
      <w:r w:rsidR="00112190">
        <w:t xml:space="preserve"> Risiko besteht, dadurch haben letztlich alle Vögel Probleme mit Windenergie, es gibt nicht eine Ausnahme.</w:t>
      </w:r>
      <w:r w:rsidR="00112190">
        <w:rPr>
          <w:rStyle w:val="Funotenzeichen"/>
        </w:rPr>
        <w:footnoteReference w:id="119"/>
      </w:r>
      <w:r w:rsidR="00112190">
        <w:t xml:space="preserve"> </w:t>
      </w:r>
      <w:proofErr w:type="spellStart"/>
      <w:r w:rsidR="00112190">
        <w:t>Displacement</w:t>
      </w:r>
      <w:proofErr w:type="spellEnd"/>
      <w:r w:rsidR="00112190">
        <w:t xml:space="preserve"> Risiko wird schwer verständlich definiert. Es ist z.B. mir unklar, wie der mutmaßlich gefährdete Sterntaucher (</w:t>
      </w:r>
      <w:proofErr w:type="spellStart"/>
      <w:r w:rsidR="00112190">
        <w:t>collision</w:t>
      </w:r>
      <w:proofErr w:type="spellEnd"/>
      <w:r w:rsidR="00112190">
        <w:t xml:space="preserve"> </w:t>
      </w:r>
      <w:proofErr w:type="spellStart"/>
      <w:r w:rsidR="00112190">
        <w:t>risk</w:t>
      </w:r>
      <w:proofErr w:type="spellEnd"/>
      <w:r w:rsidR="00112190">
        <w:t xml:space="preserve"> </w:t>
      </w:r>
      <w:proofErr w:type="spellStart"/>
      <w:r w:rsidR="00112190">
        <w:t>low</w:t>
      </w:r>
      <w:proofErr w:type="spellEnd"/>
      <w:r w:rsidR="00112190">
        <w:t xml:space="preserve">, </w:t>
      </w:r>
      <w:proofErr w:type="spellStart"/>
      <w:r w:rsidR="00112190">
        <w:t>displacement</w:t>
      </w:r>
      <w:proofErr w:type="spellEnd"/>
      <w:r w:rsidR="00112190">
        <w:t xml:space="preserve"> </w:t>
      </w:r>
      <w:proofErr w:type="spellStart"/>
      <w:r w:rsidR="00112190">
        <w:t>risk</w:t>
      </w:r>
      <w:proofErr w:type="spellEnd"/>
      <w:r w:rsidR="00112190">
        <w:t xml:space="preserve"> high) ein ‚</w:t>
      </w:r>
      <w:proofErr w:type="spellStart"/>
      <w:r w:rsidR="00112190">
        <w:t>displacement</w:t>
      </w:r>
      <w:proofErr w:type="spellEnd"/>
      <w:r w:rsidR="00112190">
        <w:t xml:space="preserve"> </w:t>
      </w:r>
      <w:proofErr w:type="spellStart"/>
      <w:r w:rsidR="00112190">
        <w:t>risk</w:t>
      </w:r>
      <w:proofErr w:type="spellEnd"/>
      <w:r w:rsidR="00112190">
        <w:t>‘ haben kann, denn er brütet in kleinen, stillen Gewässern an Land und fliegt zur Nahrungssuche auf das Meer hinaus.</w:t>
      </w:r>
      <w:r w:rsidR="00112190" w:rsidRPr="00BD3EFE">
        <w:rPr>
          <w:rStyle w:val="Funotenzeichen"/>
        </w:rPr>
        <w:t xml:space="preserve"> </w:t>
      </w:r>
      <w:r w:rsidR="00112190">
        <w:rPr>
          <w:rStyle w:val="Funotenzeichen"/>
        </w:rPr>
        <w:footnoteReference w:id="120"/>
      </w:r>
      <w:r w:rsidR="00112190">
        <w:t xml:space="preserve"> Bis da die ersten Windparks kommen, ist für den Sterntaucher noch viel Platz. D</w:t>
      </w:r>
      <w:r w:rsidR="002735DF">
        <w:t>e</w:t>
      </w:r>
      <w:r w:rsidR="0076611E">
        <w:t>r</w:t>
      </w:r>
      <w:r w:rsidR="002735DF">
        <w:t xml:space="preserve"> NABU </w:t>
      </w:r>
      <w:r w:rsidR="00BD7DF4">
        <w:t>begründet</w:t>
      </w:r>
      <w:r w:rsidR="0076611E">
        <w:t xml:space="preserve"> </w:t>
      </w:r>
      <w:r w:rsidR="002735DF">
        <w:t>seine</w:t>
      </w:r>
      <w:r w:rsidR="0076611E">
        <w:t xml:space="preserve"> Slogans und</w:t>
      </w:r>
      <w:r w:rsidR="002735DF">
        <w:t xml:space="preserve"> Forderungen </w:t>
      </w:r>
      <w:r w:rsidR="0076611E">
        <w:t xml:space="preserve">also nicht </w:t>
      </w:r>
      <w:proofErr w:type="gramStart"/>
      <w:r w:rsidR="007851FF">
        <w:t>überzeugend</w:t>
      </w:r>
      <w:r w:rsidR="00112190">
        <w:t>.</w:t>
      </w:r>
      <w:r w:rsidR="007851FF">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roofErr w:type="gramEnd"/>
      <w:r w:rsidR="007851FF">
        <w:t xml:space="preserve"> </w:t>
      </w:r>
      <w:r w:rsidR="00112190">
        <w:t>Dennoch hat der Umweltverband NABU einen seriösen Hintergrund, wenn man sich die Biographien der Führungspersonen ansieht</w:t>
      </w:r>
      <w:r w:rsidR="003A2F36">
        <w:t>.</w:t>
      </w:r>
      <w:r w:rsidR="00112190">
        <w:t xml:space="preserve"> </w:t>
      </w:r>
      <w:r w:rsidR="003A2F36">
        <w:t>E</w:t>
      </w:r>
      <w:r w:rsidR="00112190">
        <w:t>r geht</w:t>
      </w:r>
      <w:r w:rsidR="002735DF">
        <w:t xml:space="preserve"> </w:t>
      </w:r>
      <w:r w:rsidR="00112190">
        <w:t xml:space="preserve">gegen Wünsche nach einfachen Lösungen und </w:t>
      </w:r>
      <w:r w:rsidR="0076611E">
        <w:t xml:space="preserve">gegen </w:t>
      </w:r>
      <w:r w:rsidR="00112190">
        <w:t>rechte Einflussnahme vor</w:t>
      </w:r>
      <w:r w:rsidR="0076611E">
        <w:t>, weil</w:t>
      </w:r>
      <w:r w:rsidR="003A2F36">
        <w:t xml:space="preserve"> </w:t>
      </w:r>
      <w:r w:rsidR="0076611E">
        <w:t>r</w:t>
      </w:r>
      <w:r w:rsidR="003A2F36">
        <w:t>echte politischen Gruppen</w:t>
      </w:r>
      <w:r w:rsidR="002735DF">
        <w:t xml:space="preserve"> versuch</w:t>
      </w:r>
      <w:r w:rsidR="003A2F36">
        <w:t>en</w:t>
      </w:r>
      <w:r w:rsidR="002735DF">
        <w:t xml:space="preserve"> durch </w:t>
      </w:r>
      <w:r w:rsidR="003A2F36">
        <w:t xml:space="preserve">den Beitritt in </w:t>
      </w:r>
      <w:proofErr w:type="gramStart"/>
      <w:r w:rsidR="003A2F36">
        <w:t>NABU Ortsgruppen</w:t>
      </w:r>
      <w:proofErr w:type="gramEnd"/>
      <w:r w:rsidR="002735DF">
        <w:t xml:space="preserve"> gegen Maßnahmen zur Bekämpfung des Klimawandels, sprich den Aufbau von Solar- und Windkraftanlagen</w:t>
      </w:r>
      <w:r w:rsidR="003A2F36">
        <w:t>,</w:t>
      </w:r>
      <w:r w:rsidR="002735DF">
        <w:t xml:space="preserve"> vorgehen und </w:t>
      </w:r>
      <w:r w:rsidR="0076611E">
        <w:t xml:space="preserve">versuchen, </w:t>
      </w:r>
      <w:r w:rsidR="00003E19">
        <w:t xml:space="preserve">generell </w:t>
      </w:r>
      <w:r w:rsidR="002735DF">
        <w:t>die Politik zu diskreditieren</w:t>
      </w:r>
      <w:r w:rsidR="00112190">
        <w:t>.</w:t>
      </w:r>
      <w:r w:rsidR="00112190">
        <w:rPr>
          <w:rStyle w:val="Funotenzeichen"/>
        </w:rPr>
        <w:footnoteReference w:id="121"/>
      </w:r>
    </w:p>
    <w:p w14:paraId="45264ED4" w14:textId="77777777" w:rsidR="00F47FA4" w:rsidRDefault="00F47FA4" w:rsidP="00112190"/>
    <w:p w14:paraId="338D224A" w14:textId="77777777" w:rsidR="00BD7DF4" w:rsidRDefault="00BD7DF4" w:rsidP="00112190"/>
    <w:p w14:paraId="5D65C76A" w14:textId="41C3B301" w:rsidR="00112190" w:rsidRDefault="00EC16B9" w:rsidP="00112190">
      <w:r>
        <w:t>3.</w:t>
      </w:r>
      <w:r w:rsidR="00112190">
        <w:t xml:space="preserve"> UNFCC Übereinkommen von Paris</w:t>
      </w:r>
    </w:p>
    <w:p w14:paraId="24A00C98" w14:textId="77777777" w:rsidR="00112190" w:rsidRDefault="00112190" w:rsidP="00112190"/>
    <w:p w14:paraId="71AA76F2" w14:textId="54F6E180" w:rsidR="0086118B" w:rsidRDefault="00112190" w:rsidP="00112190">
      <w:r>
        <w:t>Bereits 199</w:t>
      </w:r>
      <w:r w:rsidR="00652A0E">
        <w:t>2</w:t>
      </w:r>
      <w:r>
        <w:t xml:space="preserve"> ist die United </w:t>
      </w:r>
      <w:proofErr w:type="spellStart"/>
      <w:r>
        <w:t>Nations</w:t>
      </w:r>
      <w:proofErr w:type="spellEnd"/>
      <w:r>
        <w:t xml:space="preserve"> Framework Convention on Climate Change, UNFCCC, bzw. die Klimarahmenkonvention der Vereinten Nationen etabliert worden, aufbauend auf den Erfolgen bei der Bekämpfung des Ozonlochs</w:t>
      </w:r>
      <w:r>
        <w:rPr>
          <w:rStyle w:val="Funotenzeichen"/>
        </w:rPr>
        <w:footnoteReference w:id="122"/>
      </w:r>
      <w:r w:rsidR="00652A0E">
        <w:t xml:space="preserve">, während der </w:t>
      </w:r>
      <w:r w:rsidR="00652A0E" w:rsidRPr="00652A0E">
        <w:t xml:space="preserve">Konferenz der Vereinten Nationen über Umwelt und Entwicklung (United </w:t>
      </w:r>
      <w:proofErr w:type="spellStart"/>
      <w:r w:rsidR="00652A0E" w:rsidRPr="00652A0E">
        <w:t>Nations</w:t>
      </w:r>
      <w:proofErr w:type="spellEnd"/>
      <w:r w:rsidR="00652A0E" w:rsidRPr="00652A0E">
        <w:t xml:space="preserve"> Conference on Environment and Development, UNCED</w:t>
      </w:r>
      <w:r w:rsidR="00652A0E">
        <w:t>)</w:t>
      </w:r>
      <w:r w:rsidR="00652A0E" w:rsidRPr="00652A0E">
        <w:t xml:space="preserve"> vom 3. bis 14. Juni 1992 im brasilianischen Rio de Janeiro statt.</w:t>
      </w:r>
      <w:r w:rsidR="00652A0E">
        <w:rPr>
          <w:rStyle w:val="Funotenzeichen"/>
        </w:rPr>
        <w:footnoteReference w:id="123"/>
      </w:r>
      <w:r w:rsidR="00652A0E" w:rsidRPr="00652A0E">
        <w:t xml:space="preserve"> </w:t>
      </w:r>
      <w:r>
        <w:t>1997 wurde das Kyoto-Abkommen abgeschlossen, es spielt hier nur am Rande eine Rolle. Das Kyoto-Abkommen ist 2020 ausgelaufen.</w:t>
      </w:r>
      <w:r>
        <w:rPr>
          <w:rStyle w:val="Funotenzeichen"/>
        </w:rPr>
        <w:footnoteReference w:id="124"/>
      </w:r>
      <w:r>
        <w:t xml:space="preserve"> </w:t>
      </w:r>
      <w:bookmarkStart w:id="18" w:name="_Hlk204551679"/>
      <w:r>
        <w:t>Auf dem Gipfeltreffen von Paris, COP21, vom 30. November bis 12. Dezember 2015, wurde das Paris Agreement, PA, bzw. Übereinkommen von Paris als Nachfolgeabkommen des Kyoto-Protokolls ausgehandelt. Es ist am 4. November 2016 in Kraft getreten</w:t>
      </w:r>
      <w:bookmarkEnd w:id="18"/>
      <w:r>
        <w:t>.</w:t>
      </w:r>
      <w:r>
        <w:rPr>
          <w:rStyle w:val="Funotenzeichen"/>
        </w:rPr>
        <w:footnoteReference w:id="125"/>
      </w:r>
      <w:r>
        <w:t xml:space="preserve"> Dieses völkerrechtlich verbindliche Abkommen hat eine nahezu universelle Mitgliedschaft, mit 195 Staaten, Stand: 23.12.2023.</w:t>
      </w:r>
      <w:r>
        <w:rPr>
          <w:rStyle w:val="Funotenzeichen"/>
        </w:rPr>
        <w:footnoteReference w:id="126"/>
      </w:r>
      <w:r>
        <w:t xml:space="preserve"> Siehe für die deutsche Übersetzung und eine Sammlung von EU Dokumenten dazu.</w:t>
      </w:r>
      <w:r>
        <w:rPr>
          <w:rStyle w:val="Funotenzeichen"/>
        </w:rPr>
        <w:footnoteReference w:id="127"/>
      </w:r>
      <w:r>
        <w:t xml:space="preserve"> </w:t>
      </w:r>
      <w:bookmarkStart w:id="19" w:name="_Hlk204552613"/>
      <w:r>
        <w:t xml:space="preserve">Im Übereinkommen von Paris </w:t>
      </w:r>
      <w:r w:rsidRPr="008715F3">
        <w:rPr>
          <w:u w:val="single"/>
        </w:rPr>
        <w:t>wird nicht mehr auf länderspezifische, verbindliche Emissionsreduktionsziele hingearbeitet</w:t>
      </w:r>
      <w:r>
        <w:t>, die im Kyoto-Protokoll nur einige Staaten akzeptiert hatten, neu ist, dass jeder Staat einen sog. Nationalen Beitrag vorlegen soll (</w:t>
      </w:r>
      <w:proofErr w:type="spellStart"/>
      <w:r>
        <w:t>Nationally</w:t>
      </w:r>
      <w:proofErr w:type="spellEnd"/>
      <w:r>
        <w:t xml:space="preserve"> </w:t>
      </w:r>
      <w:proofErr w:type="spellStart"/>
      <w:r>
        <w:t>Determined</w:t>
      </w:r>
      <w:proofErr w:type="spellEnd"/>
      <w:r>
        <w:t xml:space="preserve"> </w:t>
      </w:r>
      <w:proofErr w:type="spellStart"/>
      <w:r>
        <w:t>Contributions</w:t>
      </w:r>
      <w:proofErr w:type="spellEnd"/>
      <w:r>
        <w:t xml:space="preserve">, ‚NDC‘), ein Plan zur </w:t>
      </w:r>
      <w:r>
        <w:lastRenderedPageBreak/>
        <w:t>Verminderung von Treibhausgasemissionen, siehe hier der Link zur offiziellen Registrierungsstelle NDCREG mit den aktuellen Plänen.</w:t>
      </w:r>
      <w:r>
        <w:rPr>
          <w:rStyle w:val="Funotenzeichen"/>
        </w:rPr>
        <w:footnoteReference w:id="128"/>
      </w:r>
      <w:r>
        <w:t xml:space="preserve"> Diese Nationalen Beiträge sollen den Anstieg der Erdtemperatur deutlich unter 2 Grad halten und es sollen Anstrengungen unternommen werden, ihn auf 1,5 Grad zu begrenzen (Art. 2 Abs. 1 (a)).</w:t>
      </w:r>
      <w:r w:rsidRPr="00910312">
        <w:rPr>
          <w:rStyle w:val="Funotenzeichen"/>
        </w:rPr>
        <w:t xml:space="preserve"> </w:t>
      </w:r>
      <w:bookmarkEnd w:id="19"/>
      <w:r>
        <w:rPr>
          <w:rStyle w:val="Funotenzeichen"/>
        </w:rPr>
        <w:footnoteReference w:id="129"/>
      </w:r>
      <w:r>
        <w:t xml:space="preserve"> </w:t>
      </w:r>
      <w:r w:rsidR="008F15DB">
        <w:t xml:space="preserve">Im Jahr 2022 wurde erstmals vom IPCC das Ziel von 43 % Reduktion der Emissionen bis 2030 erwähnt, in seinem Bereich Climate Change 2022: Mitigation </w:t>
      </w:r>
      <w:proofErr w:type="spellStart"/>
      <w:r w:rsidR="008F15DB">
        <w:t>of</w:t>
      </w:r>
      <w:proofErr w:type="spellEnd"/>
      <w:r w:rsidR="008F15DB">
        <w:t xml:space="preserve"> Climate Change.</w:t>
      </w:r>
      <w:r w:rsidR="008F15DB">
        <w:rPr>
          <w:rStyle w:val="Funotenzeichen"/>
        </w:rPr>
        <w:footnoteReference w:id="130"/>
      </w:r>
      <w:r w:rsidR="008F15DB">
        <w:t xml:space="preserve"> </w:t>
      </w:r>
      <w:r w:rsidR="00A13103">
        <w:t>Auf der COP27 Konferenz 2022 in Ägypten wurde</w:t>
      </w:r>
      <w:r w:rsidR="008F15DB">
        <w:t xml:space="preserve"> dieses Ziel in</w:t>
      </w:r>
      <w:r w:rsidR="004A2867">
        <w:t xml:space="preserve"> einem</w:t>
      </w:r>
      <w:r w:rsidR="008F15DB">
        <w:t xml:space="preserve"> </w:t>
      </w:r>
      <w:proofErr w:type="spellStart"/>
      <w:r w:rsidR="008F15DB">
        <w:t>Sharm</w:t>
      </w:r>
      <w:proofErr w:type="spellEnd"/>
      <w:r w:rsidR="008F15DB">
        <w:t xml:space="preserve"> al Sheik </w:t>
      </w:r>
      <w:r w:rsidR="004A2867">
        <w:t>Implementation Plan</w:t>
      </w:r>
      <w:r w:rsidR="008F15DB">
        <w:t xml:space="preserve"> erwähnt</w:t>
      </w:r>
      <w:r w:rsidR="00A13103">
        <w:t>.</w:t>
      </w:r>
      <w:r w:rsidR="00A13103">
        <w:rPr>
          <w:rStyle w:val="Funotenzeichen"/>
        </w:rPr>
        <w:footnoteReference w:id="131"/>
      </w:r>
      <w:r w:rsidR="00A13103">
        <w:t xml:space="preserve"> </w:t>
      </w:r>
    </w:p>
    <w:p w14:paraId="0FE16238" w14:textId="77777777" w:rsidR="0086118B" w:rsidRDefault="0086118B" w:rsidP="00112190"/>
    <w:p w14:paraId="2B0FE9F4" w14:textId="0975DB9C" w:rsidR="00112190" w:rsidRDefault="00112190" w:rsidP="00112190">
      <w:r>
        <w:t>Das Übereinkommen von Paris ist im Rahmenabkommens der Vereinten Nationen über Klimaänderungen (</w:t>
      </w:r>
      <w:r w:rsidRPr="00491C9E">
        <w:t>United Nation Framework Convention on Climate Change, UNFCCC</w:t>
      </w:r>
      <w:r>
        <w:t>) angesiedelt. Bei den Nationalen Beiträgen zur Reduzierung von Treibhaus-Emissionen gibt es durchaus Unterschiede, so setzt Brasilien etwa auf Bioenergie bzw. Energie aus Biomasse</w:t>
      </w:r>
      <w:r>
        <w:rPr>
          <w:rStyle w:val="Funotenzeichen"/>
        </w:rPr>
        <w:footnoteReference w:id="132"/>
      </w:r>
      <w:r>
        <w:t xml:space="preserve"> und China möchte CO2-Speicher-Technologie einsetzen, da es Kohlekraftwerke über 2050 hinaus weiterlaufen lassen möchte.</w:t>
      </w:r>
      <w:r>
        <w:rPr>
          <w:rStyle w:val="Funotenzeichen"/>
        </w:rPr>
        <w:footnoteReference w:id="133"/>
      </w:r>
      <w:r>
        <w:t xml:space="preserve"> Ebenso spielt Atomkraft in einigen Ländern eine große Rolle.</w:t>
      </w:r>
      <w:r>
        <w:rPr>
          <w:rStyle w:val="Funotenzeichen"/>
        </w:rPr>
        <w:footnoteReference w:id="134"/>
      </w:r>
      <w:r>
        <w:t xml:space="preserve"> </w:t>
      </w:r>
      <w:r w:rsidR="00C07126">
        <w:t>Siehe hier ein Direktlink zum EU NDC.</w:t>
      </w:r>
      <w:r w:rsidR="00C07126">
        <w:rPr>
          <w:rStyle w:val="Funotenzeichen"/>
        </w:rPr>
        <w:footnoteReference w:id="135"/>
      </w:r>
      <w:r w:rsidR="00C07126">
        <w:t xml:space="preserve"> Der USA NDC.</w:t>
      </w:r>
      <w:r w:rsidR="00C07126">
        <w:rPr>
          <w:rStyle w:val="Funotenzeichen"/>
        </w:rPr>
        <w:footnoteReference w:id="136"/>
      </w:r>
      <w:r w:rsidR="00C07126">
        <w:t xml:space="preserve"> Der China NDC.</w:t>
      </w:r>
      <w:r w:rsidR="00C07126">
        <w:rPr>
          <w:rStyle w:val="Funotenzeichen"/>
        </w:rPr>
        <w:footnoteReference w:id="137"/>
      </w:r>
      <w:r w:rsidR="00C07126">
        <w:t xml:space="preserve"> </w:t>
      </w:r>
      <w:r>
        <w:t>Eine Übersicht über die Pläne der einzelnen Länder findet sich auch hier.</w:t>
      </w:r>
      <w:r>
        <w:rPr>
          <w:rStyle w:val="Funotenzeichen"/>
        </w:rPr>
        <w:footnoteReference w:id="138"/>
      </w:r>
      <w:r>
        <w:t xml:space="preserve"> </w:t>
      </w:r>
    </w:p>
    <w:p w14:paraId="279CF7A2" w14:textId="77777777" w:rsidR="00A53386" w:rsidRDefault="00A53386" w:rsidP="00112190"/>
    <w:p w14:paraId="3DD4FFCE" w14:textId="04A1438A" w:rsidR="00A53386" w:rsidRDefault="00A53386" w:rsidP="00112190">
      <w:r>
        <w:t>Die USA ist unter Präsident Donald Trump wieder aus dem Pariser Übereinkommen ausgestiegen, kurz nach seiner Vereidigung, am 20.01.2025, damit ist die USA noch 1 Jahr lang Mitglied.</w:t>
      </w:r>
      <w:r>
        <w:rPr>
          <w:rStyle w:val="Funotenzeichen"/>
        </w:rPr>
        <w:footnoteReference w:id="139"/>
      </w:r>
      <w:r>
        <w:t xml:space="preserve"> </w:t>
      </w:r>
      <w:r w:rsidR="003E5125">
        <w:t>Die sog. Climate Alliance von 24 U.S. Staaten, die 54 % der U.S.-Bevölkerung und 57 % der U.S. Wirtschaft ausmachen</w:t>
      </w:r>
      <w:r w:rsidR="003E5125">
        <w:rPr>
          <w:rStyle w:val="Funotenzeichen"/>
        </w:rPr>
        <w:footnoteReference w:id="140"/>
      </w:r>
      <w:r w:rsidR="003E5125">
        <w:t>, haben öffentlich erklärt, die Energiewende weiter verfolgen zu wollen.</w:t>
      </w:r>
      <w:r w:rsidR="003E5125">
        <w:rPr>
          <w:rStyle w:val="Funotenzeichen"/>
        </w:rPr>
        <w:footnoteReference w:id="141"/>
      </w:r>
    </w:p>
    <w:p w14:paraId="1C8EFB1A" w14:textId="77777777" w:rsidR="00112190" w:rsidRDefault="00112190" w:rsidP="00112190"/>
    <w:tbl>
      <w:tblPr>
        <w:tblStyle w:val="Tabellenraster"/>
        <w:tblW w:w="0" w:type="auto"/>
        <w:tblLook w:val="04A0" w:firstRow="1" w:lastRow="0" w:firstColumn="1" w:lastColumn="0" w:noHBand="0" w:noVBand="1"/>
      </w:tblPr>
      <w:tblGrid>
        <w:gridCol w:w="9062"/>
      </w:tblGrid>
      <w:tr w:rsidR="00112190" w14:paraId="298A0130" w14:textId="77777777" w:rsidTr="006B301B">
        <w:tc>
          <w:tcPr>
            <w:tcW w:w="9062" w:type="dxa"/>
          </w:tcPr>
          <w:p w14:paraId="3443D688" w14:textId="49A19FE0" w:rsidR="00112190" w:rsidRDefault="00112190" w:rsidP="006B301B">
            <w:r>
              <w:t>Nationale Beiträge, NDCs, aus Sicht de</w:t>
            </w:r>
            <w:r w:rsidR="0021708E">
              <w:t>s</w:t>
            </w:r>
            <w:r>
              <w:t xml:space="preserve"> Völkerrechts und der gemeinsame EU NDC. Zumindest nach der deutschen völkerrechtlichen Literatur sind die NDCs nicht verbindlich, sondern stellen eine Erwartung an die Vertragsparteien in gutem Glauben dar. Die Vertragspartei kann beim Verfehlen nicht nach den Regeln der Staatenverantwortung zur Verantwortung gezogen werden. Sie muss nach den Regeln des Pariser Abkommen über Transparenz und Durchführung (Art. 13 und </w:t>
            </w:r>
            <w:r>
              <w:lastRenderedPageBreak/>
              <w:t>Art. 15) das Verfehlen der NDCs erklären, i.S. einer Rechenschaftspflicht.</w:t>
            </w:r>
            <w:r>
              <w:rPr>
                <w:rStyle w:val="Funotenzeichen"/>
              </w:rPr>
              <w:footnoteReference w:id="142"/>
            </w:r>
            <w:r>
              <w:t xml:space="preserve"> Deutschland und alle anderen EU Staaten haben einen gemeinschaftlichen EU NDC hinterlegt, der allerdings innerhalb des EU-Rechts nur der EU selbst eine Verpflichtung auferlegt, nicht den Mitgliedstaaten, siehe zu dieser seltsamen Konstruktion im Punkt EU mehr.</w:t>
            </w:r>
            <w:r>
              <w:rPr>
                <w:rStyle w:val="Funotenzeichen"/>
              </w:rPr>
              <w:footnoteReference w:id="143"/>
            </w:r>
            <w:r>
              <w:t xml:space="preserve"> Nun finden sich im Übereinkommen von Paris sowieso keine konkreten Zusagen für Emissionsminderungen mehr. Im EU NDC finden sich allerdings Zusagen für Emissionsminderungen für die gesamte EU, aber nicht für einzelne </w:t>
            </w:r>
            <w:proofErr w:type="gramStart"/>
            <w:r>
              <w:t>EU Staaten</w:t>
            </w:r>
            <w:proofErr w:type="gramEnd"/>
            <w:r>
              <w:t>. Aus Sicht des EU Rechts sind die Mitgliedstaaten nach Art. 216 Art. 2 AEUV verpflichtet von der EU abgeschlossene völkerrechtliche Verträge zu achten und auch durchzuführen, da diese Verträge auch Teil der Rechtsordnung der EU werden und Anwendungsvorrang vor dem nationalen Recht bekommen.</w:t>
            </w:r>
            <w:r>
              <w:rPr>
                <w:rStyle w:val="Funotenzeichen"/>
              </w:rPr>
              <w:footnoteReference w:id="144"/>
            </w:r>
            <w:r>
              <w:t xml:space="preserve"> Nicht im EU NDC, aber in anderen EU-Verordnungen finden sich dann allerdings wieder anzustrebende Emissionsziele je nach EU-Staat, siehe Punkt 1.3 EU.</w:t>
            </w:r>
          </w:p>
        </w:tc>
      </w:tr>
    </w:tbl>
    <w:p w14:paraId="2E5C69DA" w14:textId="77777777" w:rsidR="00112190" w:rsidRDefault="00112190" w:rsidP="00112190"/>
    <w:p w14:paraId="2A559AC0" w14:textId="77777777" w:rsidR="00112190" w:rsidRDefault="00112190" w:rsidP="00112190">
      <w:r>
        <w:t>Einigkeit besteht darin, dass die bisher von den Staaten vorgelegten Nationalen Beiträge nicht ausreichend sind. Wenn alle Pläne umgesetzt werden, so schätzt das Sekretariat der Klimarahmenkonvention im Jahr 2021, liegen die Emissionswerte 2030 bei 51 Mrd. Tonne bzw. Gigatonnen, nur ein leichter Rückgang im Vergleich zu dem heutigen Wert von 53 Mrd. Tonnen.</w:t>
      </w:r>
      <w:r>
        <w:rPr>
          <w:rStyle w:val="Funotenzeichen"/>
        </w:rPr>
        <w:footnoteReference w:id="145"/>
      </w:r>
      <w:r>
        <w:t xml:space="preserve"> Ein Bericht des UNFCCC über die emissionsreduzierende Wirkung der von den Staaten vorgelegten NDCs wird nun jährlich aktualisiert, siehe den Bericht für 2022 hier.</w:t>
      </w:r>
      <w:r>
        <w:rPr>
          <w:rStyle w:val="Funotenzeichen"/>
        </w:rPr>
        <w:footnoteReference w:id="146"/>
      </w:r>
      <w:r>
        <w:t xml:space="preserve"> </w:t>
      </w:r>
    </w:p>
    <w:p w14:paraId="311E8753" w14:textId="149EB54C" w:rsidR="00112190" w:rsidRDefault="00112190" w:rsidP="00112190">
      <w:r>
        <w:t xml:space="preserve">- Forschungsfrage: Würde man die Berichte noch kritischer lesen, würden wahrscheinlich herauskommen, dass eine Reihe von Staaten noch nicht ernsthaft begonnen haben, sich mit dem Thema </w:t>
      </w:r>
      <w:r w:rsidR="00D47D0C">
        <w:t xml:space="preserve">Klimawandel </w:t>
      </w:r>
      <w:r>
        <w:t xml:space="preserve">zu beschäftigen. </w:t>
      </w:r>
    </w:p>
    <w:p w14:paraId="0AD3E5DB" w14:textId="77777777" w:rsidR="00A911FC" w:rsidRDefault="00A911FC" w:rsidP="00112190"/>
    <w:tbl>
      <w:tblPr>
        <w:tblStyle w:val="Tabellenraster"/>
        <w:tblW w:w="0" w:type="auto"/>
        <w:tblLook w:val="04A0" w:firstRow="1" w:lastRow="0" w:firstColumn="1" w:lastColumn="0" w:noHBand="0" w:noVBand="1"/>
      </w:tblPr>
      <w:tblGrid>
        <w:gridCol w:w="9062"/>
      </w:tblGrid>
      <w:tr w:rsidR="00A911FC" w14:paraId="1F2EA44A" w14:textId="77777777" w:rsidTr="00A911FC">
        <w:tc>
          <w:tcPr>
            <w:tcW w:w="9062" w:type="dxa"/>
          </w:tcPr>
          <w:p w14:paraId="637BCB2F" w14:textId="74D2180D" w:rsidR="00A911FC" w:rsidRDefault="00A911FC" w:rsidP="00112190">
            <w:r>
              <w:t xml:space="preserve">Die EU bringt jährlich einen Bericht heraus: State </w:t>
            </w:r>
            <w:proofErr w:type="spellStart"/>
            <w:r>
              <w:t>of</w:t>
            </w:r>
            <w:proofErr w:type="spellEnd"/>
            <w:r w:rsidR="000A2930">
              <w:t xml:space="preserve"> </w:t>
            </w:r>
            <w:proofErr w:type="spellStart"/>
            <w:r w:rsidR="000A2930">
              <w:t>t</w:t>
            </w:r>
            <w:r>
              <w:t>he</w:t>
            </w:r>
            <w:proofErr w:type="spellEnd"/>
            <w:r>
              <w:t xml:space="preserve"> Energy Union</w:t>
            </w:r>
            <w:r w:rsidR="000A2930">
              <w:t xml:space="preserve"> 2024.</w:t>
            </w:r>
            <w:r w:rsidR="000A2930">
              <w:rPr>
                <w:rStyle w:val="Funotenzeichen"/>
              </w:rPr>
              <w:footnoteReference w:id="147"/>
            </w:r>
            <w:r w:rsidR="000A2930">
              <w:t xml:space="preserve"> Es gibt hier auch sog. Country Fiches, also Kurzberichte über die einzelnen EU-Länder und ihre Bemühungen hinsichtlich erneuerbarer Energien</w:t>
            </w:r>
            <w:r w:rsidR="008B1FF7">
              <w:t>. D</w:t>
            </w:r>
            <w:r w:rsidR="000A2930">
              <w:t>ies ist eine gute Informationsquelle um Länder zu vergleichen, siehe für 2024 hier.</w:t>
            </w:r>
            <w:r w:rsidR="000A2930">
              <w:rPr>
                <w:rStyle w:val="Funotenzeichen"/>
              </w:rPr>
              <w:footnoteReference w:id="148"/>
            </w:r>
            <w:r w:rsidR="000A2930">
              <w:t xml:space="preserve"> </w:t>
            </w:r>
          </w:p>
        </w:tc>
      </w:tr>
    </w:tbl>
    <w:p w14:paraId="7B3A513E" w14:textId="77777777" w:rsidR="00112190" w:rsidRDefault="00112190" w:rsidP="00112190"/>
    <w:tbl>
      <w:tblPr>
        <w:tblStyle w:val="Tabellenraster"/>
        <w:tblW w:w="0" w:type="auto"/>
        <w:tblLook w:val="04A0" w:firstRow="1" w:lastRow="0" w:firstColumn="1" w:lastColumn="0" w:noHBand="0" w:noVBand="1"/>
      </w:tblPr>
      <w:tblGrid>
        <w:gridCol w:w="9062"/>
      </w:tblGrid>
      <w:tr w:rsidR="00112190" w14:paraId="7D221FC4" w14:textId="77777777" w:rsidTr="006B301B">
        <w:tc>
          <w:tcPr>
            <w:tcW w:w="9062" w:type="dxa"/>
          </w:tcPr>
          <w:p w14:paraId="074BAC6A" w14:textId="3336C4CA" w:rsidR="00112190" w:rsidRDefault="00112190" w:rsidP="006B301B">
            <w:r>
              <w:t>Kurz vor der COP28 Klimakonferenz in Dubai</w:t>
            </w:r>
            <w:r w:rsidR="008715F3">
              <w:t xml:space="preserve"> </w:t>
            </w:r>
            <w:r>
              <w:t xml:space="preserve">wurde vom Guardian herausgefunden, dass </w:t>
            </w:r>
            <w:proofErr w:type="gramStart"/>
            <w:r>
              <w:t>Saudi Arabien</w:t>
            </w:r>
            <w:proofErr w:type="gramEnd"/>
            <w:r>
              <w:t xml:space="preserve"> ein Programm verfolgt, um Entwicklungsländer, darunter in Afrika, weiterhin von Öl abhängig zu halten, das Programm wurde ‚Oil Demand </w:t>
            </w:r>
            <w:proofErr w:type="spellStart"/>
            <w:r>
              <w:t>Sustainability</w:t>
            </w:r>
            <w:proofErr w:type="spellEnd"/>
            <w:r>
              <w:t xml:space="preserve"> Programme (ODSP)‘ genannt.</w:t>
            </w:r>
            <w:r>
              <w:rPr>
                <w:rStyle w:val="Funotenzeichen"/>
              </w:rPr>
              <w:footnoteReference w:id="149"/>
            </w:r>
            <w:r>
              <w:t xml:space="preserve"> Einige Forschungsinstitutionen, etwa die Energie </w:t>
            </w:r>
            <w:proofErr w:type="spellStart"/>
            <w:r>
              <w:t>Transitions</w:t>
            </w:r>
            <w:proofErr w:type="spellEnd"/>
            <w:r>
              <w:t xml:space="preserve"> </w:t>
            </w:r>
            <w:proofErr w:type="spellStart"/>
            <w:r>
              <w:t>Commission</w:t>
            </w:r>
            <w:proofErr w:type="spellEnd"/>
            <w:r>
              <w:t>, hat viele Mitglieder aus Industrien mit hohen Emissionen. Sie haben auf der COP28 Präsentationen gemacht.</w:t>
            </w:r>
            <w:r>
              <w:rPr>
                <w:rStyle w:val="Funotenzeichen"/>
              </w:rPr>
              <w:footnoteReference w:id="150"/>
            </w:r>
            <w:r>
              <w:t xml:space="preserve"> </w:t>
            </w:r>
          </w:p>
        </w:tc>
      </w:tr>
    </w:tbl>
    <w:p w14:paraId="2129AA6D" w14:textId="77777777" w:rsidR="00112190" w:rsidRDefault="00112190" w:rsidP="00112190"/>
    <w:p w14:paraId="567BD3C4" w14:textId="77777777" w:rsidR="00112190" w:rsidRDefault="00112190" w:rsidP="00112190">
      <w:r>
        <w:t xml:space="preserve">Die eigentlichen Ergebnisse der Verhandlungen findet sich auf der UNFCC Webseite United </w:t>
      </w:r>
      <w:proofErr w:type="spellStart"/>
      <w:r>
        <w:t>Nations</w:t>
      </w:r>
      <w:proofErr w:type="spellEnd"/>
      <w:r>
        <w:t xml:space="preserve"> Climate Change. Ein Überblick über alle bisherigen Treffen findet sich dort.</w:t>
      </w:r>
      <w:r>
        <w:rPr>
          <w:rStyle w:val="Funotenzeichen"/>
        </w:rPr>
        <w:footnoteReference w:id="151"/>
      </w:r>
      <w:r>
        <w:t xml:space="preserve"> Die Dokumente sind unter den Kürzeln COP (Conference </w:t>
      </w:r>
      <w:proofErr w:type="spellStart"/>
      <w:r>
        <w:t>of</w:t>
      </w:r>
      <w:proofErr w:type="spellEnd"/>
      <w:r>
        <w:t xml:space="preserve"> </w:t>
      </w:r>
      <w:proofErr w:type="spellStart"/>
      <w:r>
        <w:t>the</w:t>
      </w:r>
      <w:proofErr w:type="spellEnd"/>
      <w:r>
        <w:t xml:space="preserve"> </w:t>
      </w:r>
      <w:proofErr w:type="spellStart"/>
      <w:r>
        <w:t>Parties</w:t>
      </w:r>
      <w:proofErr w:type="spellEnd"/>
      <w:r>
        <w:t xml:space="preserve">, das Hauptentscheidungsgremium), CMP (Treff der Mitglieder des Kyoto Protokolls) und CMA (Treff der Mitglieder des Übereinkommens von Paris) geordnet. Das Abschlussdokument der aktuellen Klimakonferenz, COP 28 in den Vereinigten Arabischen Emiraten (United Arab Emirates, UAE), in Dubai, wurde erst in einer vorläufigen Version veröffentlicht und heißt Outcome </w:t>
      </w:r>
      <w:proofErr w:type="spellStart"/>
      <w:r>
        <w:t>of</w:t>
      </w:r>
      <w:proofErr w:type="spellEnd"/>
      <w:r>
        <w:t xml:space="preserve"> </w:t>
      </w:r>
      <w:proofErr w:type="spellStart"/>
      <w:r>
        <w:t>the</w:t>
      </w:r>
      <w:proofErr w:type="spellEnd"/>
      <w:r>
        <w:t xml:space="preserve"> </w:t>
      </w:r>
      <w:proofErr w:type="spellStart"/>
      <w:r>
        <w:t>first</w:t>
      </w:r>
      <w:proofErr w:type="spellEnd"/>
      <w:r>
        <w:t xml:space="preserve"> global </w:t>
      </w:r>
      <w:proofErr w:type="spellStart"/>
      <w:r>
        <w:t>stocktake</w:t>
      </w:r>
      <w:proofErr w:type="spellEnd"/>
      <w:r>
        <w:t xml:space="preserve"> -/CMA.5.</w:t>
      </w:r>
      <w:r>
        <w:rPr>
          <w:rStyle w:val="Funotenzeichen"/>
        </w:rPr>
        <w:footnoteReference w:id="152"/>
      </w:r>
      <w:r>
        <w:t xml:space="preserve"> Es ging also in Dubai, sieht man auf diesen Titel, um die 1. globale Inventur der Nationalen Beiträge und darum wie die Staatenvertreter darauf reagieren (Global Stocktake: GST). Die offizielle Webseite der COP 28 findet sich hier</w:t>
      </w:r>
      <w:r>
        <w:rPr>
          <w:rStyle w:val="Funotenzeichen"/>
        </w:rPr>
        <w:footnoteReference w:id="153"/>
      </w:r>
      <w:r>
        <w:t>, eine Zusammenfassung der vielen Aktivitäten hier</w:t>
      </w:r>
      <w:r>
        <w:rPr>
          <w:rStyle w:val="Funotenzeichen"/>
        </w:rPr>
        <w:footnoteReference w:id="154"/>
      </w:r>
      <w:r>
        <w:t xml:space="preserve"> und hier.</w:t>
      </w:r>
      <w:r>
        <w:rPr>
          <w:rStyle w:val="Funotenzeichen"/>
        </w:rPr>
        <w:footnoteReference w:id="155"/>
      </w:r>
    </w:p>
    <w:p w14:paraId="6777DA92" w14:textId="77777777" w:rsidR="00112190" w:rsidRDefault="00112190" w:rsidP="00112190"/>
    <w:tbl>
      <w:tblPr>
        <w:tblStyle w:val="Tabellenraster"/>
        <w:tblW w:w="0" w:type="auto"/>
        <w:tblLook w:val="04A0" w:firstRow="1" w:lastRow="0" w:firstColumn="1" w:lastColumn="0" w:noHBand="0" w:noVBand="1"/>
      </w:tblPr>
      <w:tblGrid>
        <w:gridCol w:w="9062"/>
      </w:tblGrid>
      <w:tr w:rsidR="00112190" w:rsidRPr="004C1737" w14:paraId="3EDB5503" w14:textId="77777777" w:rsidTr="006B301B">
        <w:tc>
          <w:tcPr>
            <w:tcW w:w="9062" w:type="dxa"/>
          </w:tcPr>
          <w:p w14:paraId="7C09011B" w14:textId="50D7DF5F" w:rsidR="00112190" w:rsidRPr="006B33DC" w:rsidRDefault="00112190" w:rsidP="006B301B">
            <w:r>
              <w:t xml:space="preserve">Ergebnisse COP28 in Dubai, Vereinigte Arabische Emirate, </w:t>
            </w:r>
            <w:r w:rsidRPr="006D3290">
              <w:t xml:space="preserve">30. </w:t>
            </w:r>
            <w:r w:rsidRPr="00D83B20">
              <w:t xml:space="preserve">November bis 12. </w:t>
            </w:r>
            <w:r w:rsidRPr="006B33DC">
              <w:t xml:space="preserve">Dezember 2023. </w:t>
            </w:r>
          </w:p>
          <w:p w14:paraId="007C627F" w14:textId="587F285E" w:rsidR="00112190" w:rsidRPr="004C1737" w:rsidRDefault="00112190" w:rsidP="006B301B">
            <w:r w:rsidRPr="006B33DC">
              <w:t xml:space="preserve">Die Konferenz fand vor dem Hintergrund eines ersten Dialogs im Juni 2023 und Berichten des Sekretariats statt, das </w:t>
            </w:r>
            <w:r>
              <w:t xml:space="preserve">davor bereits </w:t>
            </w:r>
            <w:r w:rsidRPr="006B33DC">
              <w:t>feststellt</w:t>
            </w:r>
            <w:r>
              <w:t xml:space="preserve"> hat</w:t>
            </w:r>
            <w:r w:rsidRPr="006B33DC">
              <w:t>: „</w:t>
            </w:r>
            <w:proofErr w:type="spellStart"/>
            <w:r w:rsidRPr="006B33DC">
              <w:t>the</w:t>
            </w:r>
            <w:proofErr w:type="spellEnd"/>
            <w:r w:rsidRPr="006B33DC">
              <w:t xml:space="preserve"> </w:t>
            </w:r>
            <w:proofErr w:type="spellStart"/>
            <w:r w:rsidRPr="006B33DC">
              <w:t>world</w:t>
            </w:r>
            <w:proofErr w:type="spellEnd"/>
            <w:r w:rsidRPr="006B33DC">
              <w:t xml:space="preserve"> </w:t>
            </w:r>
            <w:proofErr w:type="spellStart"/>
            <w:r w:rsidRPr="006B33DC">
              <w:t>is</w:t>
            </w:r>
            <w:proofErr w:type="spellEnd"/>
            <w:r w:rsidRPr="006B33DC">
              <w:t xml:space="preserve"> not on track </w:t>
            </w:r>
            <w:proofErr w:type="spellStart"/>
            <w:r w:rsidRPr="006B33DC">
              <w:t>to</w:t>
            </w:r>
            <w:proofErr w:type="spellEnd"/>
            <w:r w:rsidRPr="006B33DC">
              <w:t xml:space="preserve"> </w:t>
            </w:r>
            <w:proofErr w:type="spellStart"/>
            <w:r w:rsidRPr="006B33DC">
              <w:t>meet</w:t>
            </w:r>
            <w:proofErr w:type="spellEnd"/>
            <w:r w:rsidRPr="006B33DC">
              <w:t xml:space="preserve"> </w:t>
            </w:r>
            <w:proofErr w:type="spellStart"/>
            <w:r w:rsidRPr="006B33DC">
              <w:t>the</w:t>
            </w:r>
            <w:proofErr w:type="spellEnd"/>
            <w:r w:rsidRPr="006B33DC">
              <w:t xml:space="preserve"> </w:t>
            </w:r>
            <w:proofErr w:type="spellStart"/>
            <w:r w:rsidRPr="006B33DC">
              <w:t>long</w:t>
            </w:r>
            <w:proofErr w:type="spellEnd"/>
            <w:r w:rsidRPr="006B33DC">
              <w:t xml:space="preserve">-term </w:t>
            </w:r>
            <w:proofErr w:type="spellStart"/>
            <w:r w:rsidRPr="006B33DC">
              <w:t>goals</w:t>
            </w:r>
            <w:proofErr w:type="spellEnd"/>
            <w:r w:rsidRPr="006B33DC">
              <w:t xml:space="preserve"> </w:t>
            </w:r>
            <w:proofErr w:type="spellStart"/>
            <w:r w:rsidRPr="006B33DC">
              <w:t>of</w:t>
            </w:r>
            <w:proofErr w:type="spellEnd"/>
            <w:r w:rsidRPr="006B33DC">
              <w:t xml:space="preserve"> </w:t>
            </w:r>
            <w:proofErr w:type="spellStart"/>
            <w:r w:rsidRPr="006B33DC">
              <w:t>the</w:t>
            </w:r>
            <w:proofErr w:type="spellEnd"/>
            <w:r w:rsidRPr="006B33DC">
              <w:t xml:space="preserve"> Paris Agreement“, siehe Technical </w:t>
            </w:r>
            <w:proofErr w:type="spellStart"/>
            <w:r w:rsidRPr="006B33DC">
              <w:t>dialogue</w:t>
            </w:r>
            <w:proofErr w:type="spellEnd"/>
            <w:r w:rsidRPr="006B33DC">
              <w:t xml:space="preserve"> </w:t>
            </w:r>
            <w:proofErr w:type="spellStart"/>
            <w:r w:rsidRPr="006B33DC">
              <w:t>of</w:t>
            </w:r>
            <w:proofErr w:type="spellEnd"/>
            <w:r w:rsidRPr="006B33DC">
              <w:t xml:space="preserve"> </w:t>
            </w:r>
            <w:proofErr w:type="spellStart"/>
            <w:r w:rsidRPr="006B33DC">
              <w:t>the</w:t>
            </w:r>
            <w:proofErr w:type="spellEnd"/>
            <w:r w:rsidRPr="006B33DC">
              <w:t xml:space="preserve"> </w:t>
            </w:r>
            <w:proofErr w:type="spellStart"/>
            <w:r w:rsidRPr="006B33DC">
              <w:t>first</w:t>
            </w:r>
            <w:proofErr w:type="spellEnd"/>
            <w:r w:rsidRPr="006B33DC">
              <w:t xml:space="preserve"> global </w:t>
            </w:r>
            <w:proofErr w:type="spellStart"/>
            <w:r w:rsidRPr="006B33DC">
              <w:t>stocktake</w:t>
            </w:r>
            <w:proofErr w:type="spellEnd"/>
            <w:r w:rsidRPr="006B33DC">
              <w:t xml:space="preserve">, 8. </w:t>
            </w:r>
            <w:r w:rsidRPr="00703875">
              <w:t>September 2023.</w:t>
            </w:r>
            <w:r>
              <w:rPr>
                <w:rStyle w:val="Funotenzeichen"/>
              </w:rPr>
              <w:footnoteReference w:id="156"/>
            </w:r>
            <w:r w:rsidRPr="00703875">
              <w:t xml:space="preserve"> Die Diskussionen darüber</w:t>
            </w:r>
            <w:r>
              <w:t xml:space="preserve"> auf der Konferenz</w:t>
            </w:r>
            <w:r w:rsidRPr="00703875">
              <w:t xml:space="preserve"> fand</w:t>
            </w:r>
            <w:r>
              <w:t>en</w:t>
            </w:r>
            <w:r w:rsidRPr="00703875">
              <w:t xml:space="preserve"> nicht öffentlich statt, die Reaktion darauf </w:t>
            </w:r>
            <w:r>
              <w:t>wurde als</w:t>
            </w:r>
            <w:r w:rsidRPr="00703875">
              <w:t xml:space="preserve"> Abschlussdokument</w:t>
            </w:r>
            <w:r>
              <w:t xml:space="preserve"> festgehalten</w:t>
            </w:r>
            <w:r w:rsidRPr="00703875">
              <w:t xml:space="preserve">. </w:t>
            </w:r>
            <w:r w:rsidRPr="005C02A4">
              <w:t>Darin wurde erstmals ein Ausstieg aus fossilen Brennstoffen beschlossen</w:t>
            </w:r>
            <w:r>
              <w:t>:</w:t>
            </w:r>
            <w:r w:rsidRPr="005C02A4">
              <w:t xml:space="preserve"> </w:t>
            </w:r>
            <w:r>
              <w:t>I</w:t>
            </w:r>
            <w:r w:rsidRPr="005C02A4">
              <w:t xml:space="preserve">n Outcome </w:t>
            </w:r>
            <w:proofErr w:type="spellStart"/>
            <w:r w:rsidRPr="005C02A4">
              <w:t>of</w:t>
            </w:r>
            <w:proofErr w:type="spellEnd"/>
            <w:r w:rsidRPr="005C02A4">
              <w:t xml:space="preserve"> </w:t>
            </w:r>
            <w:proofErr w:type="spellStart"/>
            <w:r w:rsidRPr="005C02A4">
              <w:t>the</w:t>
            </w:r>
            <w:proofErr w:type="spellEnd"/>
            <w:r w:rsidRPr="005C02A4">
              <w:t xml:space="preserve"> </w:t>
            </w:r>
            <w:proofErr w:type="spellStart"/>
            <w:r w:rsidRPr="005C02A4">
              <w:t>first</w:t>
            </w:r>
            <w:proofErr w:type="spellEnd"/>
            <w:r w:rsidRPr="005C02A4">
              <w:t xml:space="preserve"> global </w:t>
            </w:r>
            <w:proofErr w:type="spellStart"/>
            <w:r w:rsidRPr="005C02A4">
              <w:t>stocktake</w:t>
            </w:r>
            <w:proofErr w:type="spellEnd"/>
            <w:r w:rsidRPr="005C02A4">
              <w:t xml:space="preserve">, </w:t>
            </w:r>
            <w:proofErr w:type="spellStart"/>
            <w:r w:rsidRPr="005C02A4">
              <w:t>Decision</w:t>
            </w:r>
            <w:proofErr w:type="spellEnd"/>
            <w:r w:rsidRPr="005C02A4">
              <w:t xml:space="preserve"> -/CMA.5</w:t>
            </w:r>
            <w:r>
              <w:rPr>
                <w:rStyle w:val="Funotenzeichen"/>
              </w:rPr>
              <w:footnoteReference w:id="157"/>
            </w:r>
            <w:r w:rsidRPr="005C02A4">
              <w:t xml:space="preserve">, </w:t>
            </w:r>
            <w:r>
              <w:t xml:space="preserve">wird </w:t>
            </w:r>
            <w:r w:rsidRPr="005C02A4">
              <w:t>zuerst einmal in Para. 28 (c) erwähnt, dass man aus der Kohleverstromung aussteigen soll: „</w:t>
            </w:r>
            <w:proofErr w:type="spellStart"/>
            <w:r w:rsidRPr="005C02A4">
              <w:t>accelerating</w:t>
            </w:r>
            <w:proofErr w:type="spellEnd"/>
            <w:r w:rsidRPr="005C02A4">
              <w:t xml:space="preserve"> </w:t>
            </w:r>
            <w:proofErr w:type="spellStart"/>
            <w:r w:rsidRPr="005C02A4">
              <w:t>efforts</w:t>
            </w:r>
            <w:proofErr w:type="spellEnd"/>
            <w:r w:rsidRPr="005C02A4">
              <w:t xml:space="preserve"> </w:t>
            </w:r>
            <w:proofErr w:type="spellStart"/>
            <w:r w:rsidRPr="005C02A4">
              <w:t>towards</w:t>
            </w:r>
            <w:proofErr w:type="spellEnd"/>
            <w:r w:rsidRPr="005C02A4">
              <w:t xml:space="preserve"> </w:t>
            </w:r>
            <w:proofErr w:type="spellStart"/>
            <w:r w:rsidRPr="005C02A4">
              <w:t>the</w:t>
            </w:r>
            <w:proofErr w:type="spellEnd"/>
            <w:r w:rsidRPr="005C02A4">
              <w:t xml:space="preserve"> </w:t>
            </w:r>
            <w:proofErr w:type="spellStart"/>
            <w:r w:rsidRPr="005C02A4">
              <w:t>phase</w:t>
            </w:r>
            <w:proofErr w:type="spellEnd"/>
            <w:r w:rsidRPr="005C02A4">
              <w:t xml:space="preserve">-down </w:t>
            </w:r>
            <w:proofErr w:type="spellStart"/>
            <w:r w:rsidRPr="005C02A4">
              <w:t>of</w:t>
            </w:r>
            <w:proofErr w:type="spellEnd"/>
            <w:r w:rsidRPr="005C02A4">
              <w:t xml:space="preserve"> </w:t>
            </w:r>
            <w:proofErr w:type="spellStart"/>
            <w:r w:rsidRPr="005C02A4">
              <w:t>unabated</w:t>
            </w:r>
            <w:proofErr w:type="spellEnd"/>
            <w:r w:rsidRPr="005C02A4">
              <w:t xml:space="preserve"> </w:t>
            </w:r>
            <w:proofErr w:type="spellStart"/>
            <w:r w:rsidRPr="005C02A4">
              <w:t>coal</w:t>
            </w:r>
            <w:proofErr w:type="spellEnd"/>
            <w:r w:rsidRPr="005C02A4">
              <w:t xml:space="preserve"> power“. </w:t>
            </w:r>
            <w:r>
              <w:rPr>
                <w:lang w:val="en-GB"/>
              </w:rPr>
              <w:t>Dann, in</w:t>
            </w:r>
            <w:r w:rsidRPr="00C15702">
              <w:rPr>
                <w:lang w:val="en-GB"/>
              </w:rPr>
              <w:t xml:space="preserve"> Para. 28 (d)</w:t>
            </w:r>
            <w:r>
              <w:rPr>
                <w:lang w:val="en-GB"/>
              </w:rPr>
              <w:t xml:space="preserve">, der </w:t>
            </w:r>
            <w:proofErr w:type="spellStart"/>
            <w:r>
              <w:rPr>
                <w:lang w:val="en-GB"/>
              </w:rPr>
              <w:t>Ausstieg</w:t>
            </w:r>
            <w:proofErr w:type="spellEnd"/>
            <w:r>
              <w:rPr>
                <w:lang w:val="en-GB"/>
              </w:rPr>
              <w:t xml:space="preserve"> </w:t>
            </w:r>
            <w:proofErr w:type="spellStart"/>
            <w:r>
              <w:rPr>
                <w:lang w:val="en-GB"/>
              </w:rPr>
              <w:t>aus</w:t>
            </w:r>
            <w:proofErr w:type="spellEnd"/>
            <w:r>
              <w:rPr>
                <w:lang w:val="en-GB"/>
              </w:rPr>
              <w:t xml:space="preserve"> </w:t>
            </w:r>
            <w:proofErr w:type="spellStart"/>
            <w:r>
              <w:rPr>
                <w:lang w:val="en-GB"/>
              </w:rPr>
              <w:t>fossilen</w:t>
            </w:r>
            <w:proofErr w:type="spellEnd"/>
            <w:r>
              <w:rPr>
                <w:lang w:val="en-GB"/>
              </w:rPr>
              <w:t xml:space="preserve"> </w:t>
            </w:r>
            <w:proofErr w:type="spellStart"/>
            <w:r>
              <w:rPr>
                <w:lang w:val="en-GB"/>
              </w:rPr>
              <w:t>Brennstoffen</w:t>
            </w:r>
            <w:proofErr w:type="spellEnd"/>
            <w:r>
              <w:rPr>
                <w:lang w:val="en-GB"/>
              </w:rPr>
              <w:t>:</w:t>
            </w:r>
            <w:r w:rsidRPr="00C15702">
              <w:rPr>
                <w:lang w:val="en-GB"/>
              </w:rPr>
              <w:t xml:space="preserve"> „Transitioning away from fossil fuels in energy systems, in a just, orderly and equitable manner, accelerating action in this critical decade, so as to achieve net zero by 2050 in keeping with the science”.</w:t>
            </w:r>
            <w:r>
              <w:rPr>
                <w:rStyle w:val="Funotenzeichen"/>
              </w:rPr>
              <w:footnoteReference w:id="158"/>
            </w:r>
            <w:r w:rsidRPr="00C15702">
              <w:rPr>
                <w:lang w:val="en-GB"/>
              </w:rPr>
              <w:t xml:space="preserve"> </w:t>
            </w:r>
            <w:r>
              <w:t xml:space="preserve">Dies wurde allgemein als Erfolg angesehen. --- </w:t>
            </w:r>
            <w:r w:rsidRPr="00C15702">
              <w:t xml:space="preserve">Ebenso wurde aber </w:t>
            </w:r>
            <w:r>
              <w:t xml:space="preserve">in Para. 29 </w:t>
            </w:r>
            <w:r w:rsidRPr="00C15702">
              <w:t>erwähnt, dass “</w:t>
            </w:r>
            <w:proofErr w:type="spellStart"/>
            <w:r w:rsidRPr="00C15702">
              <w:t>transitional</w:t>
            </w:r>
            <w:proofErr w:type="spellEnd"/>
            <w:r w:rsidRPr="00C15702">
              <w:t xml:space="preserve"> </w:t>
            </w:r>
            <w:proofErr w:type="spellStart"/>
            <w:r w:rsidRPr="00C15702">
              <w:t>fuels</w:t>
            </w:r>
            <w:proofErr w:type="spellEnd"/>
            <w:r>
              <w:t xml:space="preserve">“ eine Rolle beim Übergang und für die Energiesicherheit spielen können, darunter wird Gas bzw. Flüssiggas verstanden. Weiterhin wurde in Para. 28 (a) eine Verdreifachung des Ausbaus erneuerbarer Energien und eine Verdopplung der Rate der Energieeffizienzverbesserung bis 2030 festgehalten. In Para. 27 wird festgehalten, dass man die globale Erwärmung nur dann bei 1,5 Grad oder etwas darüber halten kann, wenn man Treibhausgase 43 % bis 2030 und 60 % bis 2025 vermindert und 2050 Nullemissionen erreicht. </w:t>
            </w:r>
            <w:r w:rsidRPr="001F1CBF">
              <w:t xml:space="preserve">Ein Green Climate Fund ist mit 12,33 Mrd. US$ ausgestattet, ein Adaption Fund mit 187,74 Mill. US$, ein Special Climate Change Fund verfügt über 178,06 Mill. </w:t>
            </w:r>
            <w:r>
              <w:t>und der Loss and Damage Fund mit 792 Mill. US$. Insgesamt wird a</w:t>
            </w:r>
            <w:r w:rsidRPr="001F1CBF">
              <w:t>ngestrebt 100 Mrd. bis 2025 zu erreichen</w:t>
            </w:r>
            <w:r>
              <w:t xml:space="preserve">, siehe C. 1. Finance (in diesem </w:t>
            </w:r>
            <w:r w:rsidRPr="001F1CBF">
              <w:t>Abschlussdokument</w:t>
            </w:r>
            <w:r>
              <w:t>)</w:t>
            </w:r>
            <w:r w:rsidRPr="001F1CBF">
              <w:t>.</w:t>
            </w:r>
            <w:r>
              <w:t xml:space="preserve"> In einem anderen Dokument wurde ein Loss and Damage Fund offiziell gegründet, durch den schwache Staaten bei Schäden durch Stürme etc. Hilfen erhalten sollen, er </w:t>
            </w:r>
            <w:r>
              <w:lastRenderedPageBreak/>
              <w:t>wird für 4 Jahre erst einmal von der Weltbank verwaltet.</w:t>
            </w:r>
            <w:r>
              <w:rPr>
                <w:rStyle w:val="Funotenzeichen"/>
              </w:rPr>
              <w:footnoteReference w:id="159"/>
            </w:r>
            <w:r>
              <w:t xml:space="preserve"> Besprochen wurden weiterhin auf der COP 28, z.B. auch die Aktivitäten der Global Environmental Facility (GEF)</w:t>
            </w:r>
            <w:r>
              <w:rPr>
                <w:rStyle w:val="Funotenzeichen"/>
              </w:rPr>
              <w:footnoteReference w:id="160"/>
            </w:r>
            <w:r>
              <w:t>, mit Kontaktstellen weltweit, die kleinere Projekte fördert, es finden sich über 5975 Projekte in der Datenbank.</w:t>
            </w:r>
            <w:r>
              <w:rPr>
                <w:rStyle w:val="Funotenzeichen"/>
              </w:rPr>
              <w:footnoteReference w:id="161"/>
            </w:r>
            <w:r>
              <w:t xml:space="preserve"> </w:t>
            </w:r>
            <w:r w:rsidRPr="004C1737">
              <w:t>Die Global Environmental Facility und der Green Climate Fund w</w:t>
            </w:r>
            <w:r>
              <w:t>e</w:t>
            </w:r>
            <w:r w:rsidRPr="004C1737">
              <w:t>rden weiter mit dem Tech</w:t>
            </w:r>
            <w:r>
              <w:t xml:space="preserve">nology Executive </w:t>
            </w:r>
            <w:proofErr w:type="spellStart"/>
            <w:r>
              <w:t>Commitee</w:t>
            </w:r>
            <w:proofErr w:type="spellEnd"/>
            <w:r>
              <w:t xml:space="preserve"> und dem UN Climate Technology Center (CTCN)</w:t>
            </w:r>
            <w:r>
              <w:rPr>
                <w:rStyle w:val="Funotenzeichen"/>
              </w:rPr>
              <w:footnoteReference w:id="162"/>
            </w:r>
            <w:r>
              <w:t xml:space="preserve"> zusammenarbeiten, deren Ziel es ist Technologietransfer zu erleichtern, Wissen zu verbreiten etc. Auch die CTCN fördert viele kleinere Projekte, siehe ihren Treff im September in Bonn.</w:t>
            </w:r>
            <w:r>
              <w:rPr>
                <w:rStyle w:val="Funotenzeichen"/>
              </w:rPr>
              <w:footnoteReference w:id="163"/>
            </w:r>
            <w:r>
              <w:t xml:space="preserve"> Generell ist es Ziel des Übereinkommen</w:t>
            </w:r>
            <w:r w:rsidR="0021708E">
              <w:t>s</w:t>
            </w:r>
            <w:r>
              <w:t xml:space="preserve"> von Paris Technologieentwicklung und -transfer zu verstärken.</w:t>
            </w:r>
            <w:r>
              <w:rPr>
                <w:rStyle w:val="Funotenzeichen"/>
              </w:rPr>
              <w:footnoteReference w:id="164"/>
            </w:r>
            <w:r>
              <w:t xml:space="preserve"> In diversen anderen offiziellen Dokumenten der COP 28 ging es ums Geld und unterschiedliche Finanzierungsinstrumente.</w:t>
            </w:r>
            <w:r>
              <w:rPr>
                <w:rStyle w:val="Funotenzeichen"/>
              </w:rPr>
              <w:t xml:space="preserve"> </w:t>
            </w:r>
            <w:r>
              <w:rPr>
                <w:rStyle w:val="Funotenzeichen"/>
              </w:rPr>
              <w:footnoteReference w:id="165"/>
            </w:r>
          </w:p>
        </w:tc>
      </w:tr>
    </w:tbl>
    <w:p w14:paraId="7F593ABD" w14:textId="77777777" w:rsidR="00112190" w:rsidRDefault="00112190" w:rsidP="00112190"/>
    <w:p w14:paraId="1D2F6A7C" w14:textId="213C8FBE" w:rsidR="00112190" w:rsidRDefault="00112190" w:rsidP="00112190">
      <w:r>
        <w:t xml:space="preserve">Welche Vorschläge </w:t>
      </w:r>
      <w:r w:rsidR="008715F3">
        <w:t xml:space="preserve">vorlagen und </w:t>
      </w:r>
      <w:r>
        <w:t xml:space="preserve">nicht in das Abschlussdokument gelangten, </w:t>
      </w:r>
      <w:r w:rsidR="006B72B1">
        <w:t>kann hier nicht</w:t>
      </w:r>
      <w:r>
        <w:t xml:space="preserve"> geklärt werden</w:t>
      </w:r>
      <w:r w:rsidR="006B72B1">
        <w:t>, da ich in diesem Bereich kein Experte bin</w:t>
      </w:r>
      <w:r>
        <w:t xml:space="preserve">. </w:t>
      </w:r>
      <w:r w:rsidR="00ED5193">
        <w:t xml:space="preserve">Zum Thema Verhalten der Staaten auf der Konferenz sind mehr Informationen nötig. </w:t>
      </w:r>
      <w:r>
        <w:t>Jedenfalls haben einige Staaten gebremst, etwa Indien, mit vielen Kohlekraftwerken</w:t>
      </w:r>
      <w:r w:rsidR="00BB76AC">
        <w:rPr>
          <w:rStyle w:val="Funotenzeichen"/>
        </w:rPr>
        <w:footnoteReference w:id="166"/>
      </w:r>
      <w:r>
        <w:t>, und China. Ein globaler Preis für Treibhausgase war wohl in der Diskussion, darüber gab es aber keine Einigkeit.</w:t>
      </w:r>
      <w:r>
        <w:rPr>
          <w:rStyle w:val="Funotenzeichen"/>
        </w:rPr>
        <w:footnoteReference w:id="167"/>
      </w:r>
      <w:r>
        <w:t xml:space="preserve"> Ein Termin für einen Stopp des Kohle-, Öl- und Gasabbaus wird von keinem Land angestrebt.</w:t>
      </w:r>
      <w:r>
        <w:rPr>
          <w:rStyle w:val="Funotenzeichen"/>
        </w:rPr>
        <w:footnoteReference w:id="168"/>
      </w:r>
      <w:r>
        <w:t xml:space="preserve"> Einen guten Überblick über die Ergebnisse gibt es auch von dem U.S. Think Tank C2ES.</w:t>
      </w:r>
      <w:r>
        <w:rPr>
          <w:rStyle w:val="Funotenzeichen"/>
        </w:rPr>
        <w:footnoteReference w:id="169"/>
      </w:r>
    </w:p>
    <w:p w14:paraId="50CCC0EF" w14:textId="77777777" w:rsidR="006D41E0" w:rsidRDefault="006D41E0" w:rsidP="00112190"/>
    <w:p w14:paraId="3F724B34" w14:textId="572859BD" w:rsidR="00112190" w:rsidRDefault="00112190" w:rsidP="00112190">
      <w:r>
        <w:t>Auf der COP28 fanden viele weitere Aktivitäten statt, teils bezeichnet als Versprechung (‚</w:t>
      </w:r>
      <w:proofErr w:type="spellStart"/>
      <w:r>
        <w:t>pledge</w:t>
      </w:r>
      <w:proofErr w:type="spellEnd"/>
      <w:r>
        <w:t>‘), Erklärung (‚</w:t>
      </w:r>
      <w:proofErr w:type="spellStart"/>
      <w:r>
        <w:t>declaration</w:t>
      </w:r>
      <w:proofErr w:type="spellEnd"/>
      <w:r>
        <w:t>‘), Initiative (‚initiative‘), Allianzen (‚</w:t>
      </w:r>
      <w:proofErr w:type="spellStart"/>
      <w:r>
        <w:t>alliance</w:t>
      </w:r>
      <w:proofErr w:type="spellEnd"/>
      <w:r>
        <w:t>‘) oder als Koalitionen (‚</w:t>
      </w:r>
      <w:proofErr w:type="spellStart"/>
      <w:r>
        <w:t>coalition</w:t>
      </w:r>
      <w:proofErr w:type="spellEnd"/>
      <w:r>
        <w:t>‘) oder Klub (‘</w:t>
      </w:r>
      <w:proofErr w:type="spellStart"/>
      <w:r>
        <w:t>club</w:t>
      </w:r>
      <w:proofErr w:type="spellEnd"/>
      <w:r>
        <w:t xml:space="preserve">‘), die von unterschiedlichen Gruppen von Staaten und anderen Akteuren, u.a. auch privaten Unternehmen  und privaten Stiftungen und weiteren Akteuren wie dem Internationalen Währungsfund, der Weltbank, regionalen Entwicklungsbanken etc. unterstützt bzw. unterzeichnet wurden. </w:t>
      </w:r>
    </w:p>
    <w:p w14:paraId="1EBBEA53" w14:textId="77777777" w:rsidR="00112190" w:rsidRDefault="00112190" w:rsidP="00112190"/>
    <w:p w14:paraId="2A19433A" w14:textId="38E00DB9" w:rsidR="00112190" w:rsidRPr="00F03786" w:rsidRDefault="00112190" w:rsidP="00112190">
      <w:r>
        <w:t>A</w:t>
      </w:r>
      <w:r w:rsidRPr="001F1CBF">
        <w:t>ußerhalb des ausgehandelten Textes</w:t>
      </w:r>
      <w:r>
        <w:t xml:space="preserve"> wurde</w:t>
      </w:r>
      <w:r w:rsidRPr="001F1CBF">
        <w:t xml:space="preserve"> </w:t>
      </w:r>
      <w:r>
        <w:t>beispielsweise eine</w:t>
      </w:r>
      <w:r w:rsidRPr="001F1CBF">
        <w:t xml:space="preserve"> Global </w:t>
      </w:r>
      <w:proofErr w:type="spellStart"/>
      <w:r w:rsidRPr="001F1CBF">
        <w:t>Decarbonization</w:t>
      </w:r>
      <w:proofErr w:type="spellEnd"/>
      <w:r w:rsidRPr="001F1CBF">
        <w:t xml:space="preserve"> </w:t>
      </w:r>
      <w:proofErr w:type="spellStart"/>
      <w:r w:rsidRPr="001F1CBF">
        <w:t>Accelerator</w:t>
      </w:r>
      <w:proofErr w:type="spellEnd"/>
      <w:r w:rsidRPr="001F1CBF">
        <w:t xml:space="preserve"> (GDA) </w:t>
      </w:r>
      <w:r>
        <w:t xml:space="preserve">Initiative gestartet, die ein </w:t>
      </w:r>
      <w:r w:rsidRPr="001F1CBF">
        <w:t>schnelleres</w:t>
      </w:r>
      <w:r>
        <w:t xml:space="preserve"> Handeln beim Ausbau erneuerbarer Energie und bei der Energieeffizienz fördern soll. </w:t>
      </w:r>
      <w:r w:rsidRPr="00F03786">
        <w:rPr>
          <w:lang w:val="en-GB"/>
        </w:rPr>
        <w:t xml:space="preserve">Darin </w:t>
      </w:r>
      <w:proofErr w:type="spellStart"/>
      <w:r w:rsidRPr="00F03786">
        <w:rPr>
          <w:lang w:val="en-GB"/>
        </w:rPr>
        <w:t>enthalten</w:t>
      </w:r>
      <w:proofErr w:type="spellEnd"/>
      <w:r w:rsidRPr="00F03786">
        <w:rPr>
          <w:lang w:val="en-GB"/>
        </w:rPr>
        <w:t xml:space="preserve"> </w:t>
      </w:r>
      <w:proofErr w:type="spellStart"/>
      <w:r w:rsidRPr="00F03786">
        <w:rPr>
          <w:lang w:val="en-GB"/>
        </w:rPr>
        <w:t>ist</w:t>
      </w:r>
      <w:proofErr w:type="spellEnd"/>
      <w:r w:rsidRPr="00F03786">
        <w:rPr>
          <w:lang w:val="en-GB"/>
        </w:rPr>
        <w:t xml:space="preserve"> d</w:t>
      </w:r>
      <w:r w:rsidR="00BA12DA">
        <w:rPr>
          <w:lang w:val="en-GB"/>
        </w:rPr>
        <w:t>er</w:t>
      </w:r>
      <w:r w:rsidRPr="008517F2">
        <w:rPr>
          <w:lang w:val="en-GB"/>
        </w:rPr>
        <w:t xml:space="preserve"> ‚Global Renewables and Energy Efficiency Pledge‘</w:t>
      </w:r>
      <w:r>
        <w:rPr>
          <w:lang w:val="en-GB"/>
        </w:rPr>
        <w:t>,</w:t>
      </w:r>
      <w:r w:rsidRPr="008517F2">
        <w:rPr>
          <w:lang w:val="en-GB"/>
        </w:rPr>
        <w:t xml:space="preserve"> </w:t>
      </w:r>
      <w:r>
        <w:rPr>
          <w:lang w:val="en-GB"/>
        </w:rPr>
        <w:t xml:space="preserve">von 132 </w:t>
      </w:r>
      <w:proofErr w:type="spellStart"/>
      <w:r>
        <w:rPr>
          <w:lang w:val="en-GB"/>
        </w:rPr>
        <w:t>Ländern</w:t>
      </w:r>
      <w:proofErr w:type="spellEnd"/>
      <w:r>
        <w:rPr>
          <w:lang w:val="en-GB"/>
        </w:rPr>
        <w:t xml:space="preserve"> </w:t>
      </w:r>
      <w:proofErr w:type="spellStart"/>
      <w:r>
        <w:rPr>
          <w:lang w:val="en-GB"/>
        </w:rPr>
        <w:t>unterstützt</w:t>
      </w:r>
      <w:proofErr w:type="spellEnd"/>
      <w:r>
        <w:rPr>
          <w:lang w:val="en-GB"/>
        </w:rPr>
        <w:t>, d</w:t>
      </w:r>
      <w:r w:rsidR="00BA12DA">
        <w:rPr>
          <w:lang w:val="en-GB"/>
        </w:rPr>
        <w:t>er</w:t>
      </w:r>
      <w:r>
        <w:rPr>
          <w:lang w:val="en-GB"/>
        </w:rPr>
        <w:t xml:space="preserve"> </w:t>
      </w:r>
      <w:proofErr w:type="spellStart"/>
      <w:r w:rsidRPr="008517F2">
        <w:rPr>
          <w:lang w:val="en-GB"/>
        </w:rPr>
        <w:t>verspr</w:t>
      </w:r>
      <w:r w:rsidR="00BA12DA">
        <w:rPr>
          <w:lang w:val="en-GB"/>
        </w:rPr>
        <w:t>icht</w:t>
      </w:r>
      <w:proofErr w:type="spellEnd"/>
      <w:r>
        <w:rPr>
          <w:lang w:val="en-GB"/>
        </w:rPr>
        <w:t>:</w:t>
      </w:r>
      <w:r w:rsidRPr="008517F2">
        <w:rPr>
          <w:lang w:val="en-GB"/>
        </w:rPr>
        <w:t xml:space="preserve"> „to triple</w:t>
      </w:r>
      <w:r w:rsidR="006B72B1">
        <w:rPr>
          <w:lang w:val="en-GB"/>
        </w:rPr>
        <w:t xml:space="preserve"> the world’s</w:t>
      </w:r>
      <w:r w:rsidRPr="008517F2">
        <w:rPr>
          <w:lang w:val="en-GB"/>
        </w:rPr>
        <w:t xml:space="preserve"> installed renewable energy generation capacity to at least 11,000 gigawatts</w:t>
      </w:r>
      <w:r w:rsidR="006B72B1">
        <w:rPr>
          <w:lang w:val="en-GB"/>
        </w:rPr>
        <w:t xml:space="preserve"> by 2030</w:t>
      </w:r>
      <w:r w:rsidRPr="008517F2">
        <w:rPr>
          <w:lang w:val="en-GB"/>
        </w:rPr>
        <w:t xml:space="preserve">“ und „double the global average annual rate of energy efficiency improvements </w:t>
      </w:r>
      <w:r w:rsidR="006B72B1">
        <w:rPr>
          <w:lang w:val="en-GB"/>
        </w:rPr>
        <w:t>from around 2 % to over</w:t>
      </w:r>
      <w:r w:rsidRPr="008517F2">
        <w:rPr>
          <w:lang w:val="en-GB"/>
        </w:rPr>
        <w:t xml:space="preserve"> 4 percent </w:t>
      </w:r>
      <w:r w:rsidR="006B72B1">
        <w:rPr>
          <w:lang w:val="en-GB"/>
        </w:rPr>
        <w:t xml:space="preserve">until </w:t>
      </w:r>
      <w:r w:rsidRPr="008517F2">
        <w:rPr>
          <w:lang w:val="en-GB"/>
        </w:rPr>
        <w:t>2030“.</w:t>
      </w:r>
      <w:r w:rsidR="006B72B1">
        <w:rPr>
          <w:rStyle w:val="Funotenzeichen"/>
          <w:lang w:val="en-GB"/>
        </w:rPr>
        <w:footnoteReference w:id="170"/>
      </w:r>
      <w:r w:rsidRPr="008517F2">
        <w:rPr>
          <w:lang w:val="en-GB"/>
        </w:rPr>
        <w:t xml:space="preserve"> </w:t>
      </w:r>
      <w:r w:rsidRPr="00F03786">
        <w:t xml:space="preserve">In </w:t>
      </w:r>
      <w:r>
        <w:t xml:space="preserve">diesem Rahmen versprachen weiterhin eine Gruppe von Staaten, 50 Unternehmen und 29 staatliche </w:t>
      </w:r>
      <w:r>
        <w:lastRenderedPageBreak/>
        <w:t>Ölfirmen</w:t>
      </w:r>
      <w:r w:rsidRPr="008B1F0B">
        <w:t xml:space="preserve"> das Abfackeln von Gas </w:t>
      </w:r>
      <w:r>
        <w:t xml:space="preserve">zu </w:t>
      </w:r>
      <w:r w:rsidRPr="008B1F0B">
        <w:t>minimier</w:t>
      </w:r>
      <w:r>
        <w:t>en, ebenso sollen Methanemissionen sinken und solche aus der Kühlung.</w:t>
      </w:r>
      <w:r>
        <w:rPr>
          <w:rStyle w:val="Funotenzeichen"/>
        </w:rPr>
        <w:footnoteReference w:id="171"/>
      </w:r>
      <w:r>
        <w:t xml:space="preserve"> Innerhalb des GDA wurde auch ein Industrial Transition </w:t>
      </w:r>
      <w:proofErr w:type="spellStart"/>
      <w:r>
        <w:t>Accelerator</w:t>
      </w:r>
      <w:proofErr w:type="spellEnd"/>
      <w:r>
        <w:t xml:space="preserve"> (ITA) gegründet, u.a. von 38 Firmen, 6 Industrieverbänden und dem TV-Sender und Informationsanbieter Bloomberg, der u.a. innovative Finanzlösungen erarbeiten will.</w:t>
      </w:r>
      <w:r>
        <w:rPr>
          <w:rStyle w:val="Funotenzeichen"/>
        </w:rPr>
        <w:footnoteReference w:id="172"/>
      </w:r>
    </w:p>
    <w:p w14:paraId="2634D014" w14:textId="77777777" w:rsidR="00112190" w:rsidRDefault="00112190" w:rsidP="00112190"/>
    <w:p w14:paraId="531F5818" w14:textId="77777777" w:rsidR="00112190" w:rsidRDefault="00112190" w:rsidP="00112190">
      <w:r w:rsidRPr="006B7595">
        <w:t>Die Climate Change High Level Champions</w:t>
      </w:r>
      <w:r>
        <w:t>, zwei Personen im Auftrag des UNFCCC</w:t>
      </w:r>
      <w:r>
        <w:rPr>
          <w:rStyle w:val="Funotenzeichen"/>
        </w:rPr>
        <w:footnoteReference w:id="173"/>
      </w:r>
      <w:r>
        <w:t>,</w:t>
      </w:r>
      <w:r w:rsidRPr="006B7595">
        <w:t xml:space="preserve"> initi</w:t>
      </w:r>
      <w:r>
        <w:t>i</w:t>
      </w:r>
      <w:r w:rsidRPr="006B7595">
        <w:t>erten eine Gruppe, die den</w:t>
      </w:r>
      <w:r>
        <w:t xml:space="preserve"> Bausektor und die Zementindustrie schneller umbauen sollen.</w:t>
      </w:r>
      <w:r>
        <w:rPr>
          <w:rStyle w:val="Funotenzeichen"/>
        </w:rPr>
        <w:footnoteReference w:id="174"/>
      </w:r>
      <w:r>
        <w:t xml:space="preserve"> In Zusammenarbeit mit IRENA</w:t>
      </w:r>
      <w:r>
        <w:rPr>
          <w:rStyle w:val="Funotenzeichen"/>
        </w:rPr>
        <w:footnoteReference w:id="175"/>
      </w:r>
      <w:r>
        <w:t xml:space="preserve"> wurde von den High Level Champions eine Initiative gegründet, bei der Energieversorger sich zu einer Utilities </w:t>
      </w:r>
      <w:proofErr w:type="spellStart"/>
      <w:r>
        <w:t>for</w:t>
      </w:r>
      <w:proofErr w:type="spellEnd"/>
      <w:r>
        <w:t xml:space="preserve"> Zero Alliance zusammenschließen.</w:t>
      </w:r>
      <w:r>
        <w:rPr>
          <w:rStyle w:val="Funotenzeichen"/>
        </w:rPr>
        <w:footnoteReference w:id="176"/>
      </w:r>
      <w:r>
        <w:t xml:space="preserve"> </w:t>
      </w:r>
      <w:r w:rsidRPr="006B7595">
        <w:t xml:space="preserve">Die </w:t>
      </w:r>
      <w:proofErr w:type="spellStart"/>
      <w:r w:rsidRPr="006B7595">
        <w:t>Coalition</w:t>
      </w:r>
      <w:proofErr w:type="spellEnd"/>
      <w:r w:rsidRPr="006B7595">
        <w:t xml:space="preserve"> </w:t>
      </w:r>
      <w:proofErr w:type="spellStart"/>
      <w:r w:rsidRPr="006B7595">
        <w:t>of</w:t>
      </w:r>
      <w:proofErr w:type="spellEnd"/>
      <w:r w:rsidRPr="006B7595">
        <w:t xml:space="preserve"> High Ambition Multilevel Partnerships (CHAMP) Pledge, eine </w:t>
      </w:r>
      <w:r>
        <w:t xml:space="preserve">internationalen </w:t>
      </w:r>
      <w:r w:rsidRPr="006B7595">
        <w:t>Gruppe</w:t>
      </w:r>
      <w:r>
        <w:t xml:space="preserve"> von Bürgermeistern, die Städte und Regionen repräsentieren</w:t>
      </w:r>
      <w:r>
        <w:rPr>
          <w:rStyle w:val="Funotenzeichen"/>
        </w:rPr>
        <w:footnoteReference w:id="177"/>
      </w:r>
      <w:r w:rsidRPr="006B7595">
        <w:t>, unterstützt von 71 Länder</w:t>
      </w:r>
      <w:r>
        <w:t>n, wollen ihre Klimastrategien in die Nationalen Beiträge einbauen.</w:t>
      </w:r>
      <w:r>
        <w:rPr>
          <w:rStyle w:val="Funotenzeichen"/>
        </w:rPr>
        <w:footnoteReference w:id="178"/>
      </w:r>
      <w:r>
        <w:t xml:space="preserve"> Ein Business und </w:t>
      </w:r>
      <w:proofErr w:type="spellStart"/>
      <w:r>
        <w:t>Philantrophie</w:t>
      </w:r>
      <w:proofErr w:type="spellEnd"/>
      <w:r>
        <w:t xml:space="preserve"> Forum fand statt, mit über 20 Initiativen und 7 Mrd. US$ für Klimaprojekten.</w:t>
      </w:r>
      <w:r>
        <w:rPr>
          <w:rStyle w:val="Funotenzeichen"/>
        </w:rPr>
        <w:footnoteReference w:id="179"/>
      </w:r>
      <w:r>
        <w:t xml:space="preserve"> Dies ist nur ein Ausschnitt, es gibt weitere nennenswerte Initiativen und Aspekte, etwa von Afrika, Lateinamerika, des Schiffstransports etc., siehe hier.</w:t>
      </w:r>
      <w:r>
        <w:rPr>
          <w:rStyle w:val="Funotenzeichen"/>
        </w:rPr>
        <w:footnoteReference w:id="180"/>
      </w:r>
    </w:p>
    <w:p w14:paraId="74837FD6" w14:textId="77777777" w:rsidR="00112190" w:rsidRPr="008B1F0B" w:rsidRDefault="00112190" w:rsidP="00112190"/>
    <w:p w14:paraId="73CC1CE4" w14:textId="2B632D96" w:rsidR="00112190" w:rsidRDefault="00112190" w:rsidP="00112190">
      <w:r>
        <w:t xml:space="preserve">Eine weitere Allianz ist die </w:t>
      </w:r>
      <w:proofErr w:type="spellStart"/>
      <w:r>
        <w:t>Powering</w:t>
      </w:r>
      <w:proofErr w:type="spellEnd"/>
      <w:r>
        <w:t xml:space="preserve"> Past Coal </w:t>
      </w:r>
      <w:proofErr w:type="spellStart"/>
      <w:r>
        <w:t>Allicance</w:t>
      </w:r>
      <w:proofErr w:type="spellEnd"/>
      <w:r>
        <w:t xml:space="preserve"> (PPCA), gegründet während der COP23 in Bonn, am 16. November 2017. Dies ist eine Gruppe von Staaten, die sich verpflichtet haben keine weiteren Kohlekraftwerke zu bauen und sich aus der bisherigen Nutzung von Kohlekraftwerken schrittweise zurückzuziehen.</w:t>
      </w:r>
      <w:r>
        <w:rPr>
          <w:rStyle w:val="Funotenzeichen"/>
        </w:rPr>
        <w:footnoteReference w:id="181"/>
      </w:r>
      <w:r>
        <w:t xml:space="preserve"> Sie hat auf der COP28 neue Mitglieder gewonnen, darunter der wichtige Beitritt der USA.</w:t>
      </w:r>
      <w:r>
        <w:rPr>
          <w:rStyle w:val="Funotenzeichen"/>
        </w:rPr>
        <w:footnoteReference w:id="182"/>
      </w:r>
    </w:p>
    <w:p w14:paraId="787D433F" w14:textId="77777777" w:rsidR="00112190" w:rsidRDefault="00112190" w:rsidP="00112190"/>
    <w:p w14:paraId="7889C1CB" w14:textId="6B6A8391" w:rsidR="00112190" w:rsidRDefault="00112190" w:rsidP="00112190">
      <w:r>
        <w:t xml:space="preserve">Auf der COP28 haben am </w:t>
      </w:r>
      <w:r w:rsidR="003F3B56">
        <w:t>0</w:t>
      </w:r>
      <w:r>
        <w:t xml:space="preserve">2.12.2023 22 Staaten angekündigt, angeführt von den USA, England und Frankreich, dass sie die nuklearen Kapazitäten von 2020 bis 2050 verdreifachen wollen: Declaration </w:t>
      </w:r>
      <w:proofErr w:type="spellStart"/>
      <w:r>
        <w:t>to</w:t>
      </w:r>
      <w:proofErr w:type="spellEnd"/>
      <w:r>
        <w:t xml:space="preserve"> Triple </w:t>
      </w:r>
      <w:proofErr w:type="spellStart"/>
      <w:r>
        <w:t>Nuclear</w:t>
      </w:r>
      <w:proofErr w:type="spellEnd"/>
      <w:r>
        <w:t xml:space="preserve"> Energy, 02 </w:t>
      </w:r>
      <w:proofErr w:type="spellStart"/>
      <w:r>
        <w:t>December</w:t>
      </w:r>
      <w:proofErr w:type="spellEnd"/>
      <w:r>
        <w:t xml:space="preserve"> 2023.</w:t>
      </w:r>
      <w:r>
        <w:rPr>
          <w:rStyle w:val="Funotenzeichen"/>
        </w:rPr>
        <w:footnoteReference w:id="183"/>
      </w:r>
      <w:r>
        <w:t xml:space="preserve"> </w:t>
      </w:r>
      <w:r w:rsidR="00E23ECE">
        <w:t xml:space="preserve">Siehe dazu Teil 1, hier wurde gezeigt, dass dies nur zu einem Ausbau von 12 % erneuerbarer Energien am Weltenergieverbrauch führen würde, 88 % würde weiter über fossile Brennstoffe laufen. </w:t>
      </w:r>
      <w:r>
        <w:t>In Frankreich trägt Kernkraft 63 % zur Stromerzeugung bei, in Korea 30 %, in den USA 28 %, in England 14 %, in Kanada 13 %, in den Vereinigten Arabischen Emiraten 12 % und in Japan 8 %.</w:t>
      </w:r>
      <w:r>
        <w:rPr>
          <w:rStyle w:val="Funotenzeichen"/>
        </w:rPr>
        <w:footnoteReference w:id="184"/>
      </w:r>
      <w:r>
        <w:t xml:space="preserve"> In China hat die Kernenergie 2021 erst 5 % Anteil an der </w:t>
      </w:r>
      <w:r>
        <w:lastRenderedPageBreak/>
        <w:t>Gesamtstromerzeugung, es werden an 16 Standorten 55 Reaktorblöcke betrieben, 23 sind in Bau, 11 weitere sind genehmigt.</w:t>
      </w:r>
      <w:r>
        <w:rPr>
          <w:rStyle w:val="Funotenzeichen"/>
        </w:rPr>
        <w:footnoteReference w:id="185"/>
      </w:r>
    </w:p>
    <w:p w14:paraId="57DC76F7" w14:textId="77777777" w:rsidR="00112190" w:rsidRDefault="00112190" w:rsidP="00112190"/>
    <w:p w14:paraId="194D1E23" w14:textId="12F706BA" w:rsidR="00D33AA9" w:rsidRDefault="003F3B56" w:rsidP="00112190">
      <w:r>
        <w:t>Nach der COP28 fand z</w:t>
      </w:r>
      <w:r w:rsidR="00D33AA9">
        <w:t xml:space="preserve">wischen dem 3. Juni und 13. Juni 2024 in Bonn eine Klimakonferenz statt, genannt SB 60, die die Klimakonferenz im November in Baku, </w:t>
      </w:r>
      <w:proofErr w:type="spellStart"/>
      <w:r w:rsidR="00D33AA9">
        <w:t>Aserbaijan</w:t>
      </w:r>
      <w:proofErr w:type="spellEnd"/>
      <w:r w:rsidR="00D33AA9">
        <w:t xml:space="preserve">, vorbereiten soll. Hauptthema waren Finanzfragen. Es geht unter anderem darum ein New Collective Quantified Goal on </w:t>
      </w:r>
      <w:proofErr w:type="spellStart"/>
      <w:r w:rsidR="00D33AA9">
        <w:t>climate</w:t>
      </w:r>
      <w:proofErr w:type="spellEnd"/>
      <w:r w:rsidR="00D33AA9">
        <w:t xml:space="preserve"> </w:t>
      </w:r>
      <w:proofErr w:type="spellStart"/>
      <w:r w:rsidR="00D33AA9">
        <w:t>finance</w:t>
      </w:r>
      <w:proofErr w:type="spellEnd"/>
      <w:r w:rsidR="00D33AA9">
        <w:t xml:space="preserve"> (NCQG) zu entwickeln. Dabei gab es aber nur geringfügige Fortschritte. Nationale Anpassungspläne (National Adaption Plans, NAPs) sollten bis Ende 2025 vorgelegt werden, dies haben aber nur 58 Länder gemacht. Die Frage nach Finanzierung soll in einem High Level Ministertreff im Oktober wieder diskutiert werden.</w:t>
      </w:r>
      <w:r w:rsidR="00D33AA9">
        <w:rPr>
          <w:rStyle w:val="Funotenzeichen"/>
        </w:rPr>
        <w:footnoteReference w:id="186"/>
      </w:r>
      <w:r w:rsidR="00D33AA9">
        <w:t xml:space="preserve"> Immerhin hatte die OECD festgestellt, dass 2022 Zusagen der Industrieländer eingehalten wurden, 100 Mrd. US$ für ärmere Länder jährlich bereitzustellen, eingehalten wurden. Auf der Konferenz wurde von Indien, Saudi-Arabien, den Vereinigten Arabischen Emiraten und anderen Staaten gefordert 400 Mrd. US$ bereitzustellen</w:t>
      </w:r>
      <w:r w:rsidR="00E5697C">
        <w:t xml:space="preserve">. Die Europäer forderten, dass Länder wie China, die Wohlstand erreicht haben, sich auch an der Finanzierung beteiligen sollen. Länder des Südens forderten, dass Kredite, die über 1 % Zinsen hätten, nicht mehr als Finanzierungshilfen gelten sollten. Ohne eine erfolgreiche Vorarbeit droht aber das Scheitern der </w:t>
      </w:r>
      <w:r w:rsidR="00BD2F1B">
        <w:t xml:space="preserve">COP29 </w:t>
      </w:r>
      <w:r w:rsidR="00E5697C">
        <w:t xml:space="preserve">Konferenz in Baku, in </w:t>
      </w:r>
      <w:proofErr w:type="spellStart"/>
      <w:r w:rsidR="00E5697C">
        <w:t>Aserbaijan</w:t>
      </w:r>
      <w:proofErr w:type="spellEnd"/>
      <w:r w:rsidR="00E5697C">
        <w:t xml:space="preserve"> im November.</w:t>
      </w:r>
      <w:r w:rsidR="00E5697C">
        <w:rPr>
          <w:rStyle w:val="Funotenzeichen"/>
        </w:rPr>
        <w:footnoteReference w:id="187"/>
      </w:r>
      <w:r w:rsidR="00E5697C">
        <w:t xml:space="preserve"> </w:t>
      </w:r>
    </w:p>
    <w:p w14:paraId="39020863" w14:textId="77777777" w:rsidR="00D33AA9" w:rsidRDefault="00D33AA9" w:rsidP="00112190"/>
    <w:p w14:paraId="3C58123E" w14:textId="704644B0" w:rsidR="00003E19" w:rsidRDefault="00E23ECE" w:rsidP="00112190">
      <w:r>
        <w:t>Die COP29 Konferenz in Baku hatte folgendes Ergebnis: Zur Halbzeit der Konferenz, siehe diesen FAZ-Artikel.</w:t>
      </w:r>
      <w:r>
        <w:rPr>
          <w:rStyle w:val="Funotenzeichen"/>
        </w:rPr>
        <w:footnoteReference w:id="188"/>
      </w:r>
      <w:r w:rsidR="00CA7D77">
        <w:t xml:space="preserve"> </w:t>
      </w:r>
      <w:r w:rsidR="008B0F59">
        <w:t>Siehe auch weitere Artikel von Lukas Fuhr über diese Konferenz</w:t>
      </w:r>
      <w:r w:rsidR="009E3040">
        <w:t xml:space="preserve"> auf seiner FAZ-Redakteur Seite</w:t>
      </w:r>
      <w:r w:rsidR="008B0F59">
        <w:t>.</w:t>
      </w:r>
      <w:r w:rsidR="008B0F59">
        <w:rPr>
          <w:rStyle w:val="Funotenzeichen"/>
        </w:rPr>
        <w:footnoteReference w:id="189"/>
      </w:r>
      <w:r w:rsidR="008B0F59">
        <w:t xml:space="preserve"> </w:t>
      </w:r>
      <w:r w:rsidR="00CA7D77">
        <w:t>Am Ende der Konferenz sah es so aus: Die Entwicklungsländer hatten eine Summe von mindestens 1</w:t>
      </w:r>
      <w:r w:rsidR="009073E3">
        <w:t>,3</w:t>
      </w:r>
      <w:r w:rsidR="00CA7D77">
        <w:t xml:space="preserve"> Billionen US$ verlangt</w:t>
      </w:r>
      <w:r w:rsidR="00CA3799">
        <w:rPr>
          <w:rStyle w:val="Funotenzeichen"/>
        </w:rPr>
        <w:footnoteReference w:id="190"/>
      </w:r>
      <w:r w:rsidR="00CA7D77">
        <w:t xml:space="preserve">, um die Energiewende bezahlen zu können, diese hohe Summe wurde auch angestrebt, aufgrund der historischen Verantwortung der Industrieländer für den Klimawandel. </w:t>
      </w:r>
      <w:r w:rsidR="00522EDD">
        <w:t>Nun werden nur noch 300 Mill. US$ zugesagt, erst 2035 und es werden nicht nur staatliche Zahlungen, sondern auch solche von Entwicklungsbanken dazugezählt und auch private Zahlungen. Es gelangt Deutschland und anderen Industrieländer nicht China und die Ölstaaten am Golf dazu zu überreden, den Entwicklungsländern ebenfalls Klimagelder zu zahlen.</w:t>
      </w:r>
      <w:r w:rsidR="00522EDD">
        <w:rPr>
          <w:rStyle w:val="Funotenzeichen"/>
        </w:rPr>
        <w:footnoteReference w:id="191"/>
      </w:r>
      <w:r w:rsidR="00522EDD">
        <w:t xml:space="preserve"> Bezüglich Kohleausstieg wurde keine neue Verpflichtung aufgenommen, nur ein Verweis auf </w:t>
      </w:r>
      <w:r w:rsidR="00343624">
        <w:t>Para. 28 aus der</w:t>
      </w:r>
      <w:r w:rsidR="00522EDD">
        <w:t xml:space="preserve"> COP 28 in Dubai steht im Text.</w:t>
      </w:r>
      <w:r w:rsidR="00522EDD">
        <w:rPr>
          <w:rStyle w:val="Funotenzeichen"/>
        </w:rPr>
        <w:footnoteReference w:id="192"/>
      </w:r>
      <w:r w:rsidR="00522EDD">
        <w:t xml:space="preserve"> Schließlich gab es eine Einigung darüber, wie Art. 6.2 und Art. 6.4 aktiviert wird, </w:t>
      </w:r>
      <w:r w:rsidR="00CA3799">
        <w:t>und dadurch</w:t>
      </w:r>
      <w:r w:rsidR="00522EDD">
        <w:t xml:space="preserve"> </w:t>
      </w:r>
      <w:r w:rsidR="00CA3799">
        <w:t>‚</w:t>
      </w:r>
      <w:proofErr w:type="spellStart"/>
      <w:r w:rsidR="00CA3799">
        <w:t>internationally</w:t>
      </w:r>
      <w:proofErr w:type="spellEnd"/>
      <w:r w:rsidR="00CA3799">
        <w:t xml:space="preserve"> </w:t>
      </w:r>
      <w:proofErr w:type="spellStart"/>
      <w:r w:rsidR="00CA3799">
        <w:t>transferred</w:t>
      </w:r>
      <w:proofErr w:type="spellEnd"/>
      <w:r w:rsidR="00CA3799">
        <w:t xml:space="preserve"> </w:t>
      </w:r>
      <w:proofErr w:type="spellStart"/>
      <w:r w:rsidR="00CA3799">
        <w:t>mitigation</w:t>
      </w:r>
      <w:proofErr w:type="spellEnd"/>
      <w:r w:rsidR="00CA3799">
        <w:t xml:space="preserve"> </w:t>
      </w:r>
      <w:proofErr w:type="spellStart"/>
      <w:r w:rsidR="00CA3799">
        <w:t>outcomes</w:t>
      </w:r>
      <w:proofErr w:type="spellEnd"/>
      <w:r w:rsidR="00CA3799">
        <w:t xml:space="preserve">‘ </w:t>
      </w:r>
      <w:r w:rsidR="00522EDD">
        <w:t xml:space="preserve">ITMOs </w:t>
      </w:r>
      <w:r w:rsidR="00CA3799">
        <w:t>ermöglicht werden</w:t>
      </w:r>
      <w:r w:rsidR="00522EDD">
        <w:t>.</w:t>
      </w:r>
    </w:p>
    <w:p w14:paraId="7591EBA9" w14:textId="77777777" w:rsidR="00E23ECE" w:rsidRDefault="00E23ECE" w:rsidP="00112190"/>
    <w:p w14:paraId="45C9D8E3" w14:textId="675B40EA" w:rsidR="00F24C97" w:rsidRDefault="00F24C97" w:rsidP="00112190">
      <w:r>
        <w:lastRenderedPageBreak/>
        <w:t xml:space="preserve">Auf der COP29 Konferenz in Baku, wurde auch (kleines, aber interessantes) globales Versprechen gemacht, mehr Hilfe für die Dekarbonisierung der Industrie: COP29 Global Pledge: Scaling international </w:t>
      </w:r>
      <w:proofErr w:type="spellStart"/>
      <w:r>
        <w:t>assistance</w:t>
      </w:r>
      <w:proofErr w:type="spellEnd"/>
      <w:r>
        <w:t xml:space="preserve"> </w:t>
      </w:r>
      <w:proofErr w:type="spellStart"/>
      <w:r w:rsidRPr="00525059">
        <w:t>for</w:t>
      </w:r>
      <w:proofErr w:type="spellEnd"/>
      <w:r w:rsidRPr="00525059">
        <w:t xml:space="preserve"> </w:t>
      </w:r>
      <w:proofErr w:type="spellStart"/>
      <w:r w:rsidRPr="00525059">
        <w:t>industry</w:t>
      </w:r>
      <w:proofErr w:type="spellEnd"/>
      <w:r w:rsidRPr="00525059">
        <w:t xml:space="preserve"> </w:t>
      </w:r>
      <w:proofErr w:type="spellStart"/>
      <w:r w:rsidRPr="00525059">
        <w:t>decarbonisation</w:t>
      </w:r>
      <w:proofErr w:type="spellEnd"/>
      <w:r>
        <w:t xml:space="preserve">, </w:t>
      </w:r>
      <w:r w:rsidRPr="00525059">
        <w:t xml:space="preserve">Baku, </w:t>
      </w:r>
      <w:proofErr w:type="spellStart"/>
      <w:r w:rsidRPr="00525059">
        <w:t>Azerbaijan</w:t>
      </w:r>
      <w:proofErr w:type="spellEnd"/>
      <w:r w:rsidRPr="00525059">
        <w:t>, 18.11.2024</w:t>
      </w:r>
      <w:r>
        <w:t xml:space="preserve">. Dies enthält die Global Matchmaking </w:t>
      </w:r>
      <w:proofErr w:type="spellStart"/>
      <w:r>
        <w:t>Platform</w:t>
      </w:r>
      <w:proofErr w:type="spellEnd"/>
      <w:r>
        <w:t xml:space="preserve"> und es wurden auch bereits Partnerschaften geknüpft: Indien – Schweden und Brasilien – England. England und Deutschland wollen 420 Mill. Euro für die Initiative beisteuern.</w:t>
      </w:r>
      <w:r>
        <w:rPr>
          <w:rStyle w:val="Funotenzeichen"/>
        </w:rPr>
        <w:footnoteReference w:id="193"/>
      </w:r>
      <w:r>
        <w:t xml:space="preserve"> Ein Climate Investment Funds’ Industry </w:t>
      </w:r>
      <w:proofErr w:type="spellStart"/>
      <w:r>
        <w:t>Decarbonisation</w:t>
      </w:r>
      <w:proofErr w:type="spellEnd"/>
      <w:r>
        <w:t xml:space="preserve"> Investment Programme soll insgesamt 1,3 Mrd. US$ sammeln und weitere Summen bis zur COP30 verfügbar machen.</w:t>
      </w:r>
      <w:r>
        <w:rPr>
          <w:rStyle w:val="Funotenzeichen"/>
        </w:rPr>
        <w:footnoteReference w:id="194"/>
      </w:r>
      <w:r>
        <w:t xml:space="preserve"> </w:t>
      </w:r>
      <w:proofErr w:type="spellStart"/>
      <w:r w:rsidRPr="002F21F1">
        <w:rPr>
          <w:lang w:val="en-US"/>
        </w:rPr>
        <w:t>Diese</w:t>
      </w:r>
      <w:proofErr w:type="spellEnd"/>
      <w:r w:rsidRPr="002F21F1">
        <w:rPr>
          <w:lang w:val="en-US"/>
        </w:rPr>
        <w:t xml:space="preserve"> Idee </w:t>
      </w:r>
      <w:proofErr w:type="spellStart"/>
      <w:r w:rsidRPr="002F21F1">
        <w:rPr>
          <w:lang w:val="en-US"/>
        </w:rPr>
        <w:t>ist</w:t>
      </w:r>
      <w:proofErr w:type="spellEnd"/>
      <w:r w:rsidRPr="002F21F1">
        <w:rPr>
          <w:lang w:val="en-US"/>
        </w:rPr>
        <w:t xml:space="preserve"> </w:t>
      </w:r>
      <w:proofErr w:type="spellStart"/>
      <w:r w:rsidRPr="002F21F1">
        <w:rPr>
          <w:lang w:val="en-US"/>
        </w:rPr>
        <w:t>aus</w:t>
      </w:r>
      <w:proofErr w:type="spellEnd"/>
      <w:r w:rsidRPr="002F21F1">
        <w:rPr>
          <w:lang w:val="en-US"/>
        </w:rPr>
        <w:t xml:space="preserve"> </w:t>
      </w:r>
      <w:proofErr w:type="spellStart"/>
      <w:r w:rsidRPr="002F21F1">
        <w:rPr>
          <w:lang w:val="en-US"/>
        </w:rPr>
        <w:t>einem</w:t>
      </w:r>
      <w:proofErr w:type="spellEnd"/>
      <w:r w:rsidRPr="002F21F1">
        <w:rPr>
          <w:lang w:val="en-US"/>
        </w:rPr>
        <w:t xml:space="preserve"> Schock </w:t>
      </w:r>
      <w:proofErr w:type="spellStart"/>
      <w:r w:rsidRPr="002F21F1">
        <w:rPr>
          <w:lang w:val="en-US"/>
        </w:rPr>
        <w:t>entstanden</w:t>
      </w:r>
      <w:proofErr w:type="spellEnd"/>
      <w:r w:rsidRPr="002F21F1">
        <w:rPr>
          <w:lang w:val="en-US"/>
        </w:rPr>
        <w:t xml:space="preserve">: Der Climate Club </w:t>
      </w:r>
      <w:proofErr w:type="spellStart"/>
      <w:r w:rsidRPr="002F21F1">
        <w:rPr>
          <w:lang w:val="en-US"/>
        </w:rPr>
        <w:t>hatte</w:t>
      </w:r>
      <w:proofErr w:type="spellEnd"/>
      <w:r w:rsidRPr="002F21F1">
        <w:rPr>
          <w:lang w:val="en-US"/>
        </w:rPr>
        <w:t xml:space="preserve"> </w:t>
      </w:r>
      <w:proofErr w:type="spellStart"/>
      <w:r w:rsidRPr="002F21F1">
        <w:rPr>
          <w:lang w:val="en-US"/>
        </w:rPr>
        <w:t>zuvor</w:t>
      </w:r>
      <w:proofErr w:type="spellEnd"/>
      <w:r w:rsidRPr="002F21F1">
        <w:rPr>
          <w:lang w:val="en-US"/>
        </w:rPr>
        <w:t xml:space="preserve"> </w:t>
      </w:r>
      <w:proofErr w:type="spellStart"/>
      <w:r w:rsidRPr="002F21F1">
        <w:rPr>
          <w:lang w:val="en-US"/>
        </w:rPr>
        <w:t>einen</w:t>
      </w:r>
      <w:proofErr w:type="spellEnd"/>
      <w:r w:rsidRPr="002F21F1">
        <w:rPr>
          <w:lang w:val="en-US"/>
        </w:rPr>
        <w:t xml:space="preserve"> </w:t>
      </w:r>
      <w:proofErr w:type="spellStart"/>
      <w:r w:rsidRPr="002F21F1">
        <w:rPr>
          <w:lang w:val="en-US"/>
        </w:rPr>
        <w:t>Bericht</w:t>
      </w:r>
      <w:proofErr w:type="spellEnd"/>
      <w:r w:rsidRPr="002F21F1">
        <w:rPr>
          <w:lang w:val="en-US"/>
        </w:rPr>
        <w:t xml:space="preserve"> </w:t>
      </w:r>
      <w:proofErr w:type="spellStart"/>
      <w:r w:rsidRPr="002F21F1">
        <w:rPr>
          <w:lang w:val="en-US"/>
        </w:rPr>
        <w:t>über</w:t>
      </w:r>
      <w:proofErr w:type="spellEnd"/>
      <w:r w:rsidRPr="002F21F1">
        <w:rPr>
          <w:lang w:val="en-US"/>
        </w:rPr>
        <w:t xml:space="preserve"> die Emerging Markets and Developing Countries EMDE </w:t>
      </w:r>
      <w:proofErr w:type="spellStart"/>
      <w:r w:rsidRPr="002F21F1">
        <w:rPr>
          <w:lang w:val="en-US"/>
        </w:rPr>
        <w:t>veröffentlicht</w:t>
      </w:r>
      <w:proofErr w:type="spellEnd"/>
      <w:r w:rsidRPr="002F21F1">
        <w:rPr>
          <w:lang w:val="en-US"/>
        </w:rPr>
        <w:t xml:space="preserve">, </w:t>
      </w:r>
      <w:proofErr w:type="spellStart"/>
      <w:r w:rsidRPr="002F21F1">
        <w:rPr>
          <w:lang w:val="en-US"/>
        </w:rPr>
        <w:t>mit</w:t>
      </w:r>
      <w:proofErr w:type="spellEnd"/>
      <w:r w:rsidRPr="002F21F1">
        <w:rPr>
          <w:lang w:val="en-US"/>
        </w:rPr>
        <w:t xml:space="preserve"> dem Titel: Mapping financial and technical assistance for industry </w:t>
      </w:r>
      <w:proofErr w:type="spellStart"/>
      <w:r w:rsidRPr="002F21F1">
        <w:rPr>
          <w:lang w:val="en-US"/>
        </w:rPr>
        <w:t>decarbonisation</w:t>
      </w:r>
      <w:proofErr w:type="spellEnd"/>
      <w:r w:rsidRPr="002F21F1">
        <w:rPr>
          <w:lang w:val="en-US"/>
        </w:rPr>
        <w:t xml:space="preserve"> in emerging markets and developing economies Taking stock of trends in hard-to-abate sectors. </w:t>
      </w:r>
      <w:r w:rsidRPr="00C02E0B">
        <w:t>Paris: OCED, 2024</w:t>
      </w:r>
      <w:r>
        <w:rPr>
          <w:rStyle w:val="Funotenzeichen"/>
          <w:lang w:val="en-GB"/>
        </w:rPr>
        <w:footnoteReference w:id="195"/>
      </w:r>
      <w:r w:rsidRPr="00C02E0B">
        <w:t xml:space="preserve"> vorgelegt</w:t>
      </w:r>
      <w:r>
        <w:t xml:space="preserve">: </w:t>
      </w:r>
      <w:r w:rsidRPr="00F24C97">
        <w:t xml:space="preserve">Dort wird festgestellt, dass von den gesamten Geldern, die in den Klimabereich fließen, 2000 bis 2021 waren dies 100 Mrd. </w:t>
      </w:r>
      <w:r w:rsidRPr="00ED5193">
        <w:rPr>
          <w:b/>
          <w:bCs/>
        </w:rPr>
        <w:t>nur 1 Mrd. für die Dekarbonisierung von Zement, Chemie und Stahl zur Verfügung standen</w:t>
      </w:r>
      <w:r w:rsidRPr="00F24C97">
        <w:t>, also 1 %.</w:t>
      </w:r>
      <w:r w:rsidRPr="00F24C97">
        <w:rPr>
          <w:rStyle w:val="Funotenzeichen"/>
        </w:rPr>
        <w:footnoteReference w:id="196"/>
      </w:r>
      <w:r>
        <w:t xml:space="preserve"> </w:t>
      </w:r>
      <w:r w:rsidRPr="00F24C97">
        <w:t xml:space="preserve">Der Climate Club hat auch </w:t>
      </w:r>
      <w:r>
        <w:t>die</w:t>
      </w:r>
      <w:r w:rsidRPr="00F24C97">
        <w:t xml:space="preserve"> Global Matchmaking </w:t>
      </w:r>
      <w:proofErr w:type="spellStart"/>
      <w:r w:rsidRPr="00F24C97">
        <w:t>Platform</w:t>
      </w:r>
      <w:proofErr w:type="spellEnd"/>
      <w:r w:rsidRPr="00F24C97">
        <w:t xml:space="preserve"> entwickelt, für Länder, die sich gegenseitig helfen wollen.</w:t>
      </w:r>
      <w:r w:rsidRPr="00F24C97">
        <w:rPr>
          <w:rStyle w:val="Funotenzeichen"/>
        </w:rPr>
        <w:footnoteReference w:id="197"/>
      </w:r>
    </w:p>
    <w:p w14:paraId="4BDFD64F" w14:textId="77777777" w:rsidR="00F24C97" w:rsidRDefault="00F24C97" w:rsidP="00112190"/>
    <w:tbl>
      <w:tblPr>
        <w:tblStyle w:val="Tabellenraster"/>
        <w:tblW w:w="0" w:type="auto"/>
        <w:tblLook w:val="04A0" w:firstRow="1" w:lastRow="0" w:firstColumn="1" w:lastColumn="0" w:noHBand="0" w:noVBand="1"/>
      </w:tblPr>
      <w:tblGrid>
        <w:gridCol w:w="9062"/>
      </w:tblGrid>
      <w:tr w:rsidR="00074946" w14:paraId="08D0C53D" w14:textId="77777777" w:rsidTr="00074946">
        <w:tc>
          <w:tcPr>
            <w:tcW w:w="9062" w:type="dxa"/>
          </w:tcPr>
          <w:p w14:paraId="4743A2FE" w14:textId="3BBCD594" w:rsidR="00074946" w:rsidRDefault="00074946" w:rsidP="00112190">
            <w:r>
              <w:t xml:space="preserve">Woran hakt die Finanzierung der Energiewende weltweit? Jährlich </w:t>
            </w:r>
            <w:r w:rsidR="00D47D0C">
              <w:t>fließen</w:t>
            </w:r>
            <w:r>
              <w:t xml:space="preserve"> 100 Mrd. </w:t>
            </w:r>
            <w:r w:rsidR="00D47D0C">
              <w:t xml:space="preserve">von den Industrieländern an die Entwicklungsländer? </w:t>
            </w:r>
            <w:r>
              <w:t>Geht hier nicht mehr? Die Haushalte der großen Industrie- und Schwellenländer verfügen über hohe Summen, Haushaltsknappheit und Verschuldung hin- oder her. Vielleicht nicht dann, wenn man sich nur 1 Jahr ansieht, aber wenn man über 25 Jahre, bis 2050 rechnet, können die reicheren Länder schon viel bewegen. Wenn jedes große Industrieland (es gibt weltweit ‚nur‘ ca. 20 reichere, kooperative Länder</w:t>
            </w:r>
            <w:r>
              <w:rPr>
                <w:rStyle w:val="Funotenzeichen"/>
              </w:rPr>
              <w:footnoteReference w:id="198"/>
            </w:r>
            <w:r>
              <w:t xml:space="preserve"> jährlich 25 Mrd. an ärmere Länder zahlen würden, dann bekommt man bis 2050 eine große Summe zusammen (ab 2025, 25 Jahre lang, jährlich 500 Mrd., sind 12.500 Mrd., so eine Summe braucht man allerdings auch, um in Indien, Pakistan, Bangladesch, Indonesien, Thailand, Vietnam, Brasilien, Südafrika, Ägypten, Türkei, Irak, Iran, Kenia, Tansania, Angola, Nigeria, Ghana, die Elfenbeinküste und Marokko eine Dekarbonisierung zu beginnen und durchzuführen). Jährlich 500 Mrd. wäre somit eine gute Sache. China nehme ich aus der Liste heraus, sie haben selbst Geld.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tc>
      </w:tr>
    </w:tbl>
    <w:p w14:paraId="1869F1F9" w14:textId="77777777" w:rsidR="00074946" w:rsidRDefault="00074946" w:rsidP="00112190"/>
    <w:p w14:paraId="7552EF46" w14:textId="34CF4C6D" w:rsidR="00F332A1" w:rsidRDefault="00CA3799" w:rsidP="00CA3799">
      <w:r w:rsidRPr="009A48C5">
        <w:rPr>
          <w:u w:val="single"/>
        </w:rPr>
        <w:t>Exkurs ITMOs.</w:t>
      </w:r>
      <w:r w:rsidRPr="009A48C5">
        <w:t xml:space="preserve"> </w:t>
      </w:r>
      <w:r w:rsidR="003110E9" w:rsidRPr="003110E9">
        <w:t>ITMO ist die Abkürzung für: ‘</w:t>
      </w:r>
      <w:proofErr w:type="spellStart"/>
      <w:r w:rsidR="003110E9" w:rsidRPr="003110E9">
        <w:t>internationally</w:t>
      </w:r>
      <w:proofErr w:type="spellEnd"/>
      <w:r w:rsidR="003110E9" w:rsidRPr="003110E9">
        <w:t xml:space="preserve"> </w:t>
      </w:r>
      <w:proofErr w:type="spellStart"/>
      <w:r w:rsidR="003110E9" w:rsidRPr="003110E9">
        <w:t>transferred</w:t>
      </w:r>
      <w:proofErr w:type="spellEnd"/>
      <w:r w:rsidR="003110E9" w:rsidRPr="003110E9">
        <w:t xml:space="preserve"> </w:t>
      </w:r>
      <w:proofErr w:type="spellStart"/>
      <w:r w:rsidR="003110E9" w:rsidRPr="003110E9">
        <w:t>mitigation</w:t>
      </w:r>
      <w:proofErr w:type="spellEnd"/>
      <w:r w:rsidR="003110E9" w:rsidRPr="003110E9">
        <w:t xml:space="preserve"> </w:t>
      </w:r>
      <w:proofErr w:type="spellStart"/>
      <w:r w:rsidR="003110E9" w:rsidRPr="003110E9">
        <w:t>outcome</w:t>
      </w:r>
      <w:proofErr w:type="spellEnd"/>
      <w:r w:rsidR="003110E9" w:rsidRPr="003110E9">
        <w:t xml:space="preserve">’. </w:t>
      </w:r>
      <w:r>
        <w:t xml:space="preserve">Im Kyoto Protokoll hatte es der Mechanismus für umweltverträgliche Entwicklung bzw. Clean Development </w:t>
      </w:r>
      <w:proofErr w:type="spellStart"/>
      <w:r>
        <w:t>Mechanism</w:t>
      </w:r>
      <w:proofErr w:type="spellEnd"/>
      <w:r>
        <w:t xml:space="preserve"> (CDM), Art. 12, ermöglicht, dass Projekte in Entwicklungsländern stattfanden, dort Emissionsverminderungen vollzogen worden und damit konnten Personen / Firmen in Industrieländern Aktivitäten mit Emissionen ‚kompensieren‘ bzw. es wurde damit Handel getrieben. Gehandelt wurde mit sog. ‚</w:t>
      </w:r>
      <w:proofErr w:type="spellStart"/>
      <w:r>
        <w:t>certified</w:t>
      </w:r>
      <w:proofErr w:type="spellEnd"/>
      <w:r>
        <w:t xml:space="preserve"> </w:t>
      </w:r>
      <w:proofErr w:type="spellStart"/>
      <w:r>
        <w:t>emission</w:t>
      </w:r>
      <w:proofErr w:type="spellEnd"/>
      <w:r>
        <w:t xml:space="preserve"> </w:t>
      </w:r>
      <w:proofErr w:type="spellStart"/>
      <w:r>
        <w:t>reductions</w:t>
      </w:r>
      <w:proofErr w:type="spellEnd"/>
      <w:r>
        <w:t xml:space="preserve">‘, CER, für 1 Tonne CO2. </w:t>
      </w:r>
      <w:r w:rsidR="00F332A1">
        <w:t>Diese CER konnten sich die Industrieländer auch auf ihre Treibhausbilanz anrechnen lassen, denn es gab kein Problem der Doppelzählung, da die Entwicklungsländer keinen Verpflichtungen hatten.</w:t>
      </w:r>
    </w:p>
    <w:p w14:paraId="7D79B169" w14:textId="77777777" w:rsidR="00F332A1" w:rsidRDefault="00F332A1" w:rsidP="00CA3799"/>
    <w:p w14:paraId="237D6F26" w14:textId="6AD9BD50" w:rsidR="00F332A1" w:rsidRDefault="00F332A1" w:rsidP="00CA3799">
      <w:r>
        <w:lastRenderedPageBreak/>
        <w:t>Mit dem Inkrafttreten des Pariser Abkommens vom 1. Januar 2021 haben nun alle 187 Vertragsstaaten eigene Reduktionsziele eingereicht, die NDCs, sodass die Gefahr der Doppelzählung besteht</w:t>
      </w:r>
      <w:r w:rsidR="00D870C5">
        <w:t>. Wenn zum Beispiel die Firma Zero Ex vulkanisches Gestein auf landwirtschaftlichen Flächen verstreut und diese Flächen gleichzeitig düngt, bindet dies CO2. Wenn dies z.B. in Marokko passiert, dann kann Marokko sich dies als CO2 Reduktion anrechnen lassen, aber die Firmen Zero Ex könnte dies auch an eine Firma in Deutschland, als sog. freiwillige CO2-Kompensation an VW verkaufen. Dies könnte sogar Deutschland sich auf sein CO2-Konto anrechnen lassen. Damit läge mindestens eine Doppelzählung vor. Dies gilt es aber zu verhindern.</w:t>
      </w:r>
      <w:r w:rsidR="00D870C5">
        <w:rPr>
          <w:rStyle w:val="Funotenzeichen"/>
        </w:rPr>
        <w:footnoteReference w:id="199"/>
      </w:r>
      <w:r w:rsidR="00D870C5">
        <w:t xml:space="preserve"> </w:t>
      </w:r>
    </w:p>
    <w:p w14:paraId="175694D3" w14:textId="77777777" w:rsidR="00F332A1" w:rsidRDefault="00F332A1" w:rsidP="00CA3799"/>
    <w:p w14:paraId="6F76920F" w14:textId="0BA08A07" w:rsidR="00CA3799" w:rsidRDefault="00CA3799" w:rsidP="00CA3799">
      <w:r>
        <w:t>Bekannt sind Projekte, die u.a. dafür gesorgt haben, dass man CO2 neutral fliegen konnte, siehe etwa die Webseite von Atmosfair, wobei die Waldprojekte von Atmosfair mit Aufforstung etc. aber gescheitert sind und nicht mehr weiterbetrieben werden.</w:t>
      </w:r>
      <w:r>
        <w:rPr>
          <w:rStyle w:val="Funotenzeichen"/>
        </w:rPr>
        <w:footnoteReference w:id="200"/>
      </w:r>
      <w:r>
        <w:t xml:space="preserve"> Es gab in diesem Bereich viele fragwürdige Projekte.</w:t>
      </w:r>
      <w:r>
        <w:rPr>
          <w:rStyle w:val="Funotenzeichen"/>
        </w:rPr>
        <w:footnoteReference w:id="201"/>
      </w:r>
      <w:r>
        <w:t xml:space="preserve"> </w:t>
      </w:r>
      <w:r w:rsidR="00BC6100">
        <w:t>In einem FAZ-Artikel wird eine Studie des Magazins Nature zitiert, die besagt, dass nur 16 % der Projekte zur realen Emissionsminderungen geführt hat, sprich: 84 % waren letztlich unwirksam bzw. letztlich betrügerisch.</w:t>
      </w:r>
      <w:r w:rsidR="006E3C2D">
        <w:rPr>
          <w:rStyle w:val="Funotenzeichen"/>
        </w:rPr>
        <w:footnoteReference w:id="202"/>
      </w:r>
      <w:r w:rsidR="006E3C2D">
        <w:t xml:space="preserve"> </w:t>
      </w:r>
      <w:r w:rsidRPr="006E3C2D">
        <w:rPr>
          <w:u w:val="single"/>
        </w:rPr>
        <w:t>Diese CDM Projekte sind mit dem Ende des Kyoto-Protokolls ausgelaufen. Die Zertifikate gelten offenbar noch, aber nach dem 31.12.2020 waren neue Zertifikate nicht mehr zu erwerben und neue Projekte konnten nicht mehr registriert werden</w:t>
      </w:r>
      <w:r>
        <w:t>.</w:t>
      </w:r>
      <w:r>
        <w:rPr>
          <w:rStyle w:val="Funotenzeichen"/>
        </w:rPr>
        <w:footnoteReference w:id="203"/>
      </w:r>
      <w:r>
        <w:t xml:space="preserve"> Weiterhin bekamen osteuropäische Länder durch Kyoto Emissionszertifikate, für Emissionen, die viele Jahre zuvor eingespart wurden (sog. Joint Implementation, JI, nach Art. 6 Kyoto Protokoll, sog. ‚</w:t>
      </w:r>
      <w:proofErr w:type="spellStart"/>
      <w:r>
        <w:t>emissions</w:t>
      </w:r>
      <w:proofErr w:type="spellEnd"/>
      <w:r>
        <w:t xml:space="preserve"> </w:t>
      </w:r>
      <w:proofErr w:type="spellStart"/>
      <w:r>
        <w:t>reduction</w:t>
      </w:r>
      <w:proofErr w:type="spellEnd"/>
      <w:r>
        <w:t xml:space="preserve"> </w:t>
      </w:r>
      <w:proofErr w:type="spellStart"/>
      <w:r>
        <w:t>units</w:t>
      </w:r>
      <w:proofErr w:type="spellEnd"/>
      <w:r>
        <w:t>‘, ERU, und konnten mit diesen handeln, auch hier wurden jedenfalls nach dem Ende von Kyoto keine mehr ausgestellt, Enddatum ist der 31.12.2020.</w:t>
      </w:r>
      <w:r>
        <w:rPr>
          <w:rStyle w:val="Funotenzeichen"/>
        </w:rPr>
        <w:footnoteReference w:id="204"/>
      </w:r>
      <w:r>
        <w:t xml:space="preserve"> </w:t>
      </w:r>
    </w:p>
    <w:p w14:paraId="67F2CCD3" w14:textId="77777777" w:rsidR="00C973C6" w:rsidRDefault="00C973C6" w:rsidP="00CA3799"/>
    <w:p w14:paraId="2D3592DB" w14:textId="082AAB1B" w:rsidR="00CA3799" w:rsidRDefault="00CA3799" w:rsidP="00CA3799">
      <w:r>
        <w:t xml:space="preserve">Ist es auch im Übereinkommen von Paris noch möglich, dass solche Projekte in Entwicklungsländern wieder / immer noch stattfinden können und ist es möglich, dass Staaten oder private Akteure Rechte CO2 zu emittieren an andere Staaten oder private Akteure verkaufen können, bis hin zu einer Kooperation von Emissionshandelssystem? </w:t>
      </w:r>
    </w:p>
    <w:p w14:paraId="7B4F97CC" w14:textId="77777777" w:rsidR="00CA3799" w:rsidRDefault="00CA3799" w:rsidP="00CA3799"/>
    <w:p w14:paraId="377F6ED0" w14:textId="77777777" w:rsidR="00CA3799" w:rsidRDefault="00CA3799" w:rsidP="00CA3799">
      <w:r>
        <w:t xml:space="preserve">Beides war durch Art. 6 des Übereinkommens von Paris offenbar weiterhin möglich: Nach Art. 6.1 ist die „freiwillige Zusammenarbeit bei der Umsetzung ihrer nationalen festgelegten Beiträge“ möglich, nach Art. 6.2 „Beteiligen sich Vertragsparteien auf freiwilliger Grundlage an kooperativen Ansätzen, die die Verwendung international übertragener Minderungsergebnisse zum Erreichen der national festgelegten Beiträge beinhaltet, so fördern sie die nachhaltige Entwicklung und gewährleisten die Umweltintegrität und die Transparenz, auch beim Verwaltungshandeln; sie wenden im Einklang mit den Leitlinien, die von der als Tagung der Vertragsparteien dieses Übereinkommens dienenden Konferenz der Vertragsparteien beschlossen wurden, ein verlässliches Abrechnungsverfahren an, um </w:t>
      </w:r>
      <w:r>
        <w:lastRenderedPageBreak/>
        <w:t>unter anderem die Vermeidung von Doppelzählungen zu gewährleisten“, dies ist nach Art. 6.3 „freiwillig (…) und bedarf der Genehmigung der teilnehmenden Vertragsparteien“.</w:t>
      </w:r>
      <w:r w:rsidRPr="00AA5A0E">
        <w:rPr>
          <w:rStyle w:val="Funotenzeichen"/>
        </w:rPr>
        <w:t xml:space="preserve"> </w:t>
      </w:r>
      <w:r>
        <w:rPr>
          <w:rStyle w:val="Funotenzeichen"/>
        </w:rPr>
        <w:footnoteReference w:id="205"/>
      </w:r>
      <w:r>
        <w:t xml:space="preserve"> Dieser Handel von Emissionsminderungen, der in anderen Ländern Emissionsrechte ermöglicht wird nun mit einem neuen Begriff benannt: „</w:t>
      </w:r>
      <w:bookmarkStart w:id="21" w:name="_Hlk202290259"/>
      <w:proofErr w:type="spellStart"/>
      <w:r>
        <w:t>internationally</w:t>
      </w:r>
      <w:proofErr w:type="spellEnd"/>
      <w:r>
        <w:t xml:space="preserve"> </w:t>
      </w:r>
      <w:proofErr w:type="spellStart"/>
      <w:r>
        <w:t>transferred</w:t>
      </w:r>
      <w:proofErr w:type="spellEnd"/>
      <w:r>
        <w:t xml:space="preserve"> </w:t>
      </w:r>
      <w:proofErr w:type="spellStart"/>
      <w:r>
        <w:t>mitigation</w:t>
      </w:r>
      <w:proofErr w:type="spellEnd"/>
      <w:r>
        <w:t xml:space="preserve"> </w:t>
      </w:r>
      <w:proofErr w:type="spellStart"/>
      <w:r>
        <w:t>outcome</w:t>
      </w:r>
      <w:bookmarkEnd w:id="21"/>
      <w:proofErr w:type="spellEnd"/>
      <w:r>
        <w:t>‘, Kürzel: ITMO bzw. ITMOs.</w:t>
      </w:r>
      <w:r>
        <w:rPr>
          <w:rStyle w:val="Funotenzeichen"/>
        </w:rPr>
        <w:footnoteReference w:id="206"/>
      </w:r>
      <w:r>
        <w:t xml:space="preserve"> Offenbar kann ein ITMO dann auch in einen Nationalen Beitrag eingerechnet werden. Besorgt wird gefragt, was hier alles darunterfallen kann, wohl keine emissionsvermindert produzierten Exporte?</w:t>
      </w:r>
      <w:r>
        <w:rPr>
          <w:rStyle w:val="Funotenzeichen"/>
        </w:rPr>
        <w:footnoteReference w:id="207"/>
      </w:r>
      <w:r>
        <w:t xml:space="preserve"> Kann ein Staat eventuell sogar eine Politikveränderung an ein anderes Land i.S. eines Emissionsrechts für einen Geldbetrag verkaufen oder muss es ein konkretes Projekt sein? Wie wird dies überwacht, wie werden die Emissionsminderungen berechnet? </w:t>
      </w:r>
    </w:p>
    <w:p w14:paraId="2ECAE539" w14:textId="77777777" w:rsidR="00CA3799" w:rsidRDefault="00CA3799" w:rsidP="00CA3799"/>
    <w:p w14:paraId="38C8965F" w14:textId="77777777" w:rsidR="00CA3799" w:rsidRDefault="00CA3799" w:rsidP="00CA3799">
      <w:r>
        <w:t xml:space="preserve">Dieser Prozess der Klärung dieser Aspekte war aber lange Zeit nicht abgeschlossen, es lag ein </w:t>
      </w:r>
      <w:proofErr w:type="spellStart"/>
      <w:r>
        <w:t>Article</w:t>
      </w:r>
      <w:proofErr w:type="spellEnd"/>
      <w:r>
        <w:t xml:space="preserve"> 6 </w:t>
      </w:r>
      <w:proofErr w:type="spellStart"/>
      <w:r>
        <w:t>Rulebook</w:t>
      </w:r>
      <w:proofErr w:type="spellEnd"/>
      <w:r>
        <w:t xml:space="preserve"> vor, beschlossen auf der COP26 2021 in Glasgow.</w:t>
      </w:r>
      <w:r>
        <w:rPr>
          <w:rStyle w:val="Funotenzeichen"/>
        </w:rPr>
        <w:footnoteReference w:id="208"/>
      </w:r>
      <w:r>
        <w:t xml:space="preserve"> Es sind ITMOs erlaubt, die von Staaten genehmigt werden, ebenso ein freier Markt, auch zwischen Unternehmen, so Marcu (2021).</w:t>
      </w:r>
      <w:r>
        <w:rPr>
          <w:rStyle w:val="Funotenzeichen"/>
        </w:rPr>
        <w:footnoteReference w:id="209"/>
      </w:r>
      <w:r>
        <w:t xml:space="preserve"> Die CDM-Projekte werden zu Art. 6.4 zugerechnet, hier wird ein Mechanismus eingerichtet, der von einem Gremium des UNFCC beaufsichtig wird</w:t>
      </w:r>
      <w:r>
        <w:rPr>
          <w:rStyle w:val="Funotenzeichen"/>
        </w:rPr>
        <w:footnoteReference w:id="210"/>
      </w:r>
      <w:r>
        <w:t xml:space="preserve"> - wie dies erfolgen soll, diese Fragen sollten wohl im Verlauf von 2024 geklärt werden, auf der COP28 wurde ein Bericht des Sekretariats vorgelegt</w:t>
      </w:r>
      <w:r>
        <w:rPr>
          <w:rStyle w:val="Funotenzeichen"/>
        </w:rPr>
        <w:footnoteReference w:id="211"/>
      </w:r>
      <w:r>
        <w:t xml:space="preserve"> und durch die Mitgliedsstaaten eine Leitlinie (‚</w:t>
      </w:r>
      <w:proofErr w:type="spellStart"/>
      <w:r>
        <w:t>guidance</w:t>
      </w:r>
      <w:proofErr w:type="spellEnd"/>
      <w:r>
        <w:t>‘)</w:t>
      </w:r>
      <w:r>
        <w:rPr>
          <w:rStyle w:val="Funotenzeichen"/>
        </w:rPr>
        <w:footnoteReference w:id="212"/>
      </w:r>
      <w:r>
        <w:t xml:space="preserve"> zum weiteren Vorgehen beschlossen.</w:t>
      </w:r>
      <w:r>
        <w:rPr>
          <w:rStyle w:val="Funotenzeichen"/>
        </w:rPr>
        <w:footnoteReference w:id="213"/>
      </w:r>
      <w:r>
        <w:t xml:space="preserve">  </w:t>
      </w:r>
    </w:p>
    <w:p w14:paraId="023D8C1D" w14:textId="77777777" w:rsidR="00CA3799" w:rsidRDefault="00CA3799" w:rsidP="00CA3799"/>
    <w:p w14:paraId="0E34E099" w14:textId="42079821" w:rsidR="00CA3799" w:rsidRPr="0067661D" w:rsidRDefault="00CA3799" w:rsidP="00CA3799">
      <w:r>
        <w:t xml:space="preserve">Bei der COP29 2024 UN-Klimakonferenz in Baku, vom 11.11. bis zum 24.11.2024 wurden nun die Rahmenbedingungen für Art. 6.2 und Art. 6.4 beschlossen. </w:t>
      </w:r>
      <w:r w:rsidRPr="00F93B1A">
        <w:t>Norwegen finanziert die</w:t>
      </w:r>
      <w:r>
        <w:t>se</w:t>
      </w:r>
      <w:r w:rsidRPr="00F93B1A">
        <w:t xml:space="preserve"> Art. 6 Strukturen in der UN mit 740 M</w:t>
      </w:r>
      <w:r>
        <w:t>ill. US$.</w:t>
      </w:r>
      <w:r>
        <w:rPr>
          <w:rStyle w:val="Funotenzeichen"/>
        </w:rPr>
        <w:footnoteReference w:id="214"/>
      </w:r>
    </w:p>
    <w:p w14:paraId="1D98F992" w14:textId="77777777" w:rsidR="00CA3799" w:rsidRDefault="00CA3799" w:rsidP="00CA3799"/>
    <w:p w14:paraId="10AB120F" w14:textId="77777777" w:rsidR="00CA3799" w:rsidRDefault="00CA3799" w:rsidP="00CA3799">
      <w:r>
        <w:t>Art. 6.2 ‚bilaterale Abkommen zwischen Staaten‘. Art. 6.2 ist nun für einen bilaterale Abkommen für den Transfer von Emissionsrechten bzw. Emissionskrediten (‚</w:t>
      </w:r>
      <w:proofErr w:type="spellStart"/>
      <w:r>
        <w:t>carbon</w:t>
      </w:r>
      <w:proofErr w:type="spellEnd"/>
      <w:r>
        <w:t xml:space="preserve"> </w:t>
      </w:r>
      <w:proofErr w:type="spellStart"/>
      <w:r>
        <w:t>credits</w:t>
      </w:r>
      <w:proofErr w:type="spellEnd"/>
      <w:r>
        <w:t>‘ oder ‚</w:t>
      </w:r>
      <w:proofErr w:type="spellStart"/>
      <w:r>
        <w:t>credit</w:t>
      </w:r>
      <w:proofErr w:type="spellEnd"/>
      <w:r>
        <w:t xml:space="preserve">‘ wird meist in Englisch verwendet) vorgesehen. Wird dieses Emissionsrecht, dem ein tatsächliches Einsparen von Emissionen zugrunde liegt, verschoben, wird es zu einem ITMO: International </w:t>
      </w:r>
      <w:proofErr w:type="spellStart"/>
      <w:r>
        <w:t>Transferred</w:t>
      </w:r>
      <w:proofErr w:type="spellEnd"/>
      <w:r>
        <w:t xml:space="preserve"> Mitigation Outcome. Der Käufer kann diese Einsparung von Emissionen nun von seiner nationalen THG-Emissions-Bestandsliste als eingesparte Emission eintragen. Das Land, in dem die Einsparung tatsächlich erfolgt ist, darf aber diese Emissionen nicht mehr bei sich abziehen bzw. löschen, etwa in seinem NDC-Bericht. Seine Emissionen bleiben gleich hoch.  </w:t>
      </w:r>
    </w:p>
    <w:p w14:paraId="0DE08FE3" w14:textId="77777777" w:rsidR="00CA3799" w:rsidRDefault="00CA3799" w:rsidP="00CA3799"/>
    <w:tbl>
      <w:tblPr>
        <w:tblStyle w:val="Tabellenraster"/>
        <w:tblW w:w="0" w:type="auto"/>
        <w:tblLook w:val="04A0" w:firstRow="1" w:lastRow="0" w:firstColumn="1" w:lastColumn="0" w:noHBand="0" w:noVBand="1"/>
      </w:tblPr>
      <w:tblGrid>
        <w:gridCol w:w="9062"/>
      </w:tblGrid>
      <w:tr w:rsidR="00CA3799" w:rsidRPr="00F93B1A" w14:paraId="48BB424B" w14:textId="77777777" w:rsidTr="00FB0DD1">
        <w:tc>
          <w:tcPr>
            <w:tcW w:w="9062" w:type="dxa"/>
          </w:tcPr>
          <w:p w14:paraId="7AFCA10C" w14:textId="575C67D8" w:rsidR="008D41C2" w:rsidRPr="00F93B1A" w:rsidRDefault="00CA3799" w:rsidP="00FB0DD1">
            <w:r w:rsidRPr="0039072D">
              <w:t>Die Schweiz ist ein Vorreiter</w:t>
            </w:r>
            <w:r w:rsidR="00074946">
              <w:t xml:space="preserve"> im Auslagern seiner Emissionsreduzierungen</w:t>
            </w:r>
            <w:r w:rsidRPr="0039072D">
              <w:t xml:space="preserve">, sie hat </w:t>
            </w:r>
            <w:r>
              <w:t xml:space="preserve">bereits </w:t>
            </w:r>
            <w:proofErr w:type="gramStart"/>
            <w:r w:rsidRPr="0039072D">
              <w:t xml:space="preserve">14 </w:t>
            </w:r>
            <w:r>
              <w:t>mal</w:t>
            </w:r>
            <w:proofErr w:type="gramEnd"/>
            <w:r>
              <w:t xml:space="preserve"> </w:t>
            </w:r>
            <w:r w:rsidR="00B10684">
              <w:t xml:space="preserve">ein </w:t>
            </w:r>
            <w:r w:rsidRPr="0039072D">
              <w:t>Art. 6.2 Abkommen ab</w:t>
            </w:r>
            <w:r>
              <w:t xml:space="preserve">geschlossen: </w:t>
            </w:r>
            <w:r w:rsidRPr="0039072D">
              <w:t xml:space="preserve">“The </w:t>
            </w:r>
            <w:proofErr w:type="spellStart"/>
            <w:r w:rsidRPr="0039072D">
              <w:t>first</w:t>
            </w:r>
            <w:proofErr w:type="spellEnd"/>
            <w:r w:rsidRPr="0039072D">
              <w:t xml:space="preserve"> </w:t>
            </w:r>
            <w:proofErr w:type="spellStart"/>
            <w:r w:rsidRPr="0039072D">
              <w:t>transfer</w:t>
            </w:r>
            <w:proofErr w:type="spellEnd"/>
            <w:r w:rsidRPr="0039072D">
              <w:t xml:space="preserve"> </w:t>
            </w:r>
            <w:proofErr w:type="spellStart"/>
            <w:r w:rsidRPr="0039072D">
              <w:t>of</w:t>
            </w:r>
            <w:proofErr w:type="spellEnd"/>
            <w:r w:rsidRPr="0039072D">
              <w:t xml:space="preserve"> </w:t>
            </w:r>
            <w:proofErr w:type="spellStart"/>
            <w:r w:rsidRPr="0039072D">
              <w:t>Article</w:t>
            </w:r>
            <w:proofErr w:type="spellEnd"/>
            <w:r w:rsidRPr="0039072D">
              <w:t xml:space="preserve"> 6.2 </w:t>
            </w:r>
            <w:proofErr w:type="spellStart"/>
            <w:r w:rsidRPr="0039072D">
              <w:t>credits</w:t>
            </w:r>
            <w:proofErr w:type="spellEnd"/>
            <w:r w:rsidRPr="0039072D">
              <w:t xml:space="preserve"> </w:t>
            </w:r>
            <w:proofErr w:type="spellStart"/>
            <w:r w:rsidRPr="0039072D">
              <w:t>happened</w:t>
            </w:r>
            <w:proofErr w:type="spellEnd"/>
            <w:r w:rsidRPr="0039072D">
              <w:t xml:space="preserve"> </w:t>
            </w:r>
            <w:proofErr w:type="spellStart"/>
            <w:r w:rsidRPr="0039072D">
              <w:t>recently</w:t>
            </w:r>
            <w:proofErr w:type="spellEnd"/>
            <w:r w:rsidRPr="0039072D">
              <w:t xml:space="preserve"> </w:t>
            </w:r>
            <w:proofErr w:type="spellStart"/>
            <w:r w:rsidRPr="0039072D">
              <w:t>between</w:t>
            </w:r>
            <w:proofErr w:type="spellEnd"/>
            <w:r w:rsidRPr="0039072D">
              <w:t xml:space="preserve"> </w:t>
            </w:r>
            <w:proofErr w:type="spellStart"/>
            <w:r w:rsidRPr="0039072D">
              <w:t>Switzerland</w:t>
            </w:r>
            <w:proofErr w:type="spellEnd"/>
            <w:r w:rsidRPr="0039072D">
              <w:t xml:space="preserve"> and Thailand on </w:t>
            </w:r>
            <w:proofErr w:type="spellStart"/>
            <w:r w:rsidRPr="0039072D">
              <w:t>January</w:t>
            </w:r>
            <w:proofErr w:type="spellEnd"/>
            <w:r w:rsidRPr="0039072D">
              <w:t xml:space="preserve"> 8th, 2024. </w:t>
            </w:r>
            <w:r w:rsidRPr="0067661D">
              <w:rPr>
                <w:lang w:val="en-GB"/>
              </w:rPr>
              <w:t xml:space="preserve">The </w:t>
            </w:r>
            <w:proofErr w:type="spellStart"/>
            <w:r w:rsidRPr="0067661D">
              <w:rPr>
                <w:lang w:val="en-GB"/>
              </w:rPr>
              <w:t>Klik</w:t>
            </w:r>
            <w:proofErr w:type="spellEnd"/>
            <w:r w:rsidRPr="0067661D">
              <w:rPr>
                <w:lang w:val="en-GB"/>
              </w:rPr>
              <w:t xml:space="preserve"> Foundation, on behalf of the Swiss government, purchased 1,916 ITMOs from the Thai company Energy Absolute Public Co to fund the Bangkok E-bus programme. The financing provided by the </w:t>
            </w:r>
            <w:proofErr w:type="spellStart"/>
            <w:r w:rsidRPr="0067661D">
              <w:rPr>
                <w:lang w:val="en-GB"/>
              </w:rPr>
              <w:t>Klik</w:t>
            </w:r>
            <w:proofErr w:type="spellEnd"/>
            <w:r w:rsidRPr="0067661D">
              <w:rPr>
                <w:lang w:val="en-GB"/>
              </w:rPr>
              <w:t xml:space="preserve"> Foundation to purchase the ITMOs is used to fund the Bangkok E-bus programme, and in return, the Swiss government can </w:t>
            </w:r>
            <w:r w:rsidRPr="0067661D">
              <w:rPr>
                <w:lang w:val="en-GB"/>
              </w:rPr>
              <w:lastRenderedPageBreak/>
              <w:t>claim the emissions reductions that result from the E-bus program as their own. By applying a CA, Thailand gives up the rights to claim the emissions reductions against their own NDC.</w:t>
            </w:r>
            <w:r>
              <w:rPr>
                <w:lang w:val="en-GB"/>
              </w:rPr>
              <w:t>”</w:t>
            </w:r>
            <w:r>
              <w:rPr>
                <w:rStyle w:val="Funotenzeichen"/>
                <w:lang w:val="en-GB"/>
              </w:rPr>
              <w:footnoteReference w:id="215"/>
            </w:r>
            <w:r>
              <w:rPr>
                <w:lang w:val="en-GB"/>
              </w:rPr>
              <w:t xml:space="preserve"> </w:t>
            </w:r>
            <w:r w:rsidRPr="00CA7D77">
              <w:t>(CA – ‘</w:t>
            </w:r>
            <w:proofErr w:type="spellStart"/>
            <w:r w:rsidRPr="00CA7D77">
              <w:t>corresponding</w:t>
            </w:r>
            <w:proofErr w:type="spellEnd"/>
            <w:r w:rsidRPr="00CA7D77">
              <w:t xml:space="preserve"> </w:t>
            </w:r>
            <w:proofErr w:type="spellStart"/>
            <w:r w:rsidRPr="00CA7D77">
              <w:t>adjustment</w:t>
            </w:r>
            <w:proofErr w:type="spellEnd"/>
            <w:proofErr w:type="gramStart"/>
            <w:r w:rsidRPr="00CA7D77">
              <w:t xml:space="preserve">’) </w:t>
            </w:r>
            <w:r w:rsidR="00C130F0">
              <w:t xml:space="preserve"> </w:t>
            </w:r>
            <w:r w:rsidR="00B10684">
              <w:t>(</w:t>
            </w:r>
            <w:proofErr w:type="gramEnd"/>
            <w:r w:rsidR="00B10684">
              <w:t xml:space="preserve">die Schweiz hat ja immer noch keinen Plan, wie sie Emissionen reduzieren will, vielleicht will sie es ja schaffen, sich irgendwie anders </w:t>
            </w:r>
            <w:proofErr w:type="spellStart"/>
            <w:r w:rsidR="00B10684">
              <w:t>durchzuschummeln</w:t>
            </w:r>
            <w:proofErr w:type="spellEnd"/>
            <w:r w:rsidR="00B10684">
              <w:t xml:space="preserve"> und in der Schweiz will sie alles so lassen und die </w:t>
            </w:r>
            <w:proofErr w:type="spellStart"/>
            <w:r w:rsidR="00B10684">
              <w:t>Emmissionsreduktionen</w:t>
            </w:r>
            <w:proofErr w:type="spellEnd"/>
            <w:r w:rsidR="00B10684">
              <w:t xml:space="preserve"> weltweit mit ihrem Geld eben einkaufen. Dann kann man in 20 Jahren in die Schweiz in Urlaub fahren und sich dort ein Auto leihen und dort noch Verbrenner fahren und wie besessen durch die Berge heizen</w:t>
            </w:r>
            <w:r w:rsidR="00B10684">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sidR="00B10684">
              <w:t xml:space="preserve"> </w:t>
            </w:r>
          </w:p>
        </w:tc>
      </w:tr>
    </w:tbl>
    <w:p w14:paraId="52EB17AE" w14:textId="77777777" w:rsidR="00CA3799" w:rsidRDefault="00CA3799" w:rsidP="00CA3799"/>
    <w:p w14:paraId="1FF83F49" w14:textId="77777777" w:rsidR="00CA3799" w:rsidRDefault="00CA3799" w:rsidP="00CA3799">
      <w:r>
        <w:t>Art. 6.4 lautet wie folgt: „Hiermit wird ein Mechanismus zur Minderung der Emissionen von Treibhausgasen und zur Unterstützung der nachhaltigen Entwicklung unter der Weisungsbefugnis und Leitung der als Tagung der Vertragsparteien dieses Übereinkommens dienenden Konferenz der Vertragsparteien eingesetzt, der von den Vertragsparteien auf freiwilliger Grundlage genutzt werden kann. Er wird von einem Gremium beaufsichtigt, das von der als Tagung der Vertragsparteien dieses Übereinkommens dienenden Konferenz der Vertragsparteien bestimmt wird.“</w:t>
      </w:r>
      <w:r w:rsidRPr="00343624">
        <w:rPr>
          <w:rStyle w:val="Funotenzeichen"/>
        </w:rPr>
        <w:t xml:space="preserve"> </w:t>
      </w:r>
      <w:r>
        <w:rPr>
          <w:rStyle w:val="Funotenzeichen"/>
        </w:rPr>
        <w:footnoteReference w:id="216"/>
      </w:r>
      <w:r w:rsidRPr="00DF4684">
        <w:rPr>
          <w:rStyle w:val="Funotenzeichen"/>
        </w:rPr>
        <w:t xml:space="preserve"> </w:t>
      </w:r>
    </w:p>
    <w:p w14:paraId="11A09B87" w14:textId="77777777" w:rsidR="00CA3799" w:rsidRPr="00F93B1A" w:rsidRDefault="00CA3799" w:rsidP="00CA3799"/>
    <w:p w14:paraId="597B52DF" w14:textId="77777777" w:rsidR="00CA3799" w:rsidRPr="0067661D" w:rsidRDefault="00CA3799" w:rsidP="00CA3799">
      <w:r>
        <w:t xml:space="preserve">Basierend auf </w:t>
      </w:r>
      <w:r w:rsidRPr="0067661D">
        <w:t xml:space="preserve">Art. 6.4 </w:t>
      </w:r>
      <w:r>
        <w:t xml:space="preserve">wird nun </w:t>
      </w:r>
      <w:r w:rsidRPr="0067661D">
        <w:t>ein zentralisierte</w:t>
      </w:r>
      <w:r>
        <w:t>r</w:t>
      </w:r>
      <w:r w:rsidRPr="0067661D">
        <w:t xml:space="preserve"> M</w:t>
      </w:r>
      <w:r>
        <w:t xml:space="preserve">echanismus, genannt Paris Agreement </w:t>
      </w:r>
      <w:proofErr w:type="spellStart"/>
      <w:r>
        <w:t>Crediting</w:t>
      </w:r>
      <w:proofErr w:type="spellEnd"/>
      <w:r>
        <w:t xml:space="preserve"> </w:t>
      </w:r>
      <w:proofErr w:type="spellStart"/>
      <w:r>
        <w:t>Mechanism</w:t>
      </w:r>
      <w:proofErr w:type="spellEnd"/>
      <w:r>
        <w:t xml:space="preserve"> (PACM) etabliert, der von einer Aufsichtsbehörde (‚</w:t>
      </w:r>
      <w:proofErr w:type="spellStart"/>
      <w:r>
        <w:t>supervisory</w:t>
      </w:r>
      <w:proofErr w:type="spellEnd"/>
      <w:r>
        <w:t xml:space="preserve"> </w:t>
      </w:r>
      <w:proofErr w:type="spellStart"/>
      <w:r>
        <w:t>body</w:t>
      </w:r>
      <w:proofErr w:type="spellEnd"/>
      <w:r>
        <w:t>‘) verwaltet und überwacht wird, in dem Emissionsrechte unilateral, von einem Staat auf den Markt gebracht werden, ohne dass vorher klar ist, wer diesen ‚</w:t>
      </w:r>
      <w:proofErr w:type="spellStart"/>
      <w:r>
        <w:t>carbon</w:t>
      </w:r>
      <w:proofErr w:type="spellEnd"/>
      <w:r>
        <w:t xml:space="preserve"> </w:t>
      </w:r>
      <w:proofErr w:type="spellStart"/>
      <w:r>
        <w:t>credit</w:t>
      </w:r>
      <w:proofErr w:type="spellEnd"/>
      <w:r>
        <w:t>‘ oder wer diese ‚A6.4 ERs‘ kauft. Auch hier muss ein CA ‚</w:t>
      </w:r>
      <w:proofErr w:type="spellStart"/>
      <w:r>
        <w:t>corresponding</w:t>
      </w:r>
      <w:proofErr w:type="spellEnd"/>
      <w:r>
        <w:t xml:space="preserve"> </w:t>
      </w:r>
      <w:proofErr w:type="spellStart"/>
      <w:r>
        <w:t>adjustment</w:t>
      </w:r>
      <w:proofErr w:type="spellEnd"/>
      <w:r>
        <w:t>‘ erfolgen, bei dem nur ein Land, nämlich der Käufer, Verringerungen seines Treibhausgas-Ausstoßes eintragen darf, die Quelle darf dies bei sich im Land nicht eintragen.</w:t>
      </w:r>
      <w:r>
        <w:rPr>
          <w:rStyle w:val="Funotenzeichen"/>
          <w:lang w:val="en-GB"/>
        </w:rPr>
        <w:footnoteReference w:id="217"/>
      </w:r>
      <w:r w:rsidRPr="00343624">
        <w:t xml:space="preserve"> </w:t>
      </w:r>
      <w:r>
        <w:t xml:space="preserve">Bis Dezember 2025 müssen nun alle </w:t>
      </w:r>
      <w:proofErr w:type="gramStart"/>
      <w:r>
        <w:t>CDM Projekte</w:t>
      </w:r>
      <w:proofErr w:type="gramEnd"/>
      <w:r>
        <w:t xml:space="preserve"> zu Art. 6.4 umziehen und ihre Methoden an die neuen Kriterien</w:t>
      </w:r>
      <w:r>
        <w:rPr>
          <w:rStyle w:val="Funotenzeichen"/>
        </w:rPr>
        <w:footnoteReference w:id="218"/>
      </w:r>
      <w:r>
        <w:t xml:space="preserve"> anpassen. Sie werden dabei genau überprüft.</w:t>
      </w:r>
      <w:r>
        <w:rPr>
          <w:rStyle w:val="Funotenzeichen"/>
        </w:rPr>
        <w:footnoteReference w:id="219"/>
      </w:r>
      <w:r>
        <w:t xml:space="preserve"> Siehe auch hier.</w:t>
      </w:r>
      <w:r>
        <w:rPr>
          <w:rStyle w:val="Funotenzeichen"/>
        </w:rPr>
        <w:footnoteReference w:id="220"/>
      </w:r>
      <w:r>
        <w:t xml:space="preserve"> Auch ‚</w:t>
      </w:r>
      <w:proofErr w:type="spellStart"/>
      <w:r>
        <w:t>carbon</w:t>
      </w:r>
      <w:proofErr w:type="spellEnd"/>
      <w:r>
        <w:t xml:space="preserve"> </w:t>
      </w:r>
      <w:proofErr w:type="spellStart"/>
      <w:r>
        <w:t>removals</w:t>
      </w:r>
      <w:proofErr w:type="spellEnd"/>
      <w:r>
        <w:t>‘ dürfen gehandelt werden, also CO2-Entnahmen aus der Atmosphäre, also etwa Aufforstungsprojekte, befürchtet wird aber auch, dass als Geschäftsmodell Geoengineering Projekte entstehen könnten, die mit großen sozialen und ökologischen Risiken einher gehen, durchgeführt werden könnten.</w:t>
      </w:r>
      <w:r w:rsidRPr="00343624">
        <w:rPr>
          <w:rStyle w:val="Funotenzeichen"/>
        </w:rPr>
        <w:t xml:space="preserve"> </w:t>
      </w:r>
      <w:r>
        <w:rPr>
          <w:rStyle w:val="Funotenzeichen"/>
        </w:rPr>
        <w:footnoteReference w:id="221"/>
      </w:r>
    </w:p>
    <w:p w14:paraId="6B272421" w14:textId="77777777" w:rsidR="00CA3799" w:rsidRDefault="00CA3799" w:rsidP="00CA3799"/>
    <w:p w14:paraId="16C16808" w14:textId="32D64FDD" w:rsidR="00E74A33" w:rsidRDefault="00784049" w:rsidP="00E74A33">
      <w:r>
        <w:t xml:space="preserve">Ebenso gehören darunter offenbar die </w:t>
      </w:r>
      <w:proofErr w:type="gramStart"/>
      <w:r>
        <w:t>REDD Projekte</w:t>
      </w:r>
      <w:proofErr w:type="gramEnd"/>
      <w:r w:rsidR="00173F69">
        <w:t>, die es seit 2007 gibt, als Vorschlag ‚</w:t>
      </w:r>
      <w:proofErr w:type="spellStart"/>
      <w:r w:rsidR="00173F69">
        <w:t>Reducing</w:t>
      </w:r>
      <w:proofErr w:type="spellEnd"/>
      <w:r w:rsidR="00173F69">
        <w:t xml:space="preserve"> </w:t>
      </w:r>
      <w:proofErr w:type="spellStart"/>
      <w:r w:rsidR="00173F69">
        <w:t>Emissions</w:t>
      </w:r>
      <w:proofErr w:type="spellEnd"/>
      <w:r w:rsidR="00173F69">
        <w:t xml:space="preserve"> </w:t>
      </w:r>
      <w:proofErr w:type="spellStart"/>
      <w:r w:rsidR="00173F69">
        <w:t>from</w:t>
      </w:r>
      <w:proofErr w:type="spellEnd"/>
      <w:r w:rsidR="00173F69">
        <w:t xml:space="preserve"> </w:t>
      </w:r>
      <w:proofErr w:type="spellStart"/>
      <w:r w:rsidR="00173F69">
        <w:t>Deforestation</w:t>
      </w:r>
      <w:proofErr w:type="spellEnd"/>
      <w:r w:rsidR="00173F69">
        <w:t xml:space="preserve"> and Forest Degradation REDD bei der Klimakonferenz in Bali, dazu gab es</w:t>
      </w:r>
      <w:r w:rsidR="00E74A33">
        <w:t xml:space="preserve"> dann nachfolgend</w:t>
      </w:r>
      <w:r w:rsidR="00173F69">
        <w:t xml:space="preserve"> Pilotprojekte. Diese wurden z.B. in dieser Studie evaluiert</w:t>
      </w:r>
      <w:r w:rsidR="00E74A33">
        <w:t xml:space="preserve">, dabei gibt es immer wieder ähnliche Probleme, nämlich, dass die dort lebenden Einwohner nicht richtig einbezogen </w:t>
      </w:r>
      <w:r w:rsidR="00E74A33">
        <w:lastRenderedPageBreak/>
        <w:t>werden können und / oder dass die Entwaldung nicht gestoppt werden kann bzw. anderswo Wälder gerodet werden</w:t>
      </w:r>
      <w:r w:rsidR="00173F69">
        <w:t>.</w:t>
      </w:r>
      <w:r w:rsidR="00173F69">
        <w:rPr>
          <w:rStyle w:val="Funotenzeichen"/>
        </w:rPr>
        <w:footnoteReference w:id="222"/>
      </w:r>
      <w:r>
        <w:t xml:space="preserve"> Bei REDD+ werden lokale Gemeinschaften zum Waldschutz angehalten und die nicht gefällten Bäume können als Zertifikate gehandelt werden, es gibt sogar einen Puffer von Zertifikaten, die nicht gehandelt werden dürfen, als eine Versicherung für Unvorhersehbares, etwa einen Waldbrand.</w:t>
      </w:r>
      <w:r>
        <w:rPr>
          <w:rStyle w:val="Funotenzeichen"/>
        </w:rPr>
        <w:footnoteReference w:id="223"/>
      </w:r>
      <w:r>
        <w:t xml:space="preserve">  </w:t>
      </w:r>
      <w:r w:rsidR="00173F69">
        <w:t>Bei REDD+ Projekte wird aber teils auch mit dem Staat zusammengearbeitet</w:t>
      </w:r>
      <w:r w:rsidR="00BD6DC6">
        <w:t xml:space="preserve"> und diese Zusammenarbeit mit dem Staat oder staatlichen Verwaltungseinheiten nimmt immer weiter zu</w:t>
      </w:r>
      <w:r w:rsidR="00173F69">
        <w:t>, sodass diverse Probleme entstehen, etwas Pauschalzahlungen an den Staat, ohne direkte Leistung. Dennoch gibt es recht große Projekte, etwa in Kongo oder Brasilien. An diesen Zertifikaten hat offenbar vor allem die Luftfahrt ein Interesse im Rahmen von CORSIA</w:t>
      </w:r>
      <w:r w:rsidR="00BD6DC6">
        <w:t>, bisher aber nicht so sehr andere Akteure des privaten Sektors</w:t>
      </w:r>
      <w:r w:rsidR="00173F69">
        <w:t>.</w:t>
      </w:r>
      <w:r w:rsidR="00173F69">
        <w:rPr>
          <w:rStyle w:val="Funotenzeichen"/>
        </w:rPr>
        <w:footnoteReference w:id="224"/>
      </w:r>
      <w:r w:rsidR="00E74A33">
        <w:t xml:space="preserve"> </w:t>
      </w:r>
      <w:r w:rsidR="00BD6DC6">
        <w:t>Bei REDD ist eine große Bürokratie entstanden und seitenlange Handbücher zur Waldkohlenstoffbilanzierung</w:t>
      </w:r>
      <w:r w:rsidR="00420F6E">
        <w:t xml:space="preserve"> wurden verfasst</w:t>
      </w:r>
      <w:r w:rsidR="00BD6DC6">
        <w:t xml:space="preserve">. Zwei Ansätze lassen sich ausmachen: Regierung und </w:t>
      </w:r>
      <w:proofErr w:type="spellStart"/>
      <w:r w:rsidR="00BD6DC6">
        <w:t>Klimaverhandler</w:t>
      </w:r>
      <w:proofErr w:type="spellEnd"/>
      <w:r w:rsidR="00BD6DC6">
        <w:t xml:space="preserve"> haben in der Kohlenstoffbuchhaltung sich auf Landkreise und Verwaltungsbezirke </w:t>
      </w:r>
      <w:proofErr w:type="spellStart"/>
      <w:r w:rsidR="00BD6DC6">
        <w:t>focussiert</w:t>
      </w:r>
      <w:proofErr w:type="spellEnd"/>
      <w:r w:rsidR="00BD6DC6">
        <w:t xml:space="preserve">, </w:t>
      </w:r>
      <w:r w:rsidR="00420F6E">
        <w:t xml:space="preserve">hier wurden große Anstrengungen und REDD-Mittel darauf verwendet, Waldkohlenstoffbilanzen für viele Regionen anhand von Satellitenbildern und Hochrechnungen zu erstellen. Die </w:t>
      </w:r>
      <w:r w:rsidR="00BD6DC6">
        <w:t xml:space="preserve">NGOs </w:t>
      </w:r>
      <w:r w:rsidR="00420F6E">
        <w:t xml:space="preserve">setzen auf kleinere </w:t>
      </w:r>
      <w:r w:rsidR="00BD6DC6">
        <w:t>Projekte</w:t>
      </w:r>
      <w:r w:rsidR="00420F6E">
        <w:t xml:space="preserve">, auf Emissionsminderungen in einem definierten </w:t>
      </w:r>
      <w:proofErr w:type="spellStart"/>
      <w:r w:rsidR="00420F6E">
        <w:t>Projektegebeit</w:t>
      </w:r>
      <w:proofErr w:type="spellEnd"/>
      <w:r w:rsidR="00420F6E">
        <w:t>, hier hat der Privatsektor viele REDD-Gutschriften gekauft.</w:t>
      </w:r>
      <w:r w:rsidR="00BD6DC6">
        <w:t xml:space="preserve"> </w:t>
      </w:r>
      <w:r w:rsidR="00420F6E">
        <w:t xml:space="preserve">Beide Ansätze wurden zusammengeführt, damit eine Doppelzählung vermieden wird. </w:t>
      </w:r>
      <w:proofErr w:type="spellStart"/>
      <w:r w:rsidR="00420F6E">
        <w:t>Privatsektormodelle</w:t>
      </w:r>
      <w:proofErr w:type="spellEnd"/>
      <w:r w:rsidR="00420F6E">
        <w:t xml:space="preserve"> werden in die allgemeine Buchhaltung miteinbezogen. Beide Ansätze können Entwaldung nicht verhindern, bei staatlichen Projekten besteht das Problem</w:t>
      </w:r>
      <w:r w:rsidR="0021708E">
        <w:t>,</w:t>
      </w:r>
      <w:r w:rsidR="00420F6E">
        <w:t xml:space="preserve"> dass Kleinbauern benachteiligt werden können und bei den NGO Projekten besteht das Risiko, dass einfach irgendwo anders Bäume gefällt werden.</w:t>
      </w:r>
      <w:r w:rsidR="00420F6E">
        <w:rPr>
          <w:rStyle w:val="Funotenzeichen"/>
        </w:rPr>
        <w:footnoteReference w:id="225"/>
      </w:r>
      <w:r w:rsidR="00420F6E">
        <w:t xml:space="preserve"> </w:t>
      </w:r>
      <w:r w:rsidR="00E74A33">
        <w:t xml:space="preserve">Auch mit Programmen der Weltbank (Scaling Climate Action </w:t>
      </w:r>
      <w:proofErr w:type="spellStart"/>
      <w:r w:rsidR="00E74A33">
        <w:t>by</w:t>
      </w:r>
      <w:proofErr w:type="spellEnd"/>
      <w:r w:rsidR="00E74A33">
        <w:t xml:space="preserve"> </w:t>
      </w:r>
      <w:proofErr w:type="spellStart"/>
      <w:r w:rsidR="00E74A33">
        <w:t>Lowering</w:t>
      </w:r>
      <w:proofErr w:type="spellEnd"/>
      <w:r w:rsidR="00E74A33">
        <w:t xml:space="preserve"> </w:t>
      </w:r>
      <w:proofErr w:type="spellStart"/>
      <w:r w:rsidR="00E74A33">
        <w:t>Emissions</w:t>
      </w:r>
      <w:proofErr w:type="spellEnd"/>
      <w:r w:rsidR="00E74A33">
        <w:t>) sollen waldreiche Länder unterstützt werden und zur privaten Aufforstung gebracht werden.</w:t>
      </w:r>
      <w:r w:rsidR="00E74A33">
        <w:rPr>
          <w:rStyle w:val="Funotenzeichen"/>
        </w:rPr>
        <w:footnoteReference w:id="226"/>
      </w:r>
      <w:r w:rsidR="00E74A33">
        <w:t xml:space="preserve"> </w:t>
      </w:r>
    </w:p>
    <w:p w14:paraId="26D5EE1A" w14:textId="77777777" w:rsidR="00784049" w:rsidRPr="0067661D" w:rsidRDefault="00784049" w:rsidP="00CA3799"/>
    <w:p w14:paraId="57A1EE23" w14:textId="5632B146" w:rsidR="00CA3799" w:rsidRDefault="00CA3799" w:rsidP="00CA3799">
      <w:r>
        <w:t xml:space="preserve">Wichtig für einen internationalen Handel mit Emissionszertifikaten sind somit </w:t>
      </w:r>
      <w:r w:rsidR="00C43188">
        <w:t xml:space="preserve">auch </w:t>
      </w:r>
      <w:r>
        <w:t xml:space="preserve">diese drei Aspekte: Methodologische Guidelines wie man Emissionsverminderung berechnen, überwachen und verifizieren kann; ein Prozess der das sog. Double </w:t>
      </w:r>
      <w:proofErr w:type="spellStart"/>
      <w:r>
        <w:t>Counting</w:t>
      </w:r>
      <w:proofErr w:type="spellEnd"/>
      <w:r>
        <w:t xml:space="preserve"> verhindert, d.h. wenn man Emissionsrechte verkauft, dann muss man dies in seiner eigenen Treibhausgas-Aufstellung vermerken; denn wird eine internationale Registrierungsstelle für Emissionsrechte eingerichtet, mit der man die Einrichtung, die Übertragung und die Löschung der Emissionsrechte nachvollziehen kann. Dadurch können auch kleinere Länder besser daran teilnehmen.</w:t>
      </w:r>
      <w:r>
        <w:rPr>
          <w:rStyle w:val="Funotenzeichen"/>
        </w:rPr>
        <w:footnoteReference w:id="227"/>
      </w:r>
      <w:r>
        <w:t xml:space="preserve"> </w:t>
      </w:r>
    </w:p>
    <w:p w14:paraId="7A39A122" w14:textId="77777777" w:rsidR="00CA3799" w:rsidRDefault="00CA3799" w:rsidP="00CA3799"/>
    <w:p w14:paraId="0FE78F30" w14:textId="13C044D8" w:rsidR="00CA3799" w:rsidRDefault="00CA3799" w:rsidP="00CA3799">
      <w:r>
        <w:t>England hat bereits angekündigt, den Art. 6 Mechanismus nicht zu nutzen.</w:t>
      </w:r>
      <w:r w:rsidR="00C43188">
        <w:rPr>
          <w:rStyle w:val="Funotenzeichen"/>
        </w:rPr>
        <w:footnoteReference w:id="228"/>
      </w:r>
      <w:r>
        <w:t xml:space="preserve"> Deutschland hat offenbar vor 10 Jahren eine Art. 6 Nutzung ausgesetzt, aber im Koalitionsvertrag zwischen CDU und SPD vom April 2025 wird dies wieder ermöglicht, allerdings nur für maximal 3 Prozentpunkte des 2040 Zwischenziels.</w:t>
      </w:r>
      <w:bookmarkStart w:id="22" w:name="_Hlk195265153"/>
      <w:r>
        <w:rPr>
          <w:rStyle w:val="Funotenzeichen"/>
        </w:rPr>
        <w:footnoteReference w:id="229"/>
      </w:r>
      <w:bookmarkEnd w:id="22"/>
    </w:p>
    <w:p w14:paraId="416CE567" w14:textId="77777777" w:rsidR="00CA3799" w:rsidRDefault="00CA3799" w:rsidP="00CA3799"/>
    <w:tbl>
      <w:tblPr>
        <w:tblStyle w:val="Tabellenraster"/>
        <w:tblW w:w="0" w:type="auto"/>
        <w:tblLook w:val="04A0" w:firstRow="1" w:lastRow="0" w:firstColumn="1" w:lastColumn="0" w:noHBand="0" w:noVBand="1"/>
      </w:tblPr>
      <w:tblGrid>
        <w:gridCol w:w="9062"/>
      </w:tblGrid>
      <w:tr w:rsidR="00CA3799" w:rsidRPr="007C603D" w14:paraId="42CA49EB" w14:textId="77777777" w:rsidTr="00FB0DD1">
        <w:tc>
          <w:tcPr>
            <w:tcW w:w="9062" w:type="dxa"/>
          </w:tcPr>
          <w:p w14:paraId="09A96668" w14:textId="62C2989D" w:rsidR="00CA3799" w:rsidRPr="007C603D" w:rsidRDefault="00CA3799" w:rsidP="00FB0DD1">
            <w:r>
              <w:t>In Art. 6 wird auch erlaubt, dass die ‚</w:t>
            </w:r>
            <w:proofErr w:type="spellStart"/>
            <w:r>
              <w:t>carbon</w:t>
            </w:r>
            <w:proofErr w:type="spellEnd"/>
            <w:r>
              <w:t xml:space="preserve"> </w:t>
            </w:r>
            <w:proofErr w:type="spellStart"/>
            <w:r>
              <w:t>credits</w:t>
            </w:r>
            <w:proofErr w:type="spellEnd"/>
            <w:r>
              <w:t>‘ nicht nur Ländern zugutekommen, sondern auch für ‚</w:t>
            </w:r>
            <w:proofErr w:type="spellStart"/>
            <w:r>
              <w:t>other</w:t>
            </w:r>
            <w:proofErr w:type="spellEnd"/>
            <w:r>
              <w:t xml:space="preserve"> </w:t>
            </w:r>
            <w:proofErr w:type="spellStart"/>
            <w:r>
              <w:t>purposes</w:t>
            </w:r>
            <w:proofErr w:type="spellEnd"/>
            <w:r>
              <w:t>, dies ermöglicht ‚</w:t>
            </w:r>
            <w:proofErr w:type="spellStart"/>
            <w:r>
              <w:t>carbon</w:t>
            </w:r>
            <w:proofErr w:type="spellEnd"/>
            <w:r>
              <w:t xml:space="preserve"> </w:t>
            </w:r>
            <w:proofErr w:type="spellStart"/>
            <w:r>
              <w:t>credits</w:t>
            </w:r>
            <w:proofErr w:type="spellEnd"/>
            <w:r>
              <w:t>‘ für CORSIA, ein Reduktions</w:t>
            </w:r>
            <w:proofErr w:type="gramStart"/>
            <w:r>
              <w:t>-‚</w:t>
            </w:r>
            <w:proofErr w:type="gramEnd"/>
            <w:r>
              <w:t xml:space="preserve">Konto‘ der weltweiten Luftfahrtindustrie. </w:t>
            </w:r>
            <w:r w:rsidRPr="008D6898">
              <w:rPr>
                <w:lang w:val="en-GB"/>
              </w:rPr>
              <w:t>The International Civil Aviation Organisation’s (ICAO) Carbon Offsetting and Reduction Scheme for International Aviation (CORSIA</w:t>
            </w:r>
            <w:r>
              <w:rPr>
                <w:rStyle w:val="Funotenzeichen"/>
              </w:rPr>
              <w:footnoteReference w:id="230"/>
            </w:r>
            <w:r w:rsidRPr="008D6898">
              <w:rPr>
                <w:lang w:val="en-GB"/>
              </w:rPr>
              <w:t>).</w:t>
            </w:r>
            <w:r>
              <w:rPr>
                <w:rStyle w:val="Funotenzeichen"/>
                <w:lang w:val="en-GB"/>
              </w:rPr>
              <w:footnoteReference w:id="231"/>
            </w:r>
            <w:r>
              <w:rPr>
                <w:lang w:val="en-GB"/>
              </w:rPr>
              <w:t xml:space="preserve"> </w:t>
            </w:r>
            <w:r w:rsidRPr="007C603D">
              <w:t>In Phase 1</w:t>
            </w:r>
            <w:r>
              <w:t>,</w:t>
            </w:r>
            <w:r w:rsidRPr="007C603D">
              <w:t xml:space="preserve"> die im Januar 2024 beginnt, sollen die </w:t>
            </w:r>
            <w:r>
              <w:t>Emissionen auf 85 % vom Niveau von 2019 stabilisiert werden, ab 2027 sollen mehr Länder einbezogen werden, dadurch wird der Bedarf steigen, s</w:t>
            </w:r>
            <w:r w:rsidRPr="007C603D">
              <w:t>iehe hier.</w:t>
            </w:r>
            <w:r>
              <w:rPr>
                <w:rStyle w:val="Funotenzeichen"/>
                <w:lang w:val="en-GB"/>
              </w:rPr>
              <w:footnoteReference w:id="232"/>
            </w:r>
            <w:r>
              <w:t xml:space="preserve"> Hier wird berichtet, dass die ICAO eigenständig bestimmte Standards anerkannt hat: Verra</w:t>
            </w:r>
            <w:r>
              <w:rPr>
                <w:rStyle w:val="Funotenzeichen"/>
              </w:rPr>
              <w:footnoteReference w:id="233"/>
            </w:r>
            <w:r>
              <w:t>, Gold Standard</w:t>
            </w:r>
            <w:r>
              <w:rPr>
                <w:rStyle w:val="Funotenzeichen"/>
              </w:rPr>
              <w:footnoteReference w:id="234"/>
            </w:r>
            <w:r>
              <w:t xml:space="preserve"> und Climate Action Reserve (CAR)</w:t>
            </w:r>
            <w:r>
              <w:rPr>
                <w:rStyle w:val="Funotenzeichen"/>
              </w:rPr>
              <w:footnoteReference w:id="235"/>
            </w:r>
            <w:r>
              <w:t>. Der Luftverkehr emittiert immerhin 530 Mill. Tonnen CO2 2023, das ist fast genauso viel wie Deutschland (Daten von CORSIA).</w:t>
            </w:r>
            <w:r>
              <w:rPr>
                <w:rStyle w:val="Funotenzeichen"/>
              </w:rPr>
              <w:footnoteReference w:id="236"/>
            </w:r>
          </w:p>
        </w:tc>
      </w:tr>
    </w:tbl>
    <w:p w14:paraId="6582A7AB" w14:textId="77777777" w:rsidR="00CA3799" w:rsidRPr="007C603D" w:rsidRDefault="00CA3799" w:rsidP="00CA3799"/>
    <w:p w14:paraId="60672928" w14:textId="77777777" w:rsidR="00CA3799" w:rsidRDefault="00CA3799" w:rsidP="00CA3799">
      <w:r>
        <w:t>Es gibt schon eine Reihe von IMTO-Projekten und viele Staaten entwickeln weltweit dazu Regeln, die Entwicklung vollzieht sich aber langsam, siehe die Übersicht in Hoch et al. (2023).</w:t>
      </w:r>
      <w:r>
        <w:rPr>
          <w:rStyle w:val="Funotenzeichen"/>
        </w:rPr>
        <w:footnoteReference w:id="237"/>
      </w:r>
      <w:r>
        <w:t xml:space="preserve"> Hier einige Beispiele für offenkundig sinnvolle Projekte aus Hoch et al. (2023), die als bilaterale Kooperation zweier Staaten durchgeführt werden: Australien hat etwa ein Programm für bilaterale Zusammenarbeit mit Pazifikländer begonnen. Kanadas Methanverminderungsprogramm im Müllbereich mit Chile ist auf 12 andere lateinamerikanische Länder ausgeweitet worden. Japan meldet 81 Aktivitäten. Südkorea kooperiert mit </w:t>
      </w:r>
      <w:proofErr w:type="spellStart"/>
      <w:r>
        <w:t>Ecoeye</w:t>
      </w:r>
      <w:proofErr w:type="spellEnd"/>
      <w:r>
        <w:t xml:space="preserve"> im Müllbereich. Die schwedische Energieagentur SEA hat Kooperationsabkommen unter Art. 6.2 mit Ghana, Nepal und der Dominikanischen Republik abgeschlossen. Die Vereinigten Arabischen Emirate haben mit Laos, Tansania, Sambia und Simbabwe Art. 6 Kooperationen vereinbart. Dass es hier letztlich um die Anrechnung von Emissionsverminderungen geht, wird deutlich am Beispiel der </w:t>
      </w:r>
      <w:proofErr w:type="spellStart"/>
      <w:r>
        <w:t>Klik</w:t>
      </w:r>
      <w:proofErr w:type="spellEnd"/>
      <w:r>
        <w:t xml:space="preserve"> </w:t>
      </w:r>
      <w:proofErr w:type="spellStart"/>
      <w:r>
        <w:t>Foundation</w:t>
      </w:r>
      <w:proofErr w:type="spellEnd"/>
      <w:r>
        <w:rPr>
          <w:rStyle w:val="Funotenzeichen"/>
        </w:rPr>
        <w:footnoteReference w:id="238"/>
      </w:r>
      <w:r>
        <w:t xml:space="preserve">, diese ist in der Schweiz per Gesetz verpflichtet, einen Teil ihrer Benzinverkäufe der Swiss Petroleum </w:t>
      </w:r>
      <w:proofErr w:type="spellStart"/>
      <w:r>
        <w:t>Association</w:t>
      </w:r>
      <w:proofErr w:type="spellEnd"/>
      <w:r>
        <w:t xml:space="preserve"> durch Emissionsverminderung anderswo auszugleichen, dies passiert derzeit in 18 Aktivitäten in 9 Ländern.</w:t>
      </w:r>
      <w:r>
        <w:rPr>
          <w:rStyle w:val="Funotenzeichen"/>
        </w:rPr>
        <w:footnoteReference w:id="239"/>
      </w:r>
      <w:r>
        <w:t xml:space="preserve"> </w:t>
      </w:r>
    </w:p>
    <w:p w14:paraId="4F44F16C" w14:textId="77777777" w:rsidR="00C973C6" w:rsidRDefault="00C973C6" w:rsidP="00C973C6"/>
    <w:tbl>
      <w:tblPr>
        <w:tblStyle w:val="Tabellenraster"/>
        <w:tblW w:w="0" w:type="auto"/>
        <w:tblLook w:val="04A0" w:firstRow="1" w:lastRow="0" w:firstColumn="1" w:lastColumn="0" w:noHBand="0" w:noVBand="1"/>
      </w:tblPr>
      <w:tblGrid>
        <w:gridCol w:w="9062"/>
      </w:tblGrid>
      <w:tr w:rsidR="00C973C6" w14:paraId="19F54AEF" w14:textId="77777777" w:rsidTr="00C6023A">
        <w:tc>
          <w:tcPr>
            <w:tcW w:w="9062" w:type="dxa"/>
          </w:tcPr>
          <w:p w14:paraId="42B0F6B5" w14:textId="790916A0" w:rsidR="00C973C6" w:rsidRDefault="00C973C6" w:rsidP="00C6023A">
            <w:r>
              <w:t>… es gibt aber Akteure, die sich darauf vorbereiten Emissionsrechte massenhaft auf den Markt zu bringen, es ist allerdings unklar, ob die</w:t>
            </w:r>
            <w:r w:rsidR="003110E9">
              <w:t>se als</w:t>
            </w:r>
            <w:r>
              <w:t xml:space="preserve"> </w:t>
            </w:r>
            <w:proofErr w:type="gramStart"/>
            <w:r w:rsidR="003110E9">
              <w:t xml:space="preserve">ITMO </w:t>
            </w:r>
            <w:r>
              <w:t>Emissionsverminderungen</w:t>
            </w:r>
            <w:proofErr w:type="gramEnd"/>
            <w:r w:rsidR="003110E9">
              <w:t xml:space="preserve"> anerkannt werden und dann</w:t>
            </w:r>
            <w:r>
              <w:t xml:space="preserve"> über Art. 6 von Ländern gekauft werden, etwa von der Schweiz?</w:t>
            </w:r>
            <w:r w:rsidR="003110E9">
              <w:t xml:space="preserve"> </w:t>
            </w:r>
            <w:r w:rsidR="003110E9">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sidR="003110E9">
              <w:t xml:space="preserve">  Oder ob diese dann nur über die freiwilligen Carbon Märkte gehandelt werden, siehe gleich anschließend.</w:t>
            </w:r>
            <w:r>
              <w:t xml:space="preserve"> So will die Firma CO280</w:t>
            </w:r>
            <w:r>
              <w:rPr>
                <w:rStyle w:val="Funotenzeichen"/>
              </w:rPr>
              <w:footnoteReference w:id="240"/>
            </w:r>
            <w:r>
              <w:t xml:space="preserve"> CO2 in der Zellstoffindustrie auffangen und es dann per CCS verpressen. Microsoft will über 12 Jahre 3,7 Mill. ‚</w:t>
            </w:r>
            <w:proofErr w:type="spellStart"/>
            <w:r>
              <w:t>carbon</w:t>
            </w:r>
            <w:proofErr w:type="spellEnd"/>
            <w:r>
              <w:t xml:space="preserve"> </w:t>
            </w:r>
            <w:proofErr w:type="spellStart"/>
            <w:r>
              <w:t>dioxid</w:t>
            </w:r>
            <w:proofErr w:type="spellEnd"/>
            <w:r>
              <w:t xml:space="preserve"> </w:t>
            </w:r>
            <w:proofErr w:type="spellStart"/>
            <w:r>
              <w:t>removal</w:t>
            </w:r>
            <w:proofErr w:type="spellEnd"/>
            <w:r>
              <w:t xml:space="preserve"> </w:t>
            </w:r>
            <w:proofErr w:type="spellStart"/>
            <w:r>
              <w:t>credits</w:t>
            </w:r>
            <w:proofErr w:type="spellEnd"/>
            <w:r>
              <w:t>‘ für sich selbst kaufen.</w:t>
            </w:r>
            <w:r>
              <w:rPr>
                <w:rStyle w:val="Funotenzeichen"/>
              </w:rPr>
              <w:footnoteReference w:id="241"/>
            </w:r>
            <w:r>
              <w:t xml:space="preserve"> Auch die Firma Frontier arbeitet daran.</w:t>
            </w:r>
            <w:r>
              <w:rPr>
                <w:rStyle w:val="Funotenzeichen"/>
              </w:rPr>
              <w:footnoteReference w:id="242"/>
            </w:r>
            <w:r>
              <w:t xml:space="preserve"> … wenn in den USA aber billiges CCS als Geschäftsmodell benutzt wird, mit geringer Qualitätskontrolle, könnte man für tausende Tonnen CO2 Zertifikate verkaufen und </w:t>
            </w:r>
            <w:r>
              <w:lastRenderedPageBreak/>
              <w:t xml:space="preserve">später entweicht das CO2 dann doch … aus meiner Sicht ist Art. 6 problematisch, weil es Länder und Firmen ermöglich die Umsetzung von technologischen Veränderungen aufschieben zu können – problematisch ist, dass Art. 6 zu neuen Milliardenschweren Geschäftsmodellen führen kann – und, die wurde bereits oben formuliert – es könnte ‚schwache‘ Länder sich dazu entschließen Geoengineering durchzuführen, etwa Kalk ins Meer kippen und damit Geld verdienen … und dies führt zu erheblichen Umweltschäden … mit ein bisschen Phantasie führt Art. 6 zu Korruption, Chaos, riesigen Gewinnen von Geschäftsleuten aus der USA und überall CCS Projekten in der USA die dann doch CO2 emittieren und Julia Roberts muss wie im Film Erin Brockovich (2000) wieder aufräumen … und dazu, dass die Schweiz alle ihre Emissionsminderungen einfach an der Singapurer Climate Impact X Börse einkauft. </w:t>
            </w:r>
            <w:r w:rsidRPr="002D2774">
              <w:rPr>
                <w:u w:val="single"/>
              </w:rPr>
              <w:t>Die Schweiz wird so bleiben wie sie ist.</w:t>
            </w:r>
          </w:p>
        </w:tc>
      </w:tr>
    </w:tbl>
    <w:p w14:paraId="70A2BBCB" w14:textId="77777777" w:rsidR="00CA3799" w:rsidRDefault="00CA3799" w:rsidP="00CA3799"/>
    <w:p w14:paraId="1D9194E6" w14:textId="3C6E07FF" w:rsidR="00F332A1" w:rsidRDefault="00D870C5" w:rsidP="00CA3799">
      <w:r>
        <w:rPr>
          <w:u w:val="single"/>
        </w:rPr>
        <w:t xml:space="preserve">Nun kommen noch die </w:t>
      </w:r>
      <w:r w:rsidR="000940F3" w:rsidRPr="00C973C6">
        <w:rPr>
          <w:u w:val="single"/>
        </w:rPr>
        <w:t>freiwilligen Carbon Märkte</w:t>
      </w:r>
      <w:r w:rsidR="003110E9">
        <w:rPr>
          <w:u w:val="single"/>
        </w:rPr>
        <w:t xml:space="preserve"> bzw. die freiwillige CO2-Kompensation</w:t>
      </w:r>
      <w:r>
        <w:rPr>
          <w:u w:val="single"/>
        </w:rPr>
        <w:t xml:space="preserve"> hinzu</w:t>
      </w:r>
      <w:r w:rsidR="000940F3">
        <w:t>, hier</w:t>
      </w:r>
      <w:r>
        <w:t xml:space="preserve"> spielen </w:t>
      </w:r>
      <w:r w:rsidR="002B2CE8">
        <w:t xml:space="preserve">(eigentlich) </w:t>
      </w:r>
      <w:r>
        <w:t>die Staaten keine Rolle, hier</w:t>
      </w:r>
      <w:r w:rsidR="000940F3">
        <w:t xml:space="preserve"> kaufen Firmen von anderen Firmen CO2 Verminderungen, um dies ihren Konsumenten anbieten zu könnten, um einen CO2-freien Flug, oder eine CO2-frei Produktion eines Gutes </w:t>
      </w:r>
      <w:r w:rsidR="00C973C6">
        <w:t xml:space="preserve">behaupten zu können. </w:t>
      </w:r>
      <w:r w:rsidR="009E2CA3">
        <w:t xml:space="preserve">Diese Verminderungen werden in der EU nicht </w:t>
      </w:r>
      <w:r w:rsidR="00C973C6">
        <w:t>vom europäischen Emissionshandelssystem anerkannt</w:t>
      </w:r>
      <w:r w:rsidR="003110E9">
        <w:t xml:space="preserve">. </w:t>
      </w:r>
      <w:r w:rsidR="00C973C6">
        <w:t xml:space="preserve">Es geht </w:t>
      </w:r>
      <w:r>
        <w:t>erst einmal</w:t>
      </w:r>
      <w:r w:rsidR="00C973C6">
        <w:t xml:space="preserve"> nur darum, dass man als Konsument ein solcher</w:t>
      </w:r>
      <w:r>
        <w:t xml:space="preserve"> CO2-freies</w:t>
      </w:r>
      <w:r w:rsidR="00C973C6">
        <w:t xml:space="preserve"> Produkt kaufen will und der Versicherung des Unternehmens vertraut.</w:t>
      </w:r>
      <w:r w:rsidR="000940F3">
        <w:t xml:space="preserve"> </w:t>
      </w:r>
    </w:p>
    <w:p w14:paraId="19A828FB" w14:textId="77777777" w:rsidR="009E2CA3" w:rsidRDefault="009E2CA3" w:rsidP="00CA3799"/>
    <w:p w14:paraId="4BDFA64F" w14:textId="5945CC6C" w:rsidR="006E3C2D" w:rsidRDefault="009E2CA3" w:rsidP="00CA3799">
      <w:r>
        <w:t>Die</w:t>
      </w:r>
      <w:r w:rsidR="006E3C2D">
        <w:t xml:space="preserve"> wird auch als</w:t>
      </w:r>
      <w:r w:rsidR="002B2CE8">
        <w:t xml:space="preserve"> Konzept der</w:t>
      </w:r>
      <w:r w:rsidR="006E3C2D">
        <w:t xml:space="preserve"> </w:t>
      </w:r>
      <w:proofErr w:type="spellStart"/>
      <w:r>
        <w:t>Contribution</w:t>
      </w:r>
      <w:proofErr w:type="spellEnd"/>
      <w:r>
        <w:t xml:space="preserve"> Claim</w:t>
      </w:r>
      <w:r w:rsidR="002B2CE8">
        <w:t>s</w:t>
      </w:r>
      <w:r>
        <w:t xml:space="preserve"> </w:t>
      </w:r>
      <w:r w:rsidR="006E3C2D">
        <w:t>bezeichnet</w:t>
      </w:r>
      <w:r w:rsidR="002B2CE8">
        <w:t>, die Firma</w:t>
      </w:r>
      <w:r>
        <w:t xml:space="preserve"> zeigt damit, dass </w:t>
      </w:r>
      <w:r w:rsidR="002B2CE8">
        <w:t xml:space="preserve">sie einen Beitrag zum </w:t>
      </w:r>
      <w:r>
        <w:t xml:space="preserve">Klimaschutz </w:t>
      </w:r>
      <w:r w:rsidR="002B2CE8">
        <w:t>leistet</w:t>
      </w:r>
      <w:r>
        <w:t xml:space="preserve"> und wirbt damit für ihre Produkte</w:t>
      </w:r>
      <w:r w:rsidR="002B2CE8">
        <w:t>, in</w:t>
      </w:r>
      <w:r>
        <w:t xml:space="preserve"> den USA werden </w:t>
      </w:r>
      <w:r w:rsidR="006E3C2D">
        <w:t>die</w:t>
      </w:r>
      <w:r w:rsidR="002B2CE8">
        <w:t>se</w:t>
      </w:r>
      <w:r w:rsidR="006E3C2D">
        <w:t xml:space="preserve"> freiwilligen CO2-Kompensationen</w:t>
      </w:r>
      <w:r>
        <w:t xml:space="preserve"> </w:t>
      </w:r>
      <w:r w:rsidR="006E3C2D">
        <w:t xml:space="preserve">aber </w:t>
      </w:r>
      <w:r w:rsidR="002B2CE8">
        <w:t xml:space="preserve">offenbar </w:t>
      </w:r>
      <w:r w:rsidR="006E3C2D">
        <w:t xml:space="preserve">doch </w:t>
      </w:r>
      <w:r>
        <w:t>direkt als Zertifikat in einem (bundesstaatlichen) Emissionshandelssystem anerkannt.</w:t>
      </w:r>
      <w:r>
        <w:rPr>
          <w:rStyle w:val="Funotenzeichen"/>
        </w:rPr>
        <w:footnoteReference w:id="243"/>
      </w:r>
      <w:r>
        <w:t xml:space="preserve"> </w:t>
      </w:r>
    </w:p>
    <w:p w14:paraId="2591FAA1" w14:textId="77777777" w:rsidR="006E3C2D" w:rsidRDefault="006E3C2D" w:rsidP="00CA3799"/>
    <w:p w14:paraId="2D164ECA" w14:textId="7FF35E00" w:rsidR="009E2CA3" w:rsidRDefault="009E2CA3" w:rsidP="00CA3799">
      <w:r>
        <w:t>Bei eine</w:t>
      </w:r>
      <w:r w:rsidR="006E3C2D">
        <w:t>r freiwilligen CO2-Kompensation</w:t>
      </w:r>
      <w:r w:rsidR="002B2CE8">
        <w:t xml:space="preserve"> </w:t>
      </w:r>
      <w:r>
        <w:t>wäre es</w:t>
      </w:r>
      <w:r w:rsidR="006E3C2D">
        <w:t>, soweit ich dies verstehe,</w:t>
      </w:r>
      <w:r>
        <w:t xml:space="preserve"> </w:t>
      </w:r>
      <w:r w:rsidR="006E3C2D">
        <w:t>jedenfalls</w:t>
      </w:r>
      <w:r w:rsidR="002B2CE8">
        <w:t xml:space="preserve"> für eine Firma, die dies in der EU nutzt, </w:t>
      </w:r>
      <w:r>
        <w:t xml:space="preserve">nicht problematisch, wenn sich </w:t>
      </w:r>
      <w:r w:rsidR="006E3C2D">
        <w:t>dies der Staat, in dem dieses Projekt stattfindet</w:t>
      </w:r>
      <w:r>
        <w:t>, etwas Madagaskar, sich diese CO2-Verminderun</w:t>
      </w:r>
      <w:r w:rsidR="006E3C2D">
        <w:t>g auf sein</w:t>
      </w:r>
      <w:r>
        <w:t xml:space="preserve"> NDC-Konto anrechnet</w:t>
      </w:r>
      <w:r w:rsidR="002B2CE8">
        <w:t xml:space="preserve">. </w:t>
      </w:r>
      <w:r>
        <w:t xml:space="preserve">Wenn man </w:t>
      </w:r>
      <w:r w:rsidR="002B2CE8">
        <w:t>die</w:t>
      </w:r>
      <w:r w:rsidR="00784049">
        <w:t>se</w:t>
      </w:r>
      <w:r w:rsidR="002B2CE8">
        <w:t xml:space="preserve"> freiwilligen CO2-Kompensationen</w:t>
      </w:r>
      <w:r w:rsidR="00784049">
        <w:t xml:space="preserve"> aus einem anderen Land</w:t>
      </w:r>
      <w:r w:rsidR="002B2CE8">
        <w:t xml:space="preserve"> dagegen in de</w:t>
      </w:r>
      <w:r w:rsidR="0021708E">
        <w:t>n</w:t>
      </w:r>
      <w:r>
        <w:t xml:space="preserve"> USA im nationalen Emissionshandelssystem anerkennt, dann müssen sie </w:t>
      </w:r>
      <w:r w:rsidR="00784049">
        <w:t xml:space="preserve">in dem </w:t>
      </w:r>
      <w:r>
        <w:t>anderen Staat</w:t>
      </w:r>
      <w:r w:rsidR="00784049">
        <w:t>, aus dem sie stammen,</w:t>
      </w:r>
      <w:r>
        <w:t xml:space="preserve"> gelöscht werden, sog. </w:t>
      </w:r>
      <w:proofErr w:type="spellStart"/>
      <w:r>
        <w:t>corresponding</w:t>
      </w:r>
      <w:proofErr w:type="spellEnd"/>
      <w:r>
        <w:t xml:space="preserve"> </w:t>
      </w:r>
      <w:proofErr w:type="spellStart"/>
      <w:r>
        <w:t>adjustment</w:t>
      </w:r>
      <w:proofErr w:type="spellEnd"/>
      <w:r>
        <w:t xml:space="preserve">‘. </w:t>
      </w:r>
      <w:r w:rsidR="002B2CE8">
        <w:t xml:space="preserve">In diesem Fall hätte der </w:t>
      </w:r>
      <w:r w:rsidRPr="00BC6100">
        <w:rPr>
          <w:u w:val="single"/>
        </w:rPr>
        <w:t>freiwillige CO2-Kompensationsmarkt dann doch eine Verbindung zu</w:t>
      </w:r>
      <w:r w:rsidR="00085084" w:rsidRPr="00BC6100">
        <w:rPr>
          <w:u w:val="single"/>
        </w:rPr>
        <w:t xml:space="preserve"> einer internationalen Registrierungsstelle für Emissionsrechte, die derzeit eingerichtet wird, die dann auch diese ‚kleinen Projekte‘ sorgfältig eintragen m</w:t>
      </w:r>
      <w:r w:rsidR="00BC6100">
        <w:rPr>
          <w:u w:val="single"/>
        </w:rPr>
        <w:t>üsste</w:t>
      </w:r>
      <w:r w:rsidR="00085084">
        <w:t xml:space="preserve">. </w:t>
      </w:r>
    </w:p>
    <w:p w14:paraId="1A6EAA09" w14:textId="77777777" w:rsidR="00C973C6" w:rsidRDefault="00C973C6" w:rsidP="00C973C6"/>
    <w:p w14:paraId="764B524F" w14:textId="62C5EB5D" w:rsidR="0039004D" w:rsidRDefault="0039004D" w:rsidP="00C973C6">
      <w:r>
        <w:t xml:space="preserve">Auch die Emissionsreduzierungen im Zusammenhang mit den </w:t>
      </w:r>
      <w:proofErr w:type="gramStart"/>
      <w:r>
        <w:t>REDD Projekten</w:t>
      </w:r>
      <w:proofErr w:type="gramEnd"/>
      <w:r>
        <w:t xml:space="preserve"> werden offenbar gehandelt, u.a. auch in den USA, wo sie auch als Zertifikate im Emissionshandelssystem anerkannt werden und sie stellen eine wichtige Quelle für die Finanzierung von </w:t>
      </w:r>
      <w:proofErr w:type="gramStart"/>
      <w:r>
        <w:t>REDD Projekten</w:t>
      </w:r>
      <w:proofErr w:type="gramEnd"/>
      <w:r>
        <w:t xml:space="preserve"> dar.</w:t>
      </w:r>
      <w:r w:rsidRPr="0039004D">
        <w:rPr>
          <w:rStyle w:val="Funotenzeichen"/>
        </w:rPr>
        <w:t xml:space="preserve"> </w:t>
      </w:r>
      <w:r>
        <w:rPr>
          <w:rStyle w:val="Funotenzeichen"/>
        </w:rPr>
        <w:footnoteReference w:id="244"/>
      </w:r>
    </w:p>
    <w:p w14:paraId="4EE5A162" w14:textId="77777777" w:rsidR="0039004D" w:rsidRDefault="0039004D" w:rsidP="00C973C6"/>
    <w:tbl>
      <w:tblPr>
        <w:tblStyle w:val="Tabellenraster"/>
        <w:tblW w:w="0" w:type="auto"/>
        <w:tblLook w:val="04A0" w:firstRow="1" w:lastRow="0" w:firstColumn="1" w:lastColumn="0" w:noHBand="0" w:noVBand="1"/>
      </w:tblPr>
      <w:tblGrid>
        <w:gridCol w:w="9062"/>
      </w:tblGrid>
      <w:tr w:rsidR="00C973C6" w14:paraId="5045FD7D" w14:textId="77777777" w:rsidTr="00C6023A">
        <w:tc>
          <w:tcPr>
            <w:tcW w:w="9062" w:type="dxa"/>
          </w:tcPr>
          <w:p w14:paraId="227DD44B" w14:textId="51C5FEF2" w:rsidR="00C973C6" w:rsidRDefault="003110E9" w:rsidP="00C6023A">
            <w:r>
              <w:t xml:space="preserve">Beispiel für freiwillige Carbon Märkte bzw. freiwillige CO2-Kompensation: </w:t>
            </w:r>
            <w:r w:rsidR="00C973C6">
              <w:t xml:space="preserve">Lufthansa bietet klimaneutrale Flüge an. Lufthansa bietet es an, dass der CO2-Ausstoss seiner Flüge kompensiert werden können. Manager Lars Kroepelin beklagt, dass es schwer ist, Projekte zu finden, die den Qualitätsstandards entsprechen. Derzeit wird ein Projekt in Madagaskar anvisiert, das energiesparende Kocher fördert. Auch CSS-Projekte, die Kohlendioxid aus der Atmosphäre entnehmen und dauerhaft speichern, sollen für Lufthansa im nächsten Jahr die Basis dafür sein, </w:t>
            </w:r>
            <w:r w:rsidR="00C973C6">
              <w:lastRenderedPageBreak/>
              <w:t>dass man grüne, klimaneutrale Tickets anbieten kann.</w:t>
            </w:r>
            <w:r w:rsidR="00C973C6">
              <w:rPr>
                <w:rStyle w:val="Funotenzeichen"/>
              </w:rPr>
              <w:footnoteReference w:id="245"/>
            </w:r>
            <w:r w:rsidR="00C973C6">
              <w:t xml:space="preserve"> Hier kann nicht geklärt werden, welche Zertifikate die Lufthansa hält, von welchen Standard-Agenturen diese verifiziert wurden etc. </w:t>
            </w:r>
          </w:p>
        </w:tc>
      </w:tr>
    </w:tbl>
    <w:p w14:paraId="21C68958" w14:textId="77777777" w:rsidR="00C973C6" w:rsidRDefault="00C973C6" w:rsidP="00CA3799"/>
    <w:p w14:paraId="677866B2" w14:textId="77777777" w:rsidR="00F74622" w:rsidRDefault="00F74622" w:rsidP="00F74622">
      <w:r>
        <w:t>Singapur hat eine Handelsplattform für freiwillige Verminderungsprojekte (‚</w:t>
      </w:r>
      <w:proofErr w:type="spellStart"/>
      <w:r>
        <w:t>voluntary</w:t>
      </w:r>
      <w:proofErr w:type="spellEnd"/>
      <w:r>
        <w:t xml:space="preserve"> </w:t>
      </w:r>
      <w:proofErr w:type="spellStart"/>
      <w:r>
        <w:t>carbon</w:t>
      </w:r>
      <w:proofErr w:type="spellEnd"/>
      <w:r>
        <w:t xml:space="preserve"> </w:t>
      </w:r>
      <w:proofErr w:type="spellStart"/>
      <w:r>
        <w:t>market</w:t>
      </w:r>
      <w:proofErr w:type="spellEnd"/>
      <w:r>
        <w:t>‘, VCM) eröffnet: Climate Impact X.</w:t>
      </w:r>
      <w:r w:rsidRPr="00CE6E97">
        <w:rPr>
          <w:rStyle w:val="Funotenzeichen"/>
        </w:rPr>
        <w:t xml:space="preserve"> </w:t>
      </w:r>
      <w:r>
        <w:rPr>
          <w:rStyle w:val="Funotenzeichen"/>
        </w:rPr>
        <w:footnoteReference w:id="246"/>
      </w:r>
      <w:r>
        <w:rPr>
          <w:rStyle w:val="Funotenzeichen"/>
        </w:rPr>
        <w:t xml:space="preserve"> </w:t>
      </w:r>
      <w:r>
        <w:t>Deutlich wird daran, dass sich darauf vorbereitet wird, dass vielleicht in 2025 auch wieder zwischen privaten Unternehmen gehandelte ITMOs weltweit ausgetauscht werden können. Die auf Freiwilligen CO2 Märkten gehandelten Zertifikate werden allerdings nicht vom europäischen Emissionshandelssystem anerkannt werden.</w:t>
      </w:r>
      <w:r>
        <w:rPr>
          <w:rStyle w:val="Funotenzeichen"/>
        </w:rPr>
        <w:footnoteReference w:id="247"/>
      </w:r>
    </w:p>
    <w:p w14:paraId="07D3E803" w14:textId="77777777" w:rsidR="00F74622" w:rsidRDefault="00F74622" w:rsidP="00CA3799"/>
    <w:p w14:paraId="1FF05DEC" w14:textId="2BC8C8D0" w:rsidR="00085084" w:rsidRPr="00F74622" w:rsidRDefault="00F74622" w:rsidP="009E2CA3">
      <w:r>
        <w:t>Freiwillige CO2-Kompensationen sind potentiell ein riesiger Markt, der viele Akteure anzieht und an dem auch die Banken interessiert sind. Eine aktuelle Studie aus dem Jahr 2024 hat die Hessische Landesbank Helaba vorgelegt</w:t>
      </w:r>
      <w:r>
        <w:rPr>
          <w:rStyle w:val="Funotenzeichen"/>
        </w:rPr>
        <w:footnoteReference w:id="248"/>
      </w:r>
      <w:r>
        <w:t>, siehe dazu auch diesen FAZ-Artikel.</w:t>
      </w:r>
      <w:r>
        <w:rPr>
          <w:rStyle w:val="Funotenzeichen"/>
        </w:rPr>
        <w:footnoteReference w:id="249"/>
      </w:r>
      <w:r>
        <w:t xml:space="preserve"> </w:t>
      </w:r>
      <w:r w:rsidR="009E2CA3">
        <w:t xml:space="preserve">In der Studie der Hessischen Landesbank wird deutlich, dass es 2023 einen Einbruch des Marktes gegeben hat, weiterhin werden mehrere Anbieter aufgezählt, die wiederum die Integrität von Projekten nach bestimmten Kriterien bewerten: Integrity Council </w:t>
      </w:r>
      <w:proofErr w:type="spellStart"/>
      <w:r w:rsidR="009E2CA3">
        <w:t>for</w:t>
      </w:r>
      <w:proofErr w:type="spellEnd"/>
      <w:r w:rsidR="009E2CA3">
        <w:t xml:space="preserve"> </w:t>
      </w:r>
      <w:proofErr w:type="spellStart"/>
      <w:r w:rsidR="009E2CA3">
        <w:t>the</w:t>
      </w:r>
      <w:proofErr w:type="spellEnd"/>
      <w:r w:rsidR="009E2CA3">
        <w:t xml:space="preserve"> </w:t>
      </w:r>
      <w:proofErr w:type="spellStart"/>
      <w:r w:rsidR="009E2CA3">
        <w:t>Voluntary</w:t>
      </w:r>
      <w:proofErr w:type="spellEnd"/>
      <w:r w:rsidR="009E2CA3">
        <w:t xml:space="preserve"> Carbon Market </w:t>
      </w:r>
      <w:r w:rsidR="009E2CA3" w:rsidRPr="009E2CA3">
        <w:t xml:space="preserve">(ICVCM), </w:t>
      </w:r>
      <w:proofErr w:type="spellStart"/>
      <w:r w:rsidR="009E2CA3" w:rsidRPr="009E2CA3">
        <w:t>Voluntary</w:t>
      </w:r>
      <w:proofErr w:type="spellEnd"/>
      <w:r w:rsidR="009E2CA3" w:rsidRPr="009E2CA3">
        <w:t xml:space="preserve"> Carbon </w:t>
      </w:r>
      <w:proofErr w:type="spellStart"/>
      <w:r w:rsidR="009E2CA3" w:rsidRPr="009E2CA3">
        <w:t>Markets</w:t>
      </w:r>
      <w:proofErr w:type="spellEnd"/>
      <w:r w:rsidR="009E2CA3" w:rsidRPr="009E2CA3">
        <w:t xml:space="preserve"> Integrity Initiative (VCMI) oder die sog. </w:t>
      </w:r>
      <w:r w:rsidR="009E2CA3" w:rsidRPr="00F74622">
        <w:t xml:space="preserve">Oxford </w:t>
      </w:r>
      <w:proofErr w:type="spellStart"/>
      <w:r w:rsidR="009E2CA3" w:rsidRPr="00F74622">
        <w:t>Principles</w:t>
      </w:r>
      <w:proofErr w:type="spellEnd"/>
      <w:r w:rsidR="009E2CA3">
        <w:t xml:space="preserve"> </w:t>
      </w:r>
      <w:proofErr w:type="spellStart"/>
      <w:r w:rsidR="009E2CA3">
        <w:t>for</w:t>
      </w:r>
      <w:proofErr w:type="spellEnd"/>
      <w:r w:rsidR="009E2CA3">
        <w:t xml:space="preserve"> Net Zero </w:t>
      </w:r>
      <w:proofErr w:type="spellStart"/>
      <w:r w:rsidR="009E2CA3">
        <w:t>Aligned</w:t>
      </w:r>
      <w:proofErr w:type="spellEnd"/>
      <w:r w:rsidR="009E2CA3">
        <w:t xml:space="preserve"> Carbon </w:t>
      </w:r>
      <w:proofErr w:type="spellStart"/>
      <w:r w:rsidR="009E2CA3">
        <w:t>Offsetting</w:t>
      </w:r>
      <w:proofErr w:type="spellEnd"/>
      <w:r w:rsidR="009E2CA3" w:rsidRPr="00F74622">
        <w:t xml:space="preserve">. Weiterhin gibt es die </w:t>
      </w:r>
      <w:proofErr w:type="spellStart"/>
      <w:r w:rsidR="009E2CA3" w:rsidRPr="00F74622">
        <w:t>Zertififizierungsfirmen</w:t>
      </w:r>
      <w:proofErr w:type="spellEnd"/>
      <w:r w:rsidR="009E2CA3" w:rsidRPr="00F74622">
        <w:t>, die bestätigen, da</w:t>
      </w:r>
      <w:r w:rsidR="009E2CA3">
        <w:t>ss ein Projekt nach bestimmten Kriterien sinnvoll ist, etwa Verra oder Gold Standard</w:t>
      </w:r>
      <w:r w:rsidR="00953FA0">
        <w:t>, siehe zu diesem Abschnitt die Helaba Studie 2024</w:t>
      </w:r>
      <w:r w:rsidR="009E2CA3">
        <w:t>.</w:t>
      </w:r>
      <w:r w:rsidR="009E2CA3" w:rsidRPr="009E2CA3">
        <w:rPr>
          <w:rStyle w:val="Funotenzeichen"/>
        </w:rPr>
        <w:t xml:space="preserve"> </w:t>
      </w:r>
      <w:r w:rsidR="009E2CA3">
        <w:rPr>
          <w:rStyle w:val="Funotenzeichen"/>
        </w:rPr>
        <w:footnoteReference w:id="250"/>
      </w:r>
      <w:r w:rsidR="009E2CA3" w:rsidRPr="00F74622">
        <w:t xml:space="preserve">  </w:t>
      </w:r>
      <w:r w:rsidR="00085084">
        <w:t>Anbieter freiwilliger CO2-Kompensationen sind z.B. First Climat</w:t>
      </w:r>
      <w:r w:rsidR="00BC6100">
        <w:t>e</w:t>
      </w:r>
      <w:r w:rsidR="00085084">
        <w:t xml:space="preserve">, </w:t>
      </w:r>
      <w:proofErr w:type="spellStart"/>
      <w:r w:rsidR="00085084">
        <w:t>Forliance</w:t>
      </w:r>
      <w:proofErr w:type="spellEnd"/>
      <w:r w:rsidR="00085084">
        <w:t xml:space="preserve">, myclimate, und </w:t>
      </w:r>
      <w:proofErr w:type="spellStart"/>
      <w:r w:rsidR="00085084">
        <w:t>woodify</w:t>
      </w:r>
      <w:proofErr w:type="spellEnd"/>
      <w:r w:rsidR="00085084">
        <w:t>.</w:t>
      </w:r>
      <w:r w:rsidR="00085084">
        <w:rPr>
          <w:rStyle w:val="Funotenzeichen"/>
        </w:rPr>
        <w:footnoteReference w:id="251"/>
      </w:r>
      <w:r w:rsidR="00085084">
        <w:t xml:space="preserve"> Ebenso Octavia Carbon und Zero Ex.</w:t>
      </w:r>
      <w:r w:rsidR="00085084">
        <w:rPr>
          <w:rStyle w:val="Funotenzeichen"/>
        </w:rPr>
        <w:footnoteReference w:id="252"/>
      </w:r>
    </w:p>
    <w:p w14:paraId="66EBC268" w14:textId="2B3EB3AB" w:rsidR="00F74622" w:rsidRDefault="00F74622" w:rsidP="00CA3799">
      <w:r>
        <w:t xml:space="preserve">  </w:t>
      </w:r>
    </w:p>
    <w:tbl>
      <w:tblPr>
        <w:tblStyle w:val="Tabellenraster"/>
        <w:tblW w:w="0" w:type="auto"/>
        <w:tblLook w:val="04A0" w:firstRow="1" w:lastRow="0" w:firstColumn="1" w:lastColumn="0" w:noHBand="0" w:noVBand="1"/>
      </w:tblPr>
      <w:tblGrid>
        <w:gridCol w:w="9062"/>
      </w:tblGrid>
      <w:tr w:rsidR="004D2D1D" w14:paraId="11F94C69" w14:textId="77777777">
        <w:tc>
          <w:tcPr>
            <w:tcW w:w="9062" w:type="dxa"/>
          </w:tcPr>
          <w:p w14:paraId="61482142" w14:textId="61ACCF82" w:rsidR="004D2D1D" w:rsidRDefault="001434D0" w:rsidP="00CA3799">
            <w:r>
              <w:t xml:space="preserve">Die </w:t>
            </w:r>
            <w:r w:rsidR="004D2D1D">
              <w:t xml:space="preserve">auf Freiwilligen CO2 Märkten gehandelten Zertifikate </w:t>
            </w:r>
            <w:r>
              <w:t>werden</w:t>
            </w:r>
            <w:r w:rsidR="003110E9">
              <w:t xml:space="preserve"> </w:t>
            </w:r>
            <w:r>
              <w:t xml:space="preserve">nicht vom </w:t>
            </w:r>
            <w:r w:rsidR="004D2D1D">
              <w:t>europäischen Emissionshandelssystem anerkannt</w:t>
            </w:r>
            <w:r w:rsidR="003110E9">
              <w:t>.</w:t>
            </w:r>
            <w:r w:rsidR="004D2D1D">
              <w:t xml:space="preserve"> Internationale Gutschriften können für die Zeitperiode 2021 bis 2030 nicht mehr verwendet werden.</w:t>
            </w:r>
            <w:r w:rsidR="004D2D1D">
              <w:rPr>
                <w:rStyle w:val="Funotenzeichen"/>
              </w:rPr>
              <w:footnoteReference w:id="253"/>
            </w:r>
          </w:p>
          <w:p w14:paraId="15AC3C62" w14:textId="77777777" w:rsidR="001434D0" w:rsidRDefault="001434D0" w:rsidP="00CA3799"/>
          <w:p w14:paraId="1AF3B1D1" w14:textId="0AB84FC7" w:rsidR="001434D0" w:rsidRDefault="001434D0" w:rsidP="00CA3799">
            <w:r>
              <w:t>Die auf Freiwilligen CO2 Märkten gehandelten Zertifikate werden aber z.B. von der EU als wünschen</w:t>
            </w:r>
            <w:r w:rsidR="00693D64">
              <w:t>s</w:t>
            </w:r>
            <w:r>
              <w:t>wert angesehen, weil sie zusätzlich zu Emissionsminderungen führen können. Damit die Zertifizierungs</w:t>
            </w:r>
            <w:r w:rsidR="00693D64">
              <w:t>s</w:t>
            </w:r>
            <w:r>
              <w:t xml:space="preserve">tellen allerdings von der Qualität her besser arbeiten als bisher, ist hier eine EU-Verordnung verabschiedet worden, die einen Unionsrahmen dazu festlegt, hier geht es darum welche Dinge als dauerhafte CO2-Entnahmen anerkannt werden u.a. auch solcher in der Landwirtschaft und in Produkte gebundenes CO2, dazu kommen Regeln für die </w:t>
            </w:r>
            <w:r>
              <w:lastRenderedPageBreak/>
              <w:t>Zer</w:t>
            </w:r>
            <w:r w:rsidR="00693D64">
              <w:t>t</w:t>
            </w:r>
            <w:r>
              <w:t>ifizierungsunternehmen, siehe Verordnung EU 2024/3012, 27.11.2024.</w:t>
            </w:r>
            <w:r>
              <w:rPr>
                <w:rStyle w:val="Funotenzeichen"/>
              </w:rPr>
              <w:footnoteReference w:id="254"/>
            </w:r>
            <w:r w:rsidR="0063031B">
              <w:t xml:space="preserve"> Siehe ein</w:t>
            </w:r>
            <w:r w:rsidR="00693D64">
              <w:t>e</w:t>
            </w:r>
            <w:r w:rsidR="0063031B">
              <w:t xml:space="preserve"> Er</w:t>
            </w:r>
            <w:r w:rsidR="00693D64">
              <w:t>läuterung</w:t>
            </w:r>
            <w:r w:rsidR="0063031B">
              <w:t xml:space="preserve"> dazu.</w:t>
            </w:r>
            <w:r w:rsidR="0063031B">
              <w:rPr>
                <w:rStyle w:val="Funotenzeichen"/>
              </w:rPr>
              <w:footnoteReference w:id="255"/>
            </w:r>
          </w:p>
        </w:tc>
      </w:tr>
    </w:tbl>
    <w:p w14:paraId="66B34FC2" w14:textId="5A6357BB" w:rsidR="003110E9" w:rsidRDefault="00CA3799" w:rsidP="00CA3799">
      <w:r>
        <w:lastRenderedPageBreak/>
        <w:t xml:space="preserve"> </w:t>
      </w:r>
    </w:p>
    <w:p w14:paraId="537084C4" w14:textId="46C3ADEE" w:rsidR="002B2CE8" w:rsidRDefault="002B2CE8" w:rsidP="00CA3799">
      <w:r>
        <w:t xml:space="preserve">Am 2. Juni 2025 hat die Europäische Kommission nun ein weiteres Klima-Zwischenziel </w:t>
      </w:r>
      <w:r w:rsidRPr="007E47EB">
        <w:rPr>
          <w:b/>
          <w:bCs/>
        </w:rPr>
        <w:t>vorgeschlagen</w:t>
      </w:r>
      <w:r>
        <w:t>, von 90 % weniger Treibhausgasemissionen bis 2040 vorsieht, zusätzlich zum Klimaziel der EU bis 2050 Treibhausneutral zu sein, siehe diesen FAZ-Artikel zu diesem Abschnitt:</w:t>
      </w:r>
      <w:r>
        <w:rPr>
          <w:rStyle w:val="Funotenzeichen"/>
        </w:rPr>
        <w:footnoteReference w:id="256"/>
      </w:r>
      <w:r>
        <w:t xml:space="preserve"> Dieser Vorschlag wird nun an das Europäische Parlament und den Rat der Europäischen Union weitergeleitet </w:t>
      </w:r>
      <w:proofErr w:type="gramStart"/>
      <w:r>
        <w:t>zu weiteren Beschlu</w:t>
      </w:r>
      <w:r w:rsidR="0021708E">
        <w:t>ss</w:t>
      </w:r>
      <w:r>
        <w:t>fassung</w:t>
      </w:r>
      <w:proofErr w:type="gramEnd"/>
      <w:r>
        <w:t>. Frankreich, Polen und andere EU-Staaten haben sich dagegen ausgesprochen. Diess Ziel soll im Durchschnitt alle EU-Staaten erreicht werden. Die EU-Kommission will diese Zielerreichung erleichtern, indem CO2-Gutschriften angerechnet werden können. Die Details sind dazu allerdings noch ‚völlig‘ unklar. Die ersten Infos sind, dass diese CO2-Gutschriften erst ab 2036 gelten sollen, sich nicht auf das EU-Emissionshandelssystem ETS anrechnen lassen sollen (dann aber wohl auf d</w:t>
      </w:r>
      <w:r w:rsidR="0021708E">
        <w:t>ie</w:t>
      </w:r>
      <w:r>
        <w:t xml:space="preserve"> staatlichen Ziele) und es sollen nicht mehr als 3 % der Reduktionsverpflichtungen (Basis Emissionen 1990, das ist viel) darunterfallen dürfen. Es scheinen aber weltweite Projekte anrechenbar zu sein, es soll sich an Art. 6 angelehnt werden. </w:t>
      </w:r>
      <w:r w:rsidRPr="00BC6100">
        <w:rPr>
          <w:u w:val="single"/>
        </w:rPr>
        <w:t>Die Details sollen in der zweiten Hälfte von 2025 ausgearbeitet sein</w:t>
      </w:r>
      <w:r>
        <w:t>, siehe diesen FAZ-Artikel.</w:t>
      </w:r>
      <w:r>
        <w:rPr>
          <w:rStyle w:val="Funotenzeichen"/>
        </w:rPr>
        <w:footnoteReference w:id="257"/>
      </w:r>
      <w:r>
        <w:t xml:space="preserve">   </w:t>
      </w:r>
    </w:p>
    <w:p w14:paraId="512AB3B3" w14:textId="77777777" w:rsidR="002B2CE8" w:rsidRPr="00F74622" w:rsidRDefault="002B2CE8" w:rsidP="00CA3799"/>
    <w:tbl>
      <w:tblPr>
        <w:tblStyle w:val="Tabellenraster"/>
        <w:tblW w:w="0" w:type="auto"/>
        <w:tblLook w:val="04A0" w:firstRow="1" w:lastRow="0" w:firstColumn="1" w:lastColumn="0" w:noHBand="0" w:noVBand="1"/>
      </w:tblPr>
      <w:tblGrid>
        <w:gridCol w:w="9062"/>
      </w:tblGrid>
      <w:tr w:rsidR="00CA3799" w14:paraId="74512ED5" w14:textId="77777777" w:rsidTr="00FB0DD1">
        <w:tc>
          <w:tcPr>
            <w:tcW w:w="9062" w:type="dxa"/>
          </w:tcPr>
          <w:p w14:paraId="364AF2CB" w14:textId="6F0FA897" w:rsidR="00CA3799" w:rsidRDefault="00CA3799" w:rsidP="00FB0DD1">
            <w:r>
              <w:t xml:space="preserve">Ab 2026 </w:t>
            </w:r>
            <w:r w:rsidR="00E7743D">
              <w:t>sollten</w:t>
            </w:r>
            <w:r>
              <w:t xml:space="preserve"> in der EU alle Label verboten, die suggerieren, dass ein Produkt klimaneutral produziert worden ist. Es wird auch generell verboten, dass ITMOs dazu benutzt werden dürfen, um dies angeblich zu bewiesen bzw. zu zeigen. Einzig Label für nachhaltige Produktion, die von anerkannten Stellen zertifiziert worden sind, werden noch erlaubt.</w:t>
            </w:r>
            <w:r>
              <w:rPr>
                <w:rStyle w:val="Funotenzeichen"/>
              </w:rPr>
              <w:footnoteReference w:id="258"/>
            </w:r>
            <w:r>
              <w:t xml:space="preserve"> Siehe auch hier.</w:t>
            </w:r>
            <w:r>
              <w:rPr>
                <w:rStyle w:val="Funotenzeichen"/>
              </w:rPr>
              <w:footnoteReference w:id="259"/>
            </w:r>
            <w:r w:rsidR="00E7743D">
              <w:t xml:space="preserve"> Diese Gesetzesvorhaben ist nun allerdings gestoppt worden, offenbar auf Wunsch der EVP-Fraktion, siehe diesen FAZ-Artikel vom 21.06.2025.</w:t>
            </w:r>
            <w:r w:rsidR="00E7743D">
              <w:rPr>
                <w:rStyle w:val="Funotenzeichen"/>
              </w:rPr>
              <w:footnoteReference w:id="260"/>
            </w:r>
          </w:p>
        </w:tc>
      </w:tr>
    </w:tbl>
    <w:p w14:paraId="697EA075" w14:textId="77777777" w:rsidR="00CA3799" w:rsidRDefault="00CA3799" w:rsidP="00CA3799"/>
    <w:p w14:paraId="39DE84BE" w14:textId="77777777" w:rsidR="00CA3799" w:rsidRDefault="00CA3799" w:rsidP="00CA3799">
      <w:r>
        <w:t xml:space="preserve">Auch eine </w:t>
      </w:r>
      <w:r w:rsidRPr="002D2774">
        <w:rPr>
          <w:u w:val="single"/>
        </w:rPr>
        <w:t>internationale Kooperation von Märkten für Emissionsrechte</w:t>
      </w:r>
      <w:r>
        <w:t xml:space="preserve"> ist mit Art. 6 (wieder) möglich, es könnte damit sogar ein globaler Markt für Emissionsberechtigungen angestrebt werden, indem man die Märkte für Emissionsrechte ‚zusammenschaltet‘</w:t>
      </w:r>
      <w:r>
        <w:rPr>
          <w:rStyle w:val="Funotenzeichen"/>
        </w:rPr>
        <w:footnoteReference w:id="261"/>
      </w:r>
      <w:r>
        <w:t>, begründet mit der wirtschaftswissenschaftlichen Argumentation, dass Emissionen dort eingespart werden, wo es am kostengünstigsten ist. Ob diese Logik der freien Märkte aber sinnvoll umsetzbar ist, ist fraglich.</w:t>
      </w:r>
      <w:r>
        <w:rPr>
          <w:rStyle w:val="Funotenzeichen"/>
        </w:rPr>
        <w:footnoteReference w:id="262"/>
      </w:r>
      <w:r>
        <w:t xml:space="preserve"> Es gibt zu Art. 6 eine spezielle Webseite des BMWK mit vielen Informationen, auf der die Idee weltweiter Kohlenstoffmärkte – ohne auch Nachteile zu erwägen - für erstrebenswert angesehen wird.</w:t>
      </w:r>
      <w:r>
        <w:rPr>
          <w:rStyle w:val="Funotenzeichen"/>
        </w:rPr>
        <w:footnoteReference w:id="263"/>
      </w:r>
      <w:r>
        <w:t xml:space="preserve"> </w:t>
      </w:r>
    </w:p>
    <w:p w14:paraId="28973781" w14:textId="77777777" w:rsidR="00CA3799" w:rsidRDefault="00CA3799" w:rsidP="00CA3799">
      <w:pPr>
        <w:rPr>
          <w:u w:val="single"/>
        </w:rPr>
      </w:pPr>
    </w:p>
    <w:p w14:paraId="4C391878" w14:textId="2E6032A2" w:rsidR="00CA3799" w:rsidRDefault="00CA3799" w:rsidP="00CA3799">
      <w:r w:rsidRPr="000B55C9">
        <w:rPr>
          <w:u w:val="single"/>
        </w:rPr>
        <w:lastRenderedPageBreak/>
        <w:t>Märkte für Emissionsrechte weltweit</w:t>
      </w:r>
      <w:r>
        <w:t xml:space="preserve">. Bisher gibt </w:t>
      </w:r>
      <w:r w:rsidR="00383ACA">
        <w:t>es von den G20 Ländern in folgenden Ländern Emissionshandelssysteme: Argentinien (geringe Abdeckung), Kanada (hohe Abdeckung), China (mittlere Abdeckung), Indien (geringer Abdeckung), Indonesien (geringe Abdeckung), Japan (hohe Abdeckung), Korea (hohe Abdeckung), Mexiko (mittlere Abdeckung), Südafrika (hohe Abdeckung), England (mittlere Abdeckung), USA (geringer Abdeckung).</w:t>
      </w:r>
      <w:r w:rsidR="00383ACA">
        <w:rPr>
          <w:rStyle w:val="Funotenzeichen"/>
        </w:rPr>
        <w:footnoteReference w:id="264"/>
      </w:r>
      <w:r w:rsidR="00383ACA">
        <w:t xml:space="preserve"> I</w:t>
      </w:r>
      <w:r>
        <w:t xml:space="preserve">n der EU </w:t>
      </w:r>
      <w:r w:rsidR="00383ACA">
        <w:t>besteht ein</w:t>
      </w:r>
      <w:r>
        <w:t xml:space="preserve"> Emissionsrechtehandel, der auch für </w:t>
      </w:r>
      <w:r w:rsidRPr="00FC1164">
        <w:t>Norw</w:t>
      </w:r>
      <w:r>
        <w:t>egen, Island, Liechtenstein und Nordirland angewandt wird.</w:t>
      </w:r>
      <w:r>
        <w:rPr>
          <w:rStyle w:val="Funotenzeichen"/>
        </w:rPr>
        <w:footnoteReference w:id="265"/>
      </w:r>
      <w:r>
        <w:t xml:space="preserve"> Die Schweiz ist mit dem Luftfahrtteil Mitglied des ETS geworden.</w:t>
      </w:r>
      <w:r>
        <w:rPr>
          <w:rStyle w:val="Funotenzeichen"/>
        </w:rPr>
        <w:footnoteReference w:id="266"/>
      </w:r>
      <w:r>
        <w:t xml:space="preserve"> In den USA ist es unwahrscheinlich, dass es zu einem landesweiten Emissionsrechtehandel kommt, auch ein festgelegter CO2-Preis gilt als unwahrscheinlich, es sind aber einzelne Bundesstaaten, die begrenzte Emissionshandelssysteme umgesetzt haben. Kalifornien hat z.B. 2014 sein Emissionshandelssystem mit dem kanadischen Quebec verbunden und 2018 wurde Ontario eingebunden. Es gibt zudem mehrere freiwillige Systeme, die in der schon 2003 gestarteten Chicago Climate Exchange (CCX) (derzeit allerdings nicht im Internet auffindbar) miteinander verbunden sind, hier sind 350 Firmen, Universitäten und Verbände beteiligt, die sich verpflichtet haben, ihre Emissionen um 6 % zu senken.</w:t>
      </w:r>
      <w:r>
        <w:rPr>
          <w:rStyle w:val="Funotenzeichen"/>
        </w:rPr>
        <w:footnoteReference w:id="267"/>
      </w:r>
      <w:r>
        <w:t xml:space="preserve"> China hat 2021 einen Emissionsrechtehandel gestartet, der für 2200 staatliche Firmen gilt.</w:t>
      </w:r>
      <w:r>
        <w:rPr>
          <w:rStyle w:val="Funotenzeichen"/>
        </w:rPr>
        <w:footnoteReference w:id="268"/>
      </w:r>
      <w:r>
        <w:t xml:space="preserve"> In Mexiko und Kolumbien ist ein Emissionsrechtehandel etabliert worden.</w:t>
      </w:r>
      <w:r>
        <w:rPr>
          <w:rStyle w:val="Funotenzeichen"/>
        </w:rPr>
        <w:footnoteReference w:id="269"/>
      </w:r>
      <w:r>
        <w:t xml:space="preserve"> </w:t>
      </w:r>
    </w:p>
    <w:p w14:paraId="456C8DCF" w14:textId="77777777" w:rsidR="00CA3799" w:rsidRDefault="00CA3799" w:rsidP="00CA3799"/>
    <w:p w14:paraId="70890C59" w14:textId="4559C91C" w:rsidR="00CA3799" w:rsidRDefault="00CA3799" w:rsidP="00CA3799">
      <w:r>
        <w:t xml:space="preserve">Dies ist u.a. deshalb wichtig, weil am 1. Januar 2026 der </w:t>
      </w:r>
      <w:proofErr w:type="gramStart"/>
      <w:r>
        <w:t>EU Carbon</w:t>
      </w:r>
      <w:proofErr w:type="gramEnd"/>
      <w:r>
        <w:t xml:space="preserve"> Border Adjustment </w:t>
      </w:r>
      <w:proofErr w:type="spellStart"/>
      <w:r>
        <w:t>Mechanism</w:t>
      </w:r>
      <w:proofErr w:type="spellEnd"/>
      <w:r>
        <w:t xml:space="preserve"> startet und </w:t>
      </w:r>
      <w:r w:rsidR="002D2774" w:rsidRPr="002D2774">
        <w:rPr>
          <w:u w:val="single"/>
        </w:rPr>
        <w:t xml:space="preserve">nur </w:t>
      </w:r>
      <w:r w:rsidRPr="002D2774">
        <w:rPr>
          <w:u w:val="single"/>
        </w:rPr>
        <w:t xml:space="preserve">ein Land </w:t>
      </w:r>
      <w:r w:rsidR="002D2774" w:rsidRPr="002D2774">
        <w:rPr>
          <w:u w:val="single"/>
        </w:rPr>
        <w:t xml:space="preserve">mit </w:t>
      </w:r>
      <w:r w:rsidRPr="002D2774">
        <w:rPr>
          <w:u w:val="single"/>
        </w:rPr>
        <w:t>eigene</w:t>
      </w:r>
      <w:r w:rsidR="002D2774" w:rsidRPr="002D2774">
        <w:rPr>
          <w:u w:val="single"/>
        </w:rPr>
        <w:t>m</w:t>
      </w:r>
      <w:r w:rsidRPr="002D2774">
        <w:rPr>
          <w:u w:val="single"/>
        </w:rPr>
        <w:t xml:space="preserve"> Emissionsrechtehandel oder CO2-Preis </w:t>
      </w:r>
      <w:r w:rsidR="002D2774" w:rsidRPr="002D2774">
        <w:rPr>
          <w:u w:val="single"/>
        </w:rPr>
        <w:t xml:space="preserve">von diesen Klimazöllen </w:t>
      </w:r>
      <w:r w:rsidRPr="002D2774">
        <w:rPr>
          <w:u w:val="single"/>
        </w:rPr>
        <w:t>ausgenommen werden kann</w:t>
      </w:r>
      <w:r>
        <w:t xml:space="preserve">, hier müsste es aber zuvor ein Abkommen mit der EU geben, in Erwägungsgrund 72 wird auch ein </w:t>
      </w:r>
      <w:r w:rsidRPr="002D2774">
        <w:rPr>
          <w:u w:val="single"/>
        </w:rPr>
        <w:t>Klimaklub</w:t>
      </w:r>
      <w:r>
        <w:t xml:space="preserve"> erwähnt. Dieser Carbon Anpassungsmechanismus gilt aber vorerst nur für wenige Produkte und es gibt ein langsames Hochfahren des Mechanismus bis 2034.</w:t>
      </w:r>
      <w:r>
        <w:rPr>
          <w:rStyle w:val="Funotenzeichen"/>
        </w:rPr>
        <w:footnoteReference w:id="270"/>
      </w:r>
      <w:r>
        <w:t xml:space="preserve"> Siehe dazu Punkt 1.3 EU.  </w:t>
      </w:r>
    </w:p>
    <w:p w14:paraId="54AB9D7B" w14:textId="77777777" w:rsidR="00CA3799" w:rsidRDefault="00CA3799" w:rsidP="00CA3799"/>
    <w:p w14:paraId="3FCCC310" w14:textId="197C6309" w:rsidR="00112190" w:rsidRDefault="00CA3799" w:rsidP="00112190">
      <w:r w:rsidRPr="0026219D">
        <w:rPr>
          <w:u w:val="single"/>
        </w:rPr>
        <w:t>Weitere politische Vereinbarungen zu Klimafragen</w:t>
      </w:r>
      <w:r w:rsidR="0026219D">
        <w:t xml:space="preserve">. </w:t>
      </w:r>
      <w:r w:rsidR="00112190">
        <w:t xml:space="preserve">Im Rahmen der deutschen G7 Präsidentschaft wurde am 28. Juni 2022 auf Schloss Elmau ein Klimaklub gegründet, für Länder, die mit dem </w:t>
      </w:r>
      <w:r w:rsidR="00112190">
        <w:lastRenderedPageBreak/>
        <w:t>Klimaschutz schneller voranschreiten wollen. Der Klimaclub steht im Koalitionsvertrag der Ampel.</w:t>
      </w:r>
      <w:r w:rsidR="00112190">
        <w:rPr>
          <w:rStyle w:val="Funotenzeichen"/>
        </w:rPr>
        <w:footnoteReference w:id="271"/>
      </w:r>
      <w:r w:rsidR="00112190">
        <w:t xml:space="preserve"> Dies geschah in Elmau informell, ohne wirkliche Verpflichtungen</w:t>
      </w:r>
      <w:r w:rsidR="00112190">
        <w:rPr>
          <w:rStyle w:val="Funotenzeichen"/>
        </w:rPr>
        <w:footnoteReference w:id="272"/>
      </w:r>
      <w:r w:rsidR="00112190">
        <w:t xml:space="preserve">, bei der COP28 gab es eine offizielle Gründung, 36 Staaten sind bereits Mitglieder. </w:t>
      </w:r>
      <w:r w:rsidR="00D10AE7">
        <w:t>Derzeit</w:t>
      </w:r>
      <w:r w:rsidR="00112190">
        <w:t xml:space="preserve"> geht es </w:t>
      </w:r>
      <w:r w:rsidR="00D10AE7">
        <w:t xml:space="preserve">hier </w:t>
      </w:r>
      <w:r w:rsidR="00112190">
        <w:t>u.a. darum, für Stahl, Zement und Aluminium Standards zu entwickelt für eine CO2 freie Produktion, um Handel mit diesen Gütern weiter frei zu ermöglichen.</w:t>
      </w:r>
      <w:r w:rsidR="00112190">
        <w:rPr>
          <w:rStyle w:val="Funotenzeichen"/>
        </w:rPr>
        <w:footnoteReference w:id="273"/>
      </w:r>
      <w:r w:rsidR="00112190">
        <w:t xml:space="preserve"> Siehe dazu auch weiter unten, u.a. beim Punkt 1.3 EU und den CBAM-Importabgaben. Die G7 haben sich in Elmau weiterhin verpflichtet u.a. bis 2035 die Elektrizitätsversorgung emissionsfrei zu machen, Kohlekraftwerke einzumotten, Subventionen für Treibstoffe abzubauen etc.</w:t>
      </w:r>
      <w:r w:rsidR="00112190">
        <w:rPr>
          <w:rStyle w:val="Funotenzeichen"/>
        </w:rPr>
        <w:footnoteReference w:id="274"/>
      </w:r>
      <w:r w:rsidR="00F24C97">
        <w:t xml:space="preserve"> </w:t>
      </w:r>
      <w:r w:rsidR="00D10AE7">
        <w:t>Der</w:t>
      </w:r>
      <w:r w:rsidR="00F24C97">
        <w:t xml:space="preserve"> Klimaklub </w:t>
      </w:r>
      <w:r w:rsidR="00D10AE7">
        <w:t>hießt auf Englisch</w:t>
      </w:r>
      <w:r w:rsidR="00F24C97">
        <w:t xml:space="preserve"> Climate Club</w:t>
      </w:r>
      <w:r w:rsidR="00A1769A">
        <w:t>, er hat 46 Mitglieder</w:t>
      </w:r>
      <w:r w:rsidR="00F24C97">
        <w:t xml:space="preserve"> und hat eine aufwendige Webseite, siehe hier.</w:t>
      </w:r>
      <w:r w:rsidR="00F24C97">
        <w:rPr>
          <w:rStyle w:val="Funotenzeichen"/>
        </w:rPr>
        <w:footnoteReference w:id="275"/>
      </w:r>
    </w:p>
    <w:p w14:paraId="2D6414C8" w14:textId="77777777" w:rsidR="00112190" w:rsidRDefault="00112190" w:rsidP="00112190"/>
    <w:p w14:paraId="5BABD167" w14:textId="5BF44DB7" w:rsidR="000627D0" w:rsidRDefault="00112190" w:rsidP="00112190">
      <w:r>
        <w:t xml:space="preserve">Auf dem </w:t>
      </w:r>
      <w:r w:rsidRPr="0026219D">
        <w:rPr>
          <w:u w:val="single"/>
        </w:rPr>
        <w:t>G7 Treffen unter italienischer Präsidentschaft am 13-15</w:t>
      </w:r>
      <w:r w:rsidR="00B200AE" w:rsidRPr="0026219D">
        <w:rPr>
          <w:u w:val="single"/>
        </w:rPr>
        <w:t>.</w:t>
      </w:r>
      <w:r w:rsidRPr="0026219D">
        <w:rPr>
          <w:u w:val="single"/>
        </w:rPr>
        <w:t xml:space="preserve"> Juni 2024 in Borgo </w:t>
      </w:r>
      <w:proofErr w:type="spellStart"/>
      <w:r w:rsidRPr="0026219D">
        <w:rPr>
          <w:u w:val="single"/>
        </w:rPr>
        <w:t>Egnazia</w:t>
      </w:r>
      <w:proofErr w:type="spellEnd"/>
      <w:r w:rsidRPr="0026219D">
        <w:rPr>
          <w:u w:val="single"/>
        </w:rPr>
        <w:t>, Apulien</w:t>
      </w:r>
      <w:r w:rsidR="00FA2281">
        <w:rPr>
          <w:rStyle w:val="Funotenzeichen"/>
        </w:rPr>
        <w:footnoteReference w:id="276"/>
      </w:r>
      <w:r>
        <w:t>, wurde</w:t>
      </w:r>
      <w:r w:rsidR="009A4980">
        <w:t xml:space="preserve"> das nicht veränderte Ziel </w:t>
      </w:r>
      <w:r w:rsidR="00510A4D">
        <w:t xml:space="preserve">(woher, aus </w:t>
      </w:r>
      <w:r w:rsidR="00B002FD">
        <w:t xml:space="preserve">dem </w:t>
      </w:r>
      <w:r w:rsidR="00510A4D">
        <w:t>Hiroshima</w:t>
      </w:r>
      <w:r w:rsidR="00B002FD">
        <w:t xml:space="preserve"> G7 Treff</w:t>
      </w:r>
      <w:r w:rsidR="00510A4D">
        <w:t xml:space="preserve">?) </w:t>
      </w:r>
      <w:r w:rsidR="009A4980">
        <w:t xml:space="preserve">unterstrichen </w:t>
      </w:r>
      <w:r w:rsidR="009A4980" w:rsidRPr="00C61815">
        <w:rPr>
          <w:u w:val="single"/>
        </w:rPr>
        <w:t>bis 2030 global Treibhausgasemissionen um 43 % zu verringern, um 60 % bis 2025</w:t>
      </w:r>
      <w:r w:rsidR="00B200AE" w:rsidRPr="00C61815">
        <w:rPr>
          <w:u w:val="single"/>
        </w:rPr>
        <w:t>,</w:t>
      </w:r>
      <w:r w:rsidR="009A4980" w:rsidRPr="00C61815">
        <w:rPr>
          <w:u w:val="single"/>
        </w:rPr>
        <w:t xml:space="preserve"> Bezug sind die Werte von 2019, 2025 sollte der Treibhausgashöhepunkt sein, und 2050 muss Net-Zero erreicht werden</w:t>
      </w:r>
      <w:r w:rsidR="009A4980">
        <w:t>. In den Nationalen Beiträgen sollen Zusagen enthalten sein, die es ermöglichen die Erwärmung auf 1,5 Grad zu begrenzen. Bis 2035 sollte eine emissionsfreie Stromerzeugung erre</w:t>
      </w:r>
      <w:r w:rsidR="000627D0">
        <w:t>icht</w:t>
      </w:r>
      <w:r w:rsidR="009A4980">
        <w:t xml:space="preserve"> sein </w:t>
      </w:r>
      <w:r w:rsidR="000627D0">
        <w:t>(</w:t>
      </w:r>
      <w:r w:rsidR="009A4980">
        <w:t xml:space="preserve">„fully </w:t>
      </w:r>
      <w:proofErr w:type="spellStart"/>
      <w:r w:rsidR="009A4980">
        <w:t>or</w:t>
      </w:r>
      <w:proofErr w:type="spellEnd"/>
      <w:r w:rsidR="009A4980">
        <w:t xml:space="preserve"> </w:t>
      </w:r>
      <w:proofErr w:type="spellStart"/>
      <w:r w:rsidR="009A4980">
        <w:t>predominantly</w:t>
      </w:r>
      <w:proofErr w:type="spellEnd"/>
      <w:r w:rsidR="009A4980">
        <w:t>“</w:t>
      </w:r>
      <w:r w:rsidR="000627D0">
        <w:t>)</w:t>
      </w:r>
      <w:r w:rsidR="009A4980">
        <w:t>.</w:t>
      </w:r>
      <w:r>
        <w:rPr>
          <w:rStyle w:val="Funotenzeichen"/>
        </w:rPr>
        <w:footnoteReference w:id="277"/>
      </w:r>
      <w:r>
        <w:t xml:space="preserve"> </w:t>
      </w:r>
      <w:r w:rsidR="009A4980">
        <w:t xml:space="preserve">Dies ist nur ein Ausschnitt. Neu ist eine Energy </w:t>
      </w:r>
      <w:proofErr w:type="spellStart"/>
      <w:r w:rsidR="009A4980">
        <w:t>for</w:t>
      </w:r>
      <w:proofErr w:type="spellEnd"/>
      <w:r w:rsidR="009A4980">
        <w:t xml:space="preserve"> Growth in </w:t>
      </w:r>
      <w:proofErr w:type="spellStart"/>
      <w:r w:rsidR="009A4980">
        <w:t>Africa</w:t>
      </w:r>
      <w:proofErr w:type="spellEnd"/>
      <w:r w:rsidR="009A4980">
        <w:t xml:space="preserve"> Initiative.</w:t>
      </w:r>
      <w:r w:rsidR="009A4980">
        <w:rPr>
          <w:rStyle w:val="Funotenzeichen"/>
        </w:rPr>
        <w:footnoteReference w:id="278"/>
      </w:r>
      <w:r w:rsidR="009A4980">
        <w:t xml:space="preserve"> Und es gibt eine Alliance </w:t>
      </w:r>
      <w:proofErr w:type="spellStart"/>
      <w:r w:rsidR="009A4980">
        <w:t>for</w:t>
      </w:r>
      <w:proofErr w:type="spellEnd"/>
      <w:r w:rsidR="009A4980">
        <w:t xml:space="preserve"> Green Infrastructure in </w:t>
      </w:r>
      <w:proofErr w:type="spellStart"/>
      <w:r w:rsidR="009A4980">
        <w:t>Africa</w:t>
      </w:r>
      <w:proofErr w:type="spellEnd"/>
      <w:r w:rsidR="009A4980">
        <w:t xml:space="preserve"> Initiative (AGIA bzw. Alliance), </w:t>
      </w:r>
      <w:r w:rsidR="000627D0">
        <w:t>mit dem Ziel 250 bis 300 Mill. US$ zu sammeln, langfristig</w:t>
      </w:r>
      <w:r w:rsidR="009A4980">
        <w:t xml:space="preserve"> 10 Mrd. US$, die </w:t>
      </w:r>
      <w:r w:rsidR="000627D0">
        <w:t>erneuerbare Energien Projekte fördern soll</w:t>
      </w:r>
      <w:r w:rsidR="009A4980">
        <w:t>.</w:t>
      </w:r>
      <w:r w:rsidR="009A4980">
        <w:rPr>
          <w:rStyle w:val="Funotenzeichen"/>
        </w:rPr>
        <w:footnoteReference w:id="279"/>
      </w:r>
      <w:r w:rsidR="009A4980">
        <w:t xml:space="preserve"> </w:t>
      </w:r>
      <w:r w:rsidR="000627D0">
        <w:t xml:space="preserve">Schon beim G7 Treff in Hiroshima wurde ein Resilient Inclusive Supply Chain Enhancement (RISE) Partnership zwischen der G7, der Weltbank und Afrika beschlossen, in dem es um die Energy Transition Minerals (ETM) gehen soll, die es in Afrika reichlich gibt. Hier </w:t>
      </w:r>
      <w:proofErr w:type="gramStart"/>
      <w:r w:rsidR="000627D0">
        <w:t>wurde</w:t>
      </w:r>
      <w:proofErr w:type="gramEnd"/>
      <w:r w:rsidR="000627D0">
        <w:t xml:space="preserve"> z.B. eine Batterieländergruppe und eine Wasserstoffländergruppe vorgeschlagen. Die Weltbank berät hier die </w:t>
      </w:r>
      <w:r w:rsidR="007851FF">
        <w:t>a</w:t>
      </w:r>
      <w:r w:rsidR="000627D0">
        <w:t>frikanischen Länder, wie sie ihre Potentiale nutzen können. Diese Initiative ist dazu gedacht, das Angebot der Mineralien zu diversifizieren, um weniger von China anhängig zu sein.</w:t>
      </w:r>
      <w:r w:rsidR="000627D0">
        <w:rPr>
          <w:rStyle w:val="Funotenzeichen"/>
        </w:rPr>
        <w:footnoteReference w:id="280"/>
      </w:r>
      <w:r w:rsidR="007851FF">
        <w:t xml:space="preserve"> </w:t>
      </w:r>
    </w:p>
    <w:p w14:paraId="6E245D12" w14:textId="77777777" w:rsidR="000627D0" w:rsidRDefault="000627D0" w:rsidP="00112190"/>
    <w:p w14:paraId="737DF992" w14:textId="11C01D3D" w:rsidR="00112190" w:rsidRDefault="00112190" w:rsidP="00112190">
      <w:bookmarkStart w:id="23" w:name="_Hlk172465490"/>
      <w:r w:rsidRPr="0026219D">
        <w:rPr>
          <w:u w:val="single"/>
        </w:rPr>
        <w:t xml:space="preserve">Am 30.04.2024 trafen sich </w:t>
      </w:r>
      <w:r w:rsidR="000627D0" w:rsidRPr="0026219D">
        <w:rPr>
          <w:u w:val="single"/>
        </w:rPr>
        <w:t xml:space="preserve">bereits </w:t>
      </w:r>
      <w:r w:rsidRPr="0026219D">
        <w:rPr>
          <w:u w:val="single"/>
        </w:rPr>
        <w:t>die Klima-, Energie- und Umweltminister der G7 Staaten in Turin</w:t>
      </w:r>
      <w:r>
        <w:rPr>
          <w:rStyle w:val="Funotenzeichen"/>
        </w:rPr>
        <w:footnoteReference w:id="281"/>
      </w:r>
      <w:r>
        <w:t xml:space="preserve"> </w:t>
      </w:r>
      <w:bookmarkEnd w:id="23"/>
      <w:r>
        <w:t xml:space="preserve">und haben eine lange gemeinsame Erklärung erarbeitet. 3 a) Bis 2030 soll beim globalen Ziel die erneuerbaren Energien auf 11 TW auszubauen, mitgearbeitet werden. 2000 GW müssten wohl noch </w:t>
      </w:r>
      <w:r>
        <w:lastRenderedPageBreak/>
        <w:t>bis dahin gebaut werden. 2023 hätten die G7 auf ihrem Treff in Hiroshima</w:t>
      </w:r>
      <w:r>
        <w:rPr>
          <w:rStyle w:val="Funotenzeichen"/>
        </w:rPr>
        <w:footnoteReference w:id="282"/>
      </w:r>
      <w:r>
        <w:t xml:space="preserve"> sich verpflichtet, </w:t>
      </w:r>
      <w:r w:rsidRPr="00C61815">
        <w:rPr>
          <w:u w:val="single"/>
        </w:rPr>
        <w:t>bis 2030 ihre Offshore Wind Kapazität um 150 GW auszubauen, im Bereich Solar um 1 TW</w:t>
      </w:r>
      <w:r>
        <w:t xml:space="preserve">. Im Bereich </w:t>
      </w:r>
      <w:r w:rsidRPr="00C61815">
        <w:rPr>
          <w:u w:val="single"/>
        </w:rPr>
        <w:t>Speicher sollten bis 2030 1500 GW bestehen</w:t>
      </w:r>
      <w:r>
        <w:t xml:space="preserve">, sechsmal mehr als 230 GW, welches im Jahr 2022 besteht. Der Netzausbau soll beschleunigt, werden. 3 b) Pro Jahr soll die </w:t>
      </w:r>
      <w:r w:rsidRPr="00C61815">
        <w:rPr>
          <w:u w:val="single"/>
        </w:rPr>
        <w:t>Energieeffizienz um 4 % erhöht werden</w:t>
      </w:r>
      <w:r>
        <w:t>, dies sei auf der COP28 beschlossen worden. 3 c) Es wird gefordert, dass der Neubau von Kohlekraftwerken unterbleiben soll, Kohlekraftwerke in Industrieländern bis 2030 auslaufen sollten und bis 2040 in anderen Ländern, angestrebt wird die erste Hälfe der 2030er Jahre, also bis 2035, siehe 3 c) i). 3 e) bis 2050 soll Net-Zero erreicht werden und dann spätestens dann fossile Energien nicht mehr aktiv sein, vor 2030 wird aber, so die IEA noch mal ein Verbrauchshöheprunkt fossiler Energien erwartet, bis 2030 sollte dies aber auch 25 % verringert werden und bis 2050 um 80 %. In 3 f) geht es um die ‚</w:t>
      </w:r>
      <w:proofErr w:type="spellStart"/>
      <w:r>
        <w:t>hard-to-abate</w:t>
      </w:r>
      <w:proofErr w:type="spellEnd"/>
      <w:r>
        <w:t xml:space="preserve"> </w:t>
      </w:r>
      <w:proofErr w:type="spellStart"/>
      <w:r>
        <w:t>sectors</w:t>
      </w:r>
      <w:proofErr w:type="spellEnd"/>
      <w:r>
        <w:t>, hier wird auf die Arbeit weiterer Organisationen</w:t>
      </w:r>
      <w:r>
        <w:rPr>
          <w:rStyle w:val="Funotenzeichen"/>
        </w:rPr>
        <w:footnoteReference w:id="283"/>
      </w:r>
      <w:r>
        <w:t xml:space="preserve"> hingewiesen, um Lösungen für die Umstellung etwa im Bereich Ammoniak, Stahl, Zement, Chemieprodukte, Aluminium, Glasproduktion zu finden. Dies ist nur ein Ausschnitt aus der gemeinsamen Erklärung.</w:t>
      </w:r>
      <w:r>
        <w:rPr>
          <w:rStyle w:val="Funotenzeichen"/>
        </w:rPr>
        <w:footnoteReference w:id="284"/>
      </w:r>
      <w:r>
        <w:t xml:space="preserve"> Siehe hierzu auch einen Artikel in der FAZ.</w:t>
      </w:r>
      <w:r>
        <w:rPr>
          <w:rStyle w:val="Funotenzeichen"/>
        </w:rPr>
        <w:footnoteReference w:id="285"/>
      </w:r>
    </w:p>
    <w:p w14:paraId="42DC49BA" w14:textId="77777777" w:rsidR="00112190" w:rsidRDefault="00112190" w:rsidP="00112190"/>
    <w:p w14:paraId="3F501B07" w14:textId="01FEA635" w:rsidR="00941651" w:rsidRDefault="00941651" w:rsidP="00112190">
      <w:r w:rsidRPr="0026219D">
        <w:rPr>
          <w:u w:val="single"/>
        </w:rPr>
        <w:t>G20 Gipfel in Brasilien</w:t>
      </w:r>
      <w:r>
        <w:t xml:space="preserve">. </w:t>
      </w:r>
      <w:r w:rsidR="002D2774">
        <w:t>D</w:t>
      </w:r>
      <w:r w:rsidR="00F059FD">
        <w:t xml:space="preserve">ie Webseite </w:t>
      </w:r>
      <w:r w:rsidR="002D2774">
        <w:t xml:space="preserve">ist </w:t>
      </w:r>
      <w:r w:rsidR="00F059FD">
        <w:t>n</w:t>
      </w:r>
      <w:r w:rsidR="000A2F97">
        <w:t>icht mehr</w:t>
      </w:r>
      <w:r w:rsidR="00F059FD">
        <w:t xml:space="preserve"> aktiv. </w:t>
      </w:r>
      <w:r w:rsidR="000A2F97">
        <w:t xml:space="preserve">Hierzu nur kurz, </w:t>
      </w:r>
      <w:r w:rsidR="00C90062">
        <w:t>hier hatten damals parallel die Verhandlungen zum COP29 Gipfel in Baku stattgefunden, besondere Impulse dafür gab es aus Brasilien nicht</w:t>
      </w:r>
      <w:r w:rsidR="000A2F97">
        <w:t xml:space="preserve">. </w:t>
      </w:r>
      <w:r w:rsidR="00F059FD">
        <w:t>Siehe die Minister-Erklärung bzw. G20 Rio de Janeiro Leaders‘ Declaration hier.</w:t>
      </w:r>
      <w:r w:rsidR="00F059FD">
        <w:rPr>
          <w:rStyle w:val="Funotenzeichen"/>
        </w:rPr>
        <w:footnoteReference w:id="286"/>
      </w:r>
      <w:r w:rsidR="00F059FD">
        <w:t xml:space="preserve"> </w:t>
      </w:r>
      <w:r w:rsidR="00F059FD" w:rsidRPr="00F059FD">
        <w:t xml:space="preserve">Brasilien regt hier an die Gründung einer Task Force on a Global </w:t>
      </w:r>
      <w:proofErr w:type="spellStart"/>
      <w:r w:rsidR="00F059FD" w:rsidRPr="00F059FD">
        <w:t>Mobilization</w:t>
      </w:r>
      <w:proofErr w:type="spellEnd"/>
      <w:r w:rsidR="00F059FD" w:rsidRPr="00F059FD">
        <w:t xml:space="preserve"> </w:t>
      </w:r>
      <w:proofErr w:type="spellStart"/>
      <w:r w:rsidR="00F059FD" w:rsidRPr="00F059FD">
        <w:t>against</w:t>
      </w:r>
      <w:proofErr w:type="spellEnd"/>
      <w:r w:rsidR="00F059FD" w:rsidRPr="00F059FD">
        <w:t xml:space="preserve"> Climate Change (TF-Clima</w:t>
      </w:r>
      <w:r w:rsidR="00B60E47">
        <w:t>te</w:t>
      </w:r>
      <w:r w:rsidR="00F059FD" w:rsidRPr="00F059FD">
        <w:t>), Ziel i</w:t>
      </w:r>
      <w:r w:rsidR="00F059FD">
        <w:t>st es eine private Finanzierung für Entwicklungsländer im Bereich Klima zu verbessern.</w:t>
      </w:r>
      <w:r w:rsidR="00F059FD" w:rsidRPr="00F059FD">
        <w:rPr>
          <w:rStyle w:val="Funotenzeichen"/>
        </w:rPr>
        <w:t xml:space="preserve"> </w:t>
      </w:r>
      <w:r w:rsidR="00F059FD">
        <w:rPr>
          <w:rStyle w:val="Funotenzeichen"/>
        </w:rPr>
        <w:footnoteReference w:id="287"/>
      </w:r>
      <w:r w:rsidR="00F059FD">
        <w:t xml:space="preserve"> </w:t>
      </w:r>
      <w:r w:rsidR="00E426A5">
        <w:t>Dazu wurde der folgende Bericht veröffentlicht.</w:t>
      </w:r>
      <w:r w:rsidR="00E426A5">
        <w:rPr>
          <w:rStyle w:val="Funotenzeichen"/>
        </w:rPr>
        <w:footnoteReference w:id="288"/>
      </w:r>
      <w:r w:rsidR="00E426A5">
        <w:t xml:space="preserve"> </w:t>
      </w:r>
      <w:r w:rsidR="00F059FD">
        <w:t>Das Problem der Abholzung der Wälder wird erwähnt, es gibt einen</w:t>
      </w:r>
      <w:r w:rsidR="00C90062">
        <w:t xml:space="preserve"> brasilianischen</w:t>
      </w:r>
      <w:r w:rsidR="00F059FD">
        <w:t xml:space="preserve"> Plan eine Tropical Forest Forever </w:t>
      </w:r>
      <w:proofErr w:type="spellStart"/>
      <w:r w:rsidR="00F059FD">
        <w:t>Facilicy</w:t>
      </w:r>
      <w:proofErr w:type="spellEnd"/>
      <w:r w:rsidR="00F059FD">
        <w:t xml:space="preserve"> (TFFF) zu gründen.</w:t>
      </w:r>
      <w:r w:rsidR="00F059FD">
        <w:rPr>
          <w:rStyle w:val="Funotenzeichen"/>
        </w:rPr>
        <w:footnoteReference w:id="289"/>
      </w:r>
      <w:r w:rsidR="00C90062">
        <w:t xml:space="preserve"> Der TFFF ist relevant, weil die COP30 Klimakonferenz in Belem, Brasilien, zwischen dem 10. November und 21 November 2025 stattfinden wird und Brasilien viel dran setzen wird, diesen Fond dann zu begründen.</w:t>
      </w:r>
      <w:r w:rsidR="00C90062">
        <w:rPr>
          <w:rStyle w:val="Funotenzeichen"/>
        </w:rPr>
        <w:footnoteReference w:id="290"/>
      </w:r>
      <w:r w:rsidR="00F54AAA">
        <w:t xml:space="preserve"> Der TFFF funktioniert wie folgt: Finanzmärkte investieren in den Fond, zu einem niedrigen Zinssatz, für eine längere Zeitperiode (mehr als 20 Jahre), diese Geld wird aber durch staatliche Garantien abgesichert. Mit diesem Geld werden den Investitionen gemacht, die höhere Gewinne abwerfen. Das so erwirtschaftete Geld kommt dann den Ländern mit Wäldern und Tropenwäldern nach einem bestimmten Schlüssel zugute.</w:t>
      </w:r>
      <w:r w:rsidR="00F54AAA">
        <w:rPr>
          <w:rStyle w:val="Funotenzeichen"/>
        </w:rPr>
        <w:footnoteReference w:id="291"/>
      </w:r>
      <w:r w:rsidR="00F54AAA">
        <w:t xml:space="preserve"> </w:t>
      </w:r>
    </w:p>
    <w:p w14:paraId="6AD6EA6C" w14:textId="77777777" w:rsidR="00CB4241" w:rsidRDefault="00CB4241" w:rsidP="00112190"/>
    <w:p w14:paraId="12DF5D42" w14:textId="63FF00BD" w:rsidR="000A2F97" w:rsidRDefault="00CB4241" w:rsidP="00112190">
      <w:r>
        <w:t>Eine Übersicht für Gipfeldokumente von G7 / G20 gibt es hier von der Bundesregierung.</w:t>
      </w:r>
      <w:r>
        <w:rPr>
          <w:rStyle w:val="Funotenzeichen"/>
        </w:rPr>
        <w:footnoteReference w:id="292"/>
      </w:r>
    </w:p>
    <w:p w14:paraId="423B309E" w14:textId="6B6D3B5E" w:rsidR="00CB4241" w:rsidRDefault="00CB4241" w:rsidP="00112190">
      <w:r>
        <w:t>Im Jahr 2025 hat Südafrika die G20 Präsidentschaft inne.</w:t>
      </w:r>
      <w:r>
        <w:rPr>
          <w:rStyle w:val="Funotenzeichen"/>
        </w:rPr>
        <w:footnoteReference w:id="293"/>
      </w:r>
      <w:r>
        <w:t xml:space="preserve"> Im Jahr 2025 hat Kanada die G7 Präsidentschaft inne.</w:t>
      </w:r>
      <w:r>
        <w:rPr>
          <w:rStyle w:val="Funotenzeichen"/>
        </w:rPr>
        <w:footnoteReference w:id="294"/>
      </w:r>
      <w:r>
        <w:t xml:space="preserve"> Das G7 Center der Universität Toronto ist empfehlenswert.</w:t>
      </w:r>
      <w:r>
        <w:rPr>
          <w:rStyle w:val="Funotenzeichen"/>
        </w:rPr>
        <w:footnoteReference w:id="295"/>
      </w:r>
    </w:p>
    <w:p w14:paraId="664DB0D4" w14:textId="77777777" w:rsidR="00CB4241" w:rsidRPr="00F059FD" w:rsidRDefault="00CB4241" w:rsidP="00112190"/>
    <w:p w14:paraId="18054FCC" w14:textId="1631E4EF" w:rsidR="00112190" w:rsidRDefault="00003E19" w:rsidP="00112190">
      <w:proofErr w:type="spellStart"/>
      <w:r w:rsidRPr="0026219D">
        <w:rPr>
          <w:u w:val="single"/>
        </w:rPr>
        <w:t>Plurilaterale</w:t>
      </w:r>
      <w:proofErr w:type="spellEnd"/>
      <w:r w:rsidRPr="0026219D">
        <w:rPr>
          <w:u w:val="single"/>
        </w:rPr>
        <w:t xml:space="preserve"> und bilaterale Verhandlungen</w:t>
      </w:r>
      <w:r w:rsidR="0026219D">
        <w:t xml:space="preserve">. </w:t>
      </w:r>
      <w:r w:rsidR="00112190">
        <w:t>Neben dem multilateralen Übereinkommen von Paris</w:t>
      </w:r>
      <w:r w:rsidR="00BB76AC">
        <w:t>,</w:t>
      </w:r>
      <w:r w:rsidR="00112190">
        <w:t xml:space="preserve"> gibt es auf internationaler Ebene weitere </w:t>
      </w:r>
      <w:proofErr w:type="spellStart"/>
      <w:r w:rsidR="00112190">
        <w:t>plurilaterale</w:t>
      </w:r>
      <w:proofErr w:type="spellEnd"/>
      <w:r w:rsidR="00112190">
        <w:t xml:space="preserve"> Versuche Emissionsminderungen zwischen Industrie- und Entwicklungsländern auszuhandeln, dies sind u.a. die sog. </w:t>
      </w:r>
      <w:r w:rsidR="00112190" w:rsidRPr="0026219D">
        <w:rPr>
          <w:u w:val="single"/>
        </w:rPr>
        <w:t>Just Energy Transition Partnerships (JETPs)</w:t>
      </w:r>
      <w:r w:rsidR="00112190">
        <w:t xml:space="preserve">, </w:t>
      </w:r>
      <w:r w:rsidR="00112190" w:rsidRPr="0026219D">
        <w:rPr>
          <w:u w:val="single"/>
        </w:rPr>
        <w:t>die im Rahmen der G7 stattfinden sollen</w:t>
      </w:r>
      <w:r w:rsidR="00112190">
        <w:t>. Bei dieser Idee hat Deutschland im Rahmen seiner G7 Präsidentschaft 2022</w:t>
      </w:r>
      <w:r w:rsidR="00112190">
        <w:rPr>
          <w:rStyle w:val="Funotenzeichen"/>
        </w:rPr>
        <w:footnoteReference w:id="296"/>
      </w:r>
      <w:r w:rsidR="00112190">
        <w:t xml:space="preserve"> </w:t>
      </w:r>
      <w:proofErr w:type="gramStart"/>
      <w:r w:rsidR="00112190">
        <w:t>ein Rolle</w:t>
      </w:r>
      <w:proofErr w:type="gramEnd"/>
      <w:r w:rsidR="00112190">
        <w:t xml:space="preserve"> gespielt, siehe auch die Ergebnisse des G7 Treffs auf Schloss Elmau 28. Juni 2022.</w:t>
      </w:r>
      <w:r w:rsidR="00112190">
        <w:rPr>
          <w:rStyle w:val="Funotenzeichen"/>
        </w:rPr>
        <w:footnoteReference w:id="297"/>
      </w:r>
      <w:r w:rsidR="00112190">
        <w:t xml:space="preserve"> Bereits auf der COP26 in Glasgow 2021 wurde eine erste solche Partnerschaft mit Südafrika begonnen, die auch die Bedürfnisse der Minenarbeiter, Jugendlicher, Frauen etc. beachten soll. Dabei geht es um den Kohleausstieg und den Ausbau erneuerbarer Energien. In einer JETP</w:t>
      </w:r>
      <w:r w:rsidR="0045135C">
        <w:t>s</w:t>
      </w:r>
      <w:r w:rsidR="00112190">
        <w:t xml:space="preserve"> Partnerschaft mit Südafrika wurden 9,3 Mrd. zugesagt.</w:t>
      </w:r>
      <w:r w:rsidR="00112190">
        <w:rPr>
          <w:rStyle w:val="Funotenzeichen"/>
        </w:rPr>
        <w:footnoteReference w:id="298"/>
      </w:r>
      <w:r w:rsidR="00112190">
        <w:t xml:space="preserve"> Südafrika selbst plant 99 Mrd. in seinem Just Energy Transition Investment Plan zu investieren.</w:t>
      </w:r>
      <w:r w:rsidR="00112190">
        <w:rPr>
          <w:rStyle w:val="Funotenzeichen"/>
        </w:rPr>
        <w:footnoteReference w:id="299"/>
      </w:r>
    </w:p>
    <w:p w14:paraId="05114A95" w14:textId="77777777" w:rsidR="00B10684" w:rsidRDefault="00B10684" w:rsidP="00B10684"/>
    <w:tbl>
      <w:tblPr>
        <w:tblStyle w:val="Tabellenraster"/>
        <w:tblW w:w="0" w:type="auto"/>
        <w:tblLook w:val="04A0" w:firstRow="1" w:lastRow="0" w:firstColumn="1" w:lastColumn="0" w:noHBand="0" w:noVBand="1"/>
      </w:tblPr>
      <w:tblGrid>
        <w:gridCol w:w="9062"/>
      </w:tblGrid>
      <w:tr w:rsidR="00B10684" w14:paraId="613F854E" w14:textId="77777777" w:rsidTr="00916421">
        <w:tc>
          <w:tcPr>
            <w:tcW w:w="9062" w:type="dxa"/>
          </w:tcPr>
          <w:p w14:paraId="23ED4A13" w14:textId="680E2B0C" w:rsidR="00B10684" w:rsidRDefault="00B10684" w:rsidP="00916421">
            <w:r>
              <w:t xml:space="preserve">Immerhin gab es die Erkenntnis, dass es auf der Ebene der Vereinten Nationen nicht schnell genug geht und dass man bilaterale und </w:t>
            </w:r>
            <w:proofErr w:type="spellStart"/>
            <w:r>
              <w:t>plurilaterale</w:t>
            </w:r>
            <w:proofErr w:type="spellEnd"/>
            <w:r>
              <w:t xml:space="preserve"> Partnerschaften mit Schwellenländern und Dritte-Welt-Ländern ‚direkt‘ eingehen sollte, um den Klimawandel schneller zu bekämpfen.</w:t>
            </w:r>
          </w:p>
        </w:tc>
      </w:tr>
    </w:tbl>
    <w:p w14:paraId="059D7800" w14:textId="77777777" w:rsidR="00B10684" w:rsidRDefault="00B10684" w:rsidP="00112190"/>
    <w:p w14:paraId="44AF9E64" w14:textId="77777777" w:rsidR="001777F4" w:rsidRDefault="00112190" w:rsidP="00112190">
      <w:r>
        <w:t>Die Aushandlung von JETPs wurden von der G7 weiterhin begonnen mit Indien, Indonesien, Senegal (deren Staatenvertreter waren in Elmau anwesend waren) und Vietnam.</w:t>
      </w:r>
      <w:r>
        <w:rPr>
          <w:rStyle w:val="Funotenzeichen"/>
        </w:rPr>
        <w:footnoteReference w:id="300"/>
      </w:r>
      <w:r>
        <w:t xml:space="preserve"> Vietnam hat nun ein </w:t>
      </w:r>
      <w:proofErr w:type="spellStart"/>
      <w:r>
        <w:t>plurilateral</w:t>
      </w:r>
      <w:proofErr w:type="spellEnd"/>
      <w:r>
        <w:t xml:space="preserve"> ausgerichtetes JETPS abgeschlossen, mit der International Partners Group (IPG), die aus der EU, England, USA, Japan, Deutschland, Frankreich, Italien, Kanada, Dänemark und Norwegen besteht.</w:t>
      </w:r>
      <w:r>
        <w:rPr>
          <w:rStyle w:val="Funotenzeichen"/>
        </w:rPr>
        <w:footnoteReference w:id="301"/>
      </w:r>
      <w:r>
        <w:t xml:space="preserve"> </w:t>
      </w:r>
      <w:r w:rsidR="001777F4">
        <w:t>Auch mit Indonesien wurde ein solchen Abkommen abgeschlossen.</w:t>
      </w:r>
      <w:r w:rsidR="001777F4">
        <w:rPr>
          <w:rStyle w:val="Funotenzeichen"/>
        </w:rPr>
        <w:footnoteReference w:id="302"/>
      </w:r>
      <w:r w:rsidR="001777F4">
        <w:t xml:space="preserve"> </w:t>
      </w:r>
    </w:p>
    <w:p w14:paraId="0C9CD962" w14:textId="77777777" w:rsidR="001777F4" w:rsidRDefault="001777F4" w:rsidP="00112190"/>
    <w:p w14:paraId="1E2D08F4" w14:textId="205C3653" w:rsidR="00112190" w:rsidRDefault="00112190" w:rsidP="00112190">
      <w:r>
        <w:t>Mittlerweile ist eine weitere G7 Deklaration hinzugekommen, die vom G7 Deklaration von Hiroshima, mit einem Clean Energy Economy Action Plan.</w:t>
      </w:r>
      <w:r>
        <w:rPr>
          <w:rStyle w:val="Funotenzeichen"/>
        </w:rPr>
        <w:footnoteReference w:id="303"/>
      </w:r>
      <w:r w:rsidR="00BC581F">
        <w:t xml:space="preserve"> Siehe zu den JETPs z.B. auch diese Infos.</w:t>
      </w:r>
      <w:r w:rsidR="00BC581F">
        <w:rPr>
          <w:rStyle w:val="Funotenzeichen"/>
        </w:rPr>
        <w:footnoteReference w:id="304"/>
      </w:r>
    </w:p>
    <w:p w14:paraId="012D47C2" w14:textId="77777777" w:rsidR="001777F4" w:rsidRDefault="001777F4" w:rsidP="001777F4"/>
    <w:p w14:paraId="15340175" w14:textId="3ED10737" w:rsidR="001777F4" w:rsidRDefault="001777F4" w:rsidP="001777F4">
      <w:r>
        <w:lastRenderedPageBreak/>
        <w:t>Verhandlungen mit Indien wurden 2022 beim G7 Gipfel auf Schloss Elmau begonnen.</w:t>
      </w:r>
      <w:r>
        <w:rPr>
          <w:rStyle w:val="Funotenzeichen"/>
        </w:rPr>
        <w:footnoteReference w:id="305"/>
      </w:r>
      <w:r>
        <w:t xml:space="preserve"> Im November 2024 wurde gemeldet, dass Indien kein Interesse an einem solchen JETP-Abkommen hat. Indien </w:t>
      </w:r>
      <w:r w:rsidR="00297EC5">
        <w:t>sei</w:t>
      </w:r>
      <w:r>
        <w:t xml:space="preserve"> stark von Kohlekraftwerken abhängig und hat auch eigene Kohlevorräte, viele Menschen haben in diesem Bereich Arbeit. Indien </w:t>
      </w:r>
      <w:r w:rsidR="00297EC5">
        <w:t>sei</w:t>
      </w:r>
      <w:r>
        <w:t xml:space="preserve"> nicht bereit, das Thema Kohlekraftwerke in ein solches Abkommen einzubeziehen. Staatssekretär Jochen Flasbarth</w:t>
      </w:r>
      <w:r>
        <w:rPr>
          <w:rStyle w:val="Funotenzeichen"/>
        </w:rPr>
        <w:footnoteReference w:id="306"/>
      </w:r>
      <w:r>
        <w:t>, der an den Verhandlungen beteiligt war, hat Indien stattdessen vorgeschlagen, dass man sich nun auf den Aufbau von erneuerbaren Energien konzentrieren sollte, hier hat Indien große Pläne (siehe oben, 500 GW erneuerbare Energien bis 2030</w:t>
      </w:r>
      <w:r>
        <w:rPr>
          <w:rStyle w:val="Funotenzeichen"/>
        </w:rPr>
        <w:footnoteReference w:id="307"/>
      </w:r>
      <w:r>
        <w:t xml:space="preserve">) und dies </w:t>
      </w:r>
      <w:r w:rsidR="00297EC5">
        <w:t xml:space="preserve">sollte </w:t>
      </w:r>
      <w:r>
        <w:t xml:space="preserve">ggf. </w:t>
      </w:r>
      <w:r w:rsidR="00297EC5">
        <w:t>ge</w:t>
      </w:r>
      <w:r>
        <w:t>förder</w:t>
      </w:r>
      <w:r w:rsidR="00297EC5">
        <w:t>t</w:t>
      </w:r>
      <w:r>
        <w:t xml:space="preserve"> </w:t>
      </w:r>
      <w:r w:rsidR="00297EC5">
        <w:t>werden</w:t>
      </w:r>
      <w:r>
        <w:t>.</w:t>
      </w:r>
      <w:r>
        <w:rPr>
          <w:rStyle w:val="Funotenzeichen"/>
        </w:rPr>
        <w:footnoteReference w:id="308"/>
      </w:r>
      <w:r>
        <w:t xml:space="preserve"> Am 15. September 2024 wird berichtet, dass Entwicklungsministerin Svenja Schulze in Indien zu der Investorenkonferenz Re-</w:t>
      </w:r>
      <w:proofErr w:type="spellStart"/>
      <w:r>
        <w:t>Invest</w:t>
      </w:r>
      <w:proofErr w:type="spellEnd"/>
      <w:r>
        <w:t xml:space="preserve"> im Bereich erneuerbare Energien reist, es geht darum deutsche und indische Unternehmen im Bereich erneuerbare Energien zusammenzubringen. Dies ist eine große Konferenz mit 10.000 teilnehmenden Wirtschaftsvertretern, organisiert vom indischen Ministerium für erneuerbare Energien. Deutschland hat auf bilateraler Ebene mit Indien eine </w:t>
      </w:r>
      <w:r w:rsidRPr="006D41E0">
        <w:t xml:space="preserve">„India-Germany </w:t>
      </w:r>
      <w:proofErr w:type="spellStart"/>
      <w:r w:rsidRPr="006D41E0">
        <w:t>Platform</w:t>
      </w:r>
      <w:proofErr w:type="spellEnd"/>
      <w:r w:rsidRPr="006D41E0">
        <w:t xml:space="preserve"> </w:t>
      </w:r>
      <w:proofErr w:type="spellStart"/>
      <w:r w:rsidRPr="006D41E0">
        <w:t>for</w:t>
      </w:r>
      <w:proofErr w:type="spellEnd"/>
      <w:r w:rsidRPr="006D41E0">
        <w:t xml:space="preserve"> Investments in </w:t>
      </w:r>
      <w:proofErr w:type="spellStart"/>
      <w:r w:rsidRPr="006D41E0">
        <w:t>Renewable</w:t>
      </w:r>
      <w:proofErr w:type="spellEnd"/>
      <w:r w:rsidRPr="006D41E0">
        <w:t xml:space="preserve"> Energy Worldwide</w:t>
      </w:r>
      <w:r>
        <w:t xml:space="preserve">“ gegründet und will Kredite für Indien organisieren: die KfW </w:t>
      </w:r>
      <w:proofErr w:type="spellStart"/>
      <w:r>
        <w:t>Entwicklungbank</w:t>
      </w:r>
      <w:proofErr w:type="spellEnd"/>
      <w:r>
        <w:t xml:space="preserve"> nimmt Kredite am Kapitalmarkt auf und Indien muss diese verzinst zurückzahlen.</w:t>
      </w:r>
      <w:r>
        <w:rPr>
          <w:rStyle w:val="Funotenzeichen"/>
        </w:rPr>
        <w:footnoteReference w:id="309"/>
      </w:r>
      <w:r>
        <w:t xml:space="preserve"> Immerhin gibt es also in Indien gewisse Bemühungen und keine vollständige Absage an eine Kooperation. </w:t>
      </w:r>
    </w:p>
    <w:p w14:paraId="3C679C83" w14:textId="77777777" w:rsidR="001777F4" w:rsidRDefault="001777F4" w:rsidP="001777F4"/>
    <w:p w14:paraId="26D88F7B" w14:textId="77777777" w:rsidR="0039004D" w:rsidRDefault="006C08F1" w:rsidP="0039004D">
      <w:bookmarkStart w:id="24" w:name="_Hlk203930113"/>
      <w:r w:rsidRPr="002D2774">
        <w:rPr>
          <w:u w:val="single"/>
        </w:rPr>
        <w:t xml:space="preserve">China hat im Jahr 2020 erklärt, dass es bis 2060 </w:t>
      </w:r>
      <w:r w:rsidR="002D2774">
        <w:rPr>
          <w:u w:val="single"/>
        </w:rPr>
        <w:t>k</w:t>
      </w:r>
      <w:r w:rsidRPr="002D2774">
        <w:rPr>
          <w:u w:val="single"/>
        </w:rPr>
        <w:t>limaneutral sein will</w:t>
      </w:r>
      <w:r>
        <w:t xml:space="preserve">, </w:t>
      </w:r>
      <w:r w:rsidR="00B10684">
        <w:t xml:space="preserve">darauf hat </w:t>
      </w:r>
      <w:r>
        <w:t>Joseph Borell, Hoher Vertreter der Europäischen Union für Außen- und Sicherheitspolitik hat mit dieser Rede</w:t>
      </w:r>
      <w:r w:rsidR="00B10684">
        <w:t xml:space="preserve"> </w:t>
      </w:r>
      <w:r>
        <w:t>reagiert.</w:t>
      </w:r>
      <w:r>
        <w:rPr>
          <w:rStyle w:val="Funotenzeichen"/>
        </w:rPr>
        <w:footnoteReference w:id="310"/>
      </w:r>
      <w:r>
        <w:t xml:space="preserve"> </w:t>
      </w:r>
      <w:bookmarkEnd w:id="24"/>
      <w:r>
        <w:t xml:space="preserve">Einen Monat davor gab es ein virtuelles Treffen mit Xi Jingping, an dem Angela Merkel als Bundeskanzlerin, Ursula von der Leyen als EU-Kommissionspräsidentin und Charles Michel, als Präsident des Europäischen Rates teilnahm. Dabei hatte Angela Merkel einen regelmäßigen, hochrangigen Dialog </w:t>
      </w:r>
      <w:r w:rsidR="007E1809">
        <w:t>über das Thema Klima angeregt und Kooperation bei einem Emissionshandelssystem angeboten.</w:t>
      </w:r>
      <w:r w:rsidR="007E1809">
        <w:rPr>
          <w:rStyle w:val="Funotenzeichen"/>
        </w:rPr>
        <w:footnoteReference w:id="311"/>
      </w:r>
      <w:r w:rsidR="007E1809">
        <w:t xml:space="preserve"> </w:t>
      </w:r>
      <w:bookmarkStart w:id="25" w:name="_Hlk203930146"/>
      <w:r w:rsidR="007E1809">
        <w:t xml:space="preserve">China hat </w:t>
      </w:r>
      <w:r w:rsidR="005B6516">
        <w:t xml:space="preserve">am 1. Februar 2021 </w:t>
      </w:r>
      <w:r w:rsidR="007E1809">
        <w:t>ein Emissionshandelssystem eingeführt</w:t>
      </w:r>
      <w:r w:rsidR="0012632C">
        <w:t xml:space="preserve">, </w:t>
      </w:r>
      <w:r w:rsidR="005B6516">
        <w:t>für 2225 Unternehmen im Energiesektor, anfangs g</w:t>
      </w:r>
      <w:r w:rsidR="002D2774">
        <w:t>ab</w:t>
      </w:r>
      <w:r w:rsidR="005B6516">
        <w:t xml:space="preserve"> es kostenlose Zuteilungen von Berechtigungen. Dadurch wird ein CO2 Preis in China etabliert</w:t>
      </w:r>
      <w:r w:rsidR="007E1809">
        <w:t>.</w:t>
      </w:r>
      <w:r w:rsidR="005B6516">
        <w:t xml:space="preserve"> Dieses System reguliert </w:t>
      </w:r>
      <w:r w:rsidR="002D2774">
        <w:t xml:space="preserve">3.500 Mill. Tonnen CO2 bzw. </w:t>
      </w:r>
      <w:r w:rsidR="005B6516">
        <w:t>3,5 Mrd. Tonnen CO2 und ist damit größer als das EU ETS (weltweit stehen die Emissionen bei 53 Mrd. Tonnen).</w:t>
      </w:r>
      <w:r w:rsidR="005B6516">
        <w:rPr>
          <w:rStyle w:val="Funotenzeichen"/>
        </w:rPr>
        <w:footnoteReference w:id="312"/>
      </w:r>
      <w:r>
        <w:t xml:space="preserve"> </w:t>
      </w:r>
      <w:r w:rsidR="005B6516">
        <w:t>Siehe auch das NDC Dokument von China hier.</w:t>
      </w:r>
      <w:r w:rsidR="005B6516">
        <w:rPr>
          <w:rStyle w:val="Funotenzeichen"/>
        </w:rPr>
        <w:footnoteReference w:id="313"/>
      </w:r>
      <w:r w:rsidR="005B6516">
        <w:t xml:space="preserve"> </w:t>
      </w:r>
      <w:r w:rsidR="002D2774">
        <w:t>Zum Thema Emissionshandel</w:t>
      </w:r>
      <w:r w:rsidR="007E1809">
        <w:t xml:space="preserve"> gab es zuvor ein </w:t>
      </w:r>
      <w:r w:rsidR="002D2774">
        <w:t xml:space="preserve">deutsches </w:t>
      </w:r>
      <w:r w:rsidR="007E1809">
        <w:t xml:space="preserve">GIZ </w:t>
      </w:r>
      <w:r w:rsidR="002D2774">
        <w:t>Entwicklungshilfe bzw. Zusammenarbeits-</w:t>
      </w:r>
      <w:r w:rsidR="007E1809">
        <w:t>Projekt 2012 bis 2023.</w:t>
      </w:r>
      <w:r w:rsidR="007E1809">
        <w:rPr>
          <w:rStyle w:val="Funotenzeichen"/>
        </w:rPr>
        <w:footnoteReference w:id="314"/>
      </w:r>
      <w:r>
        <w:t xml:space="preserve"> </w:t>
      </w:r>
      <w:bookmarkEnd w:id="25"/>
      <w:r w:rsidR="0012632C">
        <w:t xml:space="preserve">Es gab in den Jahren zuvor eine ganze Reihe von Projekten mit China, mit der GIZ </w:t>
      </w:r>
      <w:r w:rsidR="0012632C">
        <w:lastRenderedPageBreak/>
        <w:t xml:space="preserve">und dem Bundesministerium für Umwelt u.a., siehe </w:t>
      </w:r>
      <w:r w:rsidR="002D2774">
        <w:t>diese</w:t>
      </w:r>
      <w:r w:rsidR="0012632C">
        <w:t xml:space="preserve"> Übersicht.</w:t>
      </w:r>
      <w:r w:rsidR="0012632C">
        <w:rPr>
          <w:rStyle w:val="Funotenzeichen"/>
        </w:rPr>
        <w:footnoteReference w:id="315"/>
      </w:r>
      <w:r w:rsidR="005B6516">
        <w:t xml:space="preserve"> </w:t>
      </w:r>
      <w:r w:rsidR="0012632C">
        <w:t xml:space="preserve">Die Einführung des </w:t>
      </w:r>
      <w:r w:rsidR="002D2774">
        <w:t xml:space="preserve">EU </w:t>
      </w:r>
      <w:r w:rsidR="0012632C">
        <w:t xml:space="preserve">CBAM 2022 hat </w:t>
      </w:r>
      <w:r w:rsidR="002D2774">
        <w:t xml:space="preserve">China </w:t>
      </w:r>
      <w:r w:rsidR="0012632C">
        <w:t>einen Impuls gegeben, sich mit dem Thema CO2 Bestandsaufnahmen für die ganze Wirtschaft zu beschäftigen, um später nicht eine ausländische Einschätzung einfach so hinnehmen zu müssen.</w:t>
      </w:r>
      <w:r w:rsidR="0012632C">
        <w:rPr>
          <w:rStyle w:val="Funotenzeichen"/>
        </w:rPr>
        <w:footnoteReference w:id="316"/>
      </w:r>
      <w:r w:rsidR="002D2774">
        <w:t xml:space="preserve"> </w:t>
      </w:r>
      <w:r w:rsidR="00B5381F">
        <w:t>Die EU und China haben zum Anlass des EU-China Gipfeltreffens am 24. Juli 2025 ihre weitere Zusammenarbeit zur Bekämpfung des Klimawandels erklärt, mit weiterer bilateraler Kooperation und multilateraler Kooperation für einen erfolgreichen Abschluss des COP30 Treffens der UNFCCC vom 10. bis 21. November 2025 in Brasilien.</w:t>
      </w:r>
      <w:r w:rsidR="00B5381F">
        <w:rPr>
          <w:rStyle w:val="Funotenzeichen"/>
        </w:rPr>
        <w:footnoteReference w:id="317"/>
      </w:r>
      <w:r w:rsidR="0039004D">
        <w:t xml:space="preserve"> Aktuell hat Chinas Präsident Xi Jinping am 25.09.2025 beim kurzen Klimagipfel während der UN-Vollversammlung Ende September 2025 versprochen, dass China bis 2025 seine Treibhausemissionen um 7 bis 10 % senken will und die Kapazität Chinas erneuerbaren Energien </w:t>
      </w:r>
      <w:proofErr w:type="spellStart"/>
      <w:r w:rsidR="0039004D">
        <w:t>versechsfachen</w:t>
      </w:r>
      <w:proofErr w:type="spellEnd"/>
      <w:r w:rsidR="0039004D">
        <w:t xml:space="preserve"> will.</w:t>
      </w:r>
      <w:r w:rsidR="0039004D">
        <w:rPr>
          <w:rStyle w:val="Funotenzeichen"/>
        </w:rPr>
        <w:footnoteReference w:id="318"/>
      </w:r>
      <w:r w:rsidR="0039004D">
        <w:t xml:space="preserve"> China will weiterhin den Anteil nichtfossiler Brennstoff am Gesamtenergieverbrauch auf mehr als 30 % bringen.</w:t>
      </w:r>
      <w:r w:rsidR="0039004D">
        <w:rPr>
          <w:rStyle w:val="Funotenzeichen"/>
        </w:rPr>
        <w:footnoteReference w:id="319"/>
      </w:r>
      <w:r w:rsidR="0039004D">
        <w:t xml:space="preserve"> </w:t>
      </w:r>
    </w:p>
    <w:p w14:paraId="0B6A0506" w14:textId="77777777" w:rsidR="00B10684" w:rsidRDefault="00B10684" w:rsidP="00112190"/>
    <w:tbl>
      <w:tblPr>
        <w:tblStyle w:val="Tabellenraster"/>
        <w:tblW w:w="0" w:type="auto"/>
        <w:tblLook w:val="04A0" w:firstRow="1" w:lastRow="0" w:firstColumn="1" w:lastColumn="0" w:noHBand="0" w:noVBand="1"/>
      </w:tblPr>
      <w:tblGrid>
        <w:gridCol w:w="9062"/>
      </w:tblGrid>
      <w:tr w:rsidR="00B10684" w14:paraId="09FA7E84" w14:textId="77777777" w:rsidTr="00B10684">
        <w:tc>
          <w:tcPr>
            <w:tcW w:w="9062" w:type="dxa"/>
          </w:tcPr>
          <w:p w14:paraId="7356F501" w14:textId="77777777" w:rsidR="00B10684" w:rsidRDefault="00B10684" w:rsidP="00B10684">
            <w:r>
              <w:t xml:space="preserve">Schade ist, dass es bislang kein multilaterales oder bilaterales Abkommen mit China gibt, </w:t>
            </w:r>
            <w:proofErr w:type="gramStart"/>
            <w:r>
              <w:t>das</w:t>
            </w:r>
            <w:proofErr w:type="gramEnd"/>
            <w:r>
              <w:t xml:space="preserve"> eine Lösung dafür anstrebt, was mit den vielen Kohlekraftwerke in China passiert. </w:t>
            </w:r>
          </w:p>
          <w:p w14:paraId="6A022CA9" w14:textId="77777777" w:rsidR="00B10684" w:rsidRDefault="00B10684" w:rsidP="00B10684"/>
          <w:p w14:paraId="5EF22175" w14:textId="0A45BDE8" w:rsidR="00B10684" w:rsidRDefault="00B10684" w:rsidP="00B10684">
            <w:r>
              <w:t xml:space="preserve">Schade ist, dass es mit Indien keine Diskussion darüber gibt bzw. gab, dass man die Kohlekraftwerke vielleicht nicht abreißen, dann aber wenigstens das CO2 an der Punktquelle auffangen könnte, </w:t>
            </w:r>
            <w:r w:rsidR="0026219D">
              <w:t>wobei man Schwefel und andere Inhaltsstoffe der Kohleverbrennung aus dem CO2 entfernen muss,</w:t>
            </w:r>
            <w:r>
              <w:t xml:space="preserve"> da</w:t>
            </w:r>
            <w:r w:rsidR="0026219D">
              <w:t xml:space="preserve">s wurde u.a. im </w:t>
            </w:r>
            <w:r>
              <w:t>Fraunhofer Projekt UMSICHT untersucht.</w:t>
            </w:r>
            <w:r>
              <w:rPr>
                <w:rStyle w:val="Funotenzeichen"/>
              </w:rPr>
              <w:footnoteReference w:id="320"/>
            </w:r>
            <w:r>
              <w:t xml:space="preserv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tc>
      </w:tr>
    </w:tbl>
    <w:p w14:paraId="1DB3AAB4" w14:textId="77777777" w:rsidR="00B10684" w:rsidRDefault="00B10684" w:rsidP="00112190"/>
    <w:p w14:paraId="341BAF07" w14:textId="31CC7324" w:rsidR="00112190" w:rsidRDefault="00112190" w:rsidP="00112190">
      <w:r w:rsidRPr="0026219D">
        <w:rPr>
          <w:u w:val="single"/>
        </w:rPr>
        <w:t>Am 07.12.2023 hat die Bundesregierung eine Klimaaußenpolitikstrategie formuliert</w:t>
      </w:r>
      <w:r>
        <w:t xml:space="preserve">. In diesem Text gibt es zum Schluss einen Überblick über mehrere Partnerschaftsansätze, neben den </w:t>
      </w:r>
      <w:proofErr w:type="spellStart"/>
      <w:r>
        <w:t>plurilateralen</w:t>
      </w:r>
      <w:proofErr w:type="spellEnd"/>
      <w:r>
        <w:t xml:space="preserve"> JETPs auch bilaterale Partnerschaften, z.B. Klima- und Entwicklungspartnerschaften, Energiepartnerschaften, Energiedialoge, Wasserstoffpartnerschaften und Waldpartnerschaften. Erwähnung findet auch der Beschluss des Koalitionsausschusses zum Abwehrschirm 29.09.2022, Zweck ist die Erschließung neuer Gasvorkommen, zur Förderung von LNG-Gas, aufgrund des Ausfalls russischer Lieferungen.</w:t>
      </w:r>
      <w:r w:rsidRPr="000D76BA">
        <w:rPr>
          <w:rStyle w:val="Funotenzeichen"/>
        </w:rPr>
        <w:t xml:space="preserve"> </w:t>
      </w:r>
      <w:r>
        <w:t>In der Ukrainekrise gehört auch die Erschließung neuer LNG-Gas Lieferanten zur Klimaaußenpolitik.</w:t>
      </w:r>
      <w:r>
        <w:rPr>
          <w:rStyle w:val="Funotenzeichen"/>
        </w:rPr>
        <w:footnoteReference w:id="321"/>
      </w:r>
      <w:r>
        <w:t xml:space="preserve"> Bilaterale Partnerschaften Deutschland im Klimabereich bestehen mit Pakistan, Serbien, Ruanda und Indien.</w:t>
      </w:r>
      <w:r w:rsidRPr="00EB7C65">
        <w:rPr>
          <w:rStyle w:val="Funotenzeichen"/>
        </w:rPr>
        <w:t xml:space="preserve"> </w:t>
      </w:r>
      <w:r>
        <w:rPr>
          <w:rStyle w:val="Funotenzeichen"/>
        </w:rPr>
        <w:footnoteReference w:id="322"/>
      </w:r>
      <w:r>
        <w:t xml:space="preserve"> Zu letzterem gehört das Indisch-Deutsche ‚Partnership </w:t>
      </w:r>
      <w:proofErr w:type="spellStart"/>
      <w:r>
        <w:t>for</w:t>
      </w:r>
      <w:proofErr w:type="spellEnd"/>
      <w:r>
        <w:t xml:space="preserve"> Green and </w:t>
      </w:r>
      <w:proofErr w:type="spellStart"/>
      <w:r>
        <w:t>Sustainable</w:t>
      </w:r>
      <w:proofErr w:type="spellEnd"/>
      <w:r>
        <w:t xml:space="preserve"> Development, vom 2. Mai 2022.</w:t>
      </w:r>
      <w:r w:rsidRPr="00EB7C65">
        <w:rPr>
          <w:rStyle w:val="Funotenzeichen"/>
        </w:rPr>
        <w:t xml:space="preserve"> </w:t>
      </w:r>
      <w:r>
        <w:rPr>
          <w:rStyle w:val="Funotenzeichen"/>
        </w:rPr>
        <w:footnoteReference w:id="323"/>
      </w:r>
      <w:r>
        <w:t xml:space="preserve"> </w:t>
      </w:r>
      <w:r w:rsidR="003451BB">
        <w:t xml:space="preserve">Hierzu soll eine Arbeitsgruppe gehören, die ein enges Netzwerk im Bereich grüner Wasserstoff aufbauen soll, in dem Indien und Deutschland auch zwischen Industrie und Forschungsinstituten kooperieren soll. Deutschland möchte im Bereich vom grünen Wasserstoff in Indien auch investieren, in der Vereinbarung ist ein Betrag von 10 Mrd. </w:t>
      </w:r>
      <w:r w:rsidR="003451BB">
        <w:lastRenderedPageBreak/>
        <w:t>Euro Investitionen bis 2030 genannt. Indien ist an weiteren Initiativen beteiligt, der multilateralen Solarallianz (ISA)</w:t>
      </w:r>
      <w:r w:rsidR="003451BB">
        <w:rPr>
          <w:rStyle w:val="Funotenzeichen"/>
        </w:rPr>
        <w:footnoteReference w:id="324"/>
      </w:r>
      <w:r w:rsidR="003451BB">
        <w:t xml:space="preserve"> und die </w:t>
      </w:r>
      <w:proofErr w:type="spellStart"/>
      <w:r w:rsidR="003451BB">
        <w:t>One</w:t>
      </w:r>
      <w:proofErr w:type="spellEnd"/>
      <w:r w:rsidR="003451BB">
        <w:t xml:space="preserve"> Sun, </w:t>
      </w:r>
      <w:proofErr w:type="spellStart"/>
      <w:r w:rsidR="003451BB">
        <w:t>One</w:t>
      </w:r>
      <w:proofErr w:type="spellEnd"/>
      <w:r w:rsidR="003451BB">
        <w:t xml:space="preserve"> World, </w:t>
      </w:r>
      <w:proofErr w:type="spellStart"/>
      <w:r w:rsidR="003451BB">
        <w:t>One</w:t>
      </w:r>
      <w:proofErr w:type="spellEnd"/>
      <w:r w:rsidR="003451BB">
        <w:t xml:space="preserve"> </w:t>
      </w:r>
      <w:proofErr w:type="spellStart"/>
      <w:r w:rsidR="003451BB">
        <w:t>Grid</w:t>
      </w:r>
      <w:proofErr w:type="spellEnd"/>
      <w:r w:rsidR="003451BB">
        <w:t xml:space="preserve"> – Green Grids Initiative (OSWOG-GGI)</w:t>
      </w:r>
      <w:r w:rsidR="003451BB">
        <w:rPr>
          <w:rStyle w:val="Funotenzeichen"/>
        </w:rPr>
        <w:footnoteReference w:id="325"/>
      </w:r>
      <w:r w:rsidR="003451BB">
        <w:t xml:space="preserve"> und arbeitet hier etwa mit England zusammen.</w:t>
      </w:r>
      <w:r w:rsidR="003451BB">
        <w:rPr>
          <w:rStyle w:val="Funotenzeichen"/>
        </w:rPr>
        <w:footnoteReference w:id="326"/>
      </w:r>
      <w:r w:rsidR="003451BB">
        <w:t xml:space="preserve"> Wie effektiv diese Initiativen verfolgt werden, ist hier nicht bekannt.</w:t>
      </w:r>
      <w:r>
        <w:t xml:space="preserve"> Bereich Wasserstoff sind viele Länder von Deutschland auf eine Partnerschaft hin angesprochen worden</w:t>
      </w:r>
      <w:r>
        <w:rPr>
          <w:rStyle w:val="Funotenzeichen"/>
        </w:rPr>
        <w:footnoteReference w:id="327"/>
      </w:r>
      <w:r>
        <w:t>, siehe die Internationale Power-</w:t>
      </w:r>
      <w:proofErr w:type="spellStart"/>
      <w:r>
        <w:t>to</w:t>
      </w:r>
      <w:proofErr w:type="spellEnd"/>
      <w:r>
        <w:t>-X Webseite</w:t>
      </w:r>
      <w:r>
        <w:rPr>
          <w:rStyle w:val="Funotenzeichen"/>
        </w:rPr>
        <w:footnoteReference w:id="328"/>
      </w:r>
      <w:r>
        <w:t xml:space="preserve"> oder etwa die Agora Analyse des Wasserstoffpotentials in Argentinien.</w:t>
      </w:r>
      <w:r>
        <w:rPr>
          <w:rStyle w:val="Funotenzeichen"/>
        </w:rPr>
        <w:footnoteReference w:id="329"/>
      </w:r>
      <w:r>
        <w:t xml:space="preserve"> Aktuell hat Bundeswirtschaftsminister Habeck in Algerien für eine Zusammenarbeit im Bereich erneuerbare Energien und Wasserstoff geworben</w:t>
      </w:r>
      <w:r>
        <w:rPr>
          <w:rStyle w:val="Funotenzeichen"/>
        </w:rPr>
        <w:footnoteReference w:id="330"/>
      </w:r>
      <w:r>
        <w:t>, letztes Jahr haben die Niederlande mit Marokko eine Absichtserklärung für ein weiterge</w:t>
      </w:r>
      <w:r w:rsidR="002A6805">
        <w:t>he</w:t>
      </w:r>
      <w:r>
        <w:t>ndes Wasserstoffabkommen unterzeichnet.</w:t>
      </w:r>
      <w:r>
        <w:rPr>
          <w:rStyle w:val="Funotenzeichen"/>
        </w:rPr>
        <w:footnoteReference w:id="331"/>
      </w:r>
      <w:r>
        <w:t xml:space="preserve"> Das Bundesministerium für Umwelt, Naturschutz, nukleare Sicherheit und Verbraucherschutz verwaltet das Power-</w:t>
      </w:r>
      <w:proofErr w:type="spellStart"/>
      <w:r>
        <w:t>to</w:t>
      </w:r>
      <w:proofErr w:type="spellEnd"/>
      <w:r>
        <w:t xml:space="preserve">-X Programm, darunter auch ein Projekt mit Brasilien zu alternativen Kraftstoffen für die Luftfahrt (Brasilien </w:t>
      </w:r>
      <w:proofErr w:type="spellStart"/>
      <w:r>
        <w:t>ProQR</w:t>
      </w:r>
      <w:proofErr w:type="spellEnd"/>
      <w:r>
        <w:t>).</w:t>
      </w:r>
      <w:r>
        <w:rPr>
          <w:rStyle w:val="Funotenzeichen"/>
        </w:rPr>
        <w:footnoteReference w:id="332"/>
      </w:r>
      <w:r w:rsidR="003D3BFE">
        <w:t xml:space="preserve"> </w:t>
      </w:r>
      <w:r w:rsidR="00477E07">
        <w:t>Siehe weiter unten den Punkt Deutschland</w:t>
      </w:r>
      <w:r w:rsidR="00775E1E">
        <w:t>, dort w</w:t>
      </w:r>
      <w:r w:rsidR="007851FF">
        <w:t>erden erste mehrere Erfolgsgeschichten präsentiert</w:t>
      </w:r>
      <w:r w:rsidR="00775E1E">
        <w:t>.</w:t>
      </w:r>
    </w:p>
    <w:p w14:paraId="1C3C03F8" w14:textId="77777777" w:rsidR="00477E07" w:rsidRDefault="00477E07" w:rsidP="00112190"/>
    <w:p w14:paraId="6A669455" w14:textId="7C2BC3EB" w:rsidR="00112190" w:rsidRDefault="00112190" w:rsidP="00112190">
      <w:r>
        <w:t xml:space="preserve">Der von der deutschen G20 Präsidentschaft initiierte </w:t>
      </w:r>
      <w:r w:rsidRPr="0026219D">
        <w:rPr>
          <w:u w:val="single"/>
        </w:rPr>
        <w:t xml:space="preserve">Compact </w:t>
      </w:r>
      <w:proofErr w:type="spellStart"/>
      <w:r w:rsidRPr="0026219D">
        <w:rPr>
          <w:u w:val="single"/>
        </w:rPr>
        <w:t>for</w:t>
      </w:r>
      <w:proofErr w:type="spellEnd"/>
      <w:r w:rsidRPr="0026219D">
        <w:rPr>
          <w:u w:val="single"/>
        </w:rPr>
        <w:t xml:space="preserve"> </w:t>
      </w:r>
      <w:proofErr w:type="spellStart"/>
      <w:r w:rsidRPr="0026219D">
        <w:rPr>
          <w:u w:val="single"/>
        </w:rPr>
        <w:t>Africa</w:t>
      </w:r>
      <w:proofErr w:type="spellEnd"/>
      <w:r w:rsidRPr="00831E9E">
        <w:t xml:space="preserve"> </w:t>
      </w:r>
      <w:r>
        <w:t xml:space="preserve">hat das Ziel enger mit Afrika zusammenzuarbeiten, u.a. auch einen G20 Sitz für Afrika zu ermöglichen, sowie Privatinvestitionen in Afrika zu stärken, wobei ein Aspekt ist, dass </w:t>
      </w:r>
      <w:r w:rsidRPr="00831E9E">
        <w:t>Wasserstoff aus dem Aus</w:t>
      </w:r>
      <w:r>
        <w:t xml:space="preserve">land, auch aus Afrika, etwa Namibia, gekauft werden soll. Ein Treffen dazu fand am 20.11.2023 statt. Der Compact </w:t>
      </w:r>
      <w:proofErr w:type="spellStart"/>
      <w:r>
        <w:t>for</w:t>
      </w:r>
      <w:proofErr w:type="spellEnd"/>
      <w:r>
        <w:t xml:space="preserve"> </w:t>
      </w:r>
      <w:proofErr w:type="spellStart"/>
      <w:r>
        <w:t>Africa</w:t>
      </w:r>
      <w:proofErr w:type="spellEnd"/>
      <w:r>
        <w:t xml:space="preserve"> ist im Finanzbereich mit der </w:t>
      </w:r>
      <w:proofErr w:type="spellStart"/>
      <w:r>
        <w:t>Africa</w:t>
      </w:r>
      <w:proofErr w:type="spellEnd"/>
      <w:r>
        <w:t xml:space="preserve"> Advisory Gruppe der G20 verbunden, die auch mit Weltbank, IWF und afrikanischer Entwicklungsbank zusammenarbeitet.</w:t>
      </w:r>
      <w:r>
        <w:rPr>
          <w:rStyle w:val="Funotenzeichen"/>
        </w:rPr>
        <w:footnoteReference w:id="333"/>
      </w:r>
      <w:r w:rsidR="00A25C61">
        <w:t xml:space="preserve"> In Namibia ist das Projekt </w:t>
      </w:r>
      <w:proofErr w:type="spellStart"/>
      <w:r w:rsidR="00A25C61">
        <w:t>Oshivela</w:t>
      </w:r>
      <w:proofErr w:type="spellEnd"/>
      <w:r w:rsidR="00A25C61">
        <w:t xml:space="preserve"> (oder </w:t>
      </w:r>
      <w:proofErr w:type="spellStart"/>
      <w:r w:rsidR="00A25C61">
        <w:t>HyIron</w:t>
      </w:r>
      <w:proofErr w:type="spellEnd"/>
      <w:r w:rsidR="00A25C61">
        <w:t>), die erste CO2-freie Eisenproduktion in Afrika, siehe Pressemitteilung des BMWK vom 11.04.2025, erfolgreich durchgeführt worden. Dort wird direkt reduziertes Eisenerz zu Eisen umgewandelt, mit einem 12 MW Elektroly</w:t>
      </w:r>
      <w:r w:rsidR="00074946">
        <w:t>s</w:t>
      </w:r>
      <w:r w:rsidR="00A25C61">
        <w:t>eur, der mit einer Solaranlage betrieben wird. Die Anlage produziert jährlich 15.000 Tonnen grünes Eisen. Es sind zwei Erweit</w:t>
      </w:r>
      <w:r w:rsidR="00074946">
        <w:t>er</w:t>
      </w:r>
      <w:r w:rsidR="00A25C61">
        <w:t>ungsphasen geplant. Dieses Projekt wurde mit deutscher Unterstützung umgesetzt und ist Teil der Nationalen Wasserstoffstrategie und unterstützt die Wasserstoff-Importstrategie, siehe hier.</w:t>
      </w:r>
      <w:r w:rsidR="00A25C61">
        <w:rPr>
          <w:rStyle w:val="Funotenzeichen"/>
        </w:rPr>
        <w:footnoteReference w:id="334"/>
      </w:r>
      <w:r>
        <w:t xml:space="preserve"> Eine Initiative, die </w:t>
      </w:r>
      <w:r>
        <w:lastRenderedPageBreak/>
        <w:t xml:space="preserve">im Rahmen der Entwicklungshilfe den Ausbau erneuerbarer Energien u.a. in Afrika fördern soll, ist </w:t>
      </w:r>
      <w:proofErr w:type="spellStart"/>
      <w:r>
        <w:t>Get.invest</w:t>
      </w:r>
      <w:proofErr w:type="spellEnd"/>
      <w:r>
        <w:t>.</w:t>
      </w:r>
      <w:r>
        <w:rPr>
          <w:rStyle w:val="Funotenzeichen"/>
        </w:rPr>
        <w:footnoteReference w:id="335"/>
      </w:r>
    </w:p>
    <w:p w14:paraId="4BCBBE7D" w14:textId="499D4608" w:rsidR="00D7155F" w:rsidRDefault="00D7155F" w:rsidP="00D7155F">
      <w:r>
        <w:t>- Dies und die G7 Hiroshima Resilient Inclusive Supply Chain Enhancement (RISE) Partnership Initiative zwischen der G7, der Weltbank und Afrika scheint Bundeskanzler Scholz gemeint haben, als er in Serbien in der Pressekonferenz gesprochen hat, als es um die Lithiummine ging, hier hat er darauf hinweisen, dass es in Abkehr zur Vergangenheit nun auch darum geht, dass Afrika und andere Länder weitere Schritte der Wertschöpfung (Schmelze) auf eigenem Boden ausführen soll und dass dafür auch finanzielle Hilfen bereit</w:t>
      </w:r>
      <w:r w:rsidR="00A25C61">
        <w:t>gestellt werden sollen</w:t>
      </w:r>
      <w:r>
        <w:t>.</w:t>
      </w:r>
      <w:r w:rsidR="00A25C61">
        <w:rPr>
          <w:rStyle w:val="Funotenzeichen"/>
        </w:rPr>
        <w:footnoteReference w:id="336"/>
      </w:r>
      <w:r>
        <w:t xml:space="preserv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p w14:paraId="7C55692D" w14:textId="77777777" w:rsidR="00112190" w:rsidRDefault="00112190" w:rsidP="00112190">
      <w:r>
        <w:t>--- Forschungsfragen: W</w:t>
      </w:r>
      <w:r w:rsidRPr="00330A38">
        <w:t xml:space="preserve">elche weiteren </w:t>
      </w:r>
      <w:proofErr w:type="spellStart"/>
      <w:r w:rsidRPr="00330A38">
        <w:t>plurilateralen</w:t>
      </w:r>
      <w:proofErr w:type="spellEnd"/>
      <w:r w:rsidRPr="00330A38">
        <w:t xml:space="preserve"> und bilateralen Initiativen gibt </w:t>
      </w:r>
      <w:r>
        <w:t>weltweit, etwa der USA oder Japan mit Entwicklungsländern oder von Australien</w:t>
      </w:r>
      <w:r w:rsidRPr="00330A38">
        <w:t xml:space="preserve">? </w:t>
      </w:r>
      <w:r>
        <w:t>Oder auch der Ölländer?</w:t>
      </w:r>
    </w:p>
    <w:p w14:paraId="03530956" w14:textId="77777777" w:rsidR="00CA3799" w:rsidRDefault="00CA3799" w:rsidP="00CA3799"/>
    <w:tbl>
      <w:tblPr>
        <w:tblStyle w:val="Tabellenraster"/>
        <w:tblW w:w="0" w:type="auto"/>
        <w:tblLook w:val="04A0" w:firstRow="1" w:lastRow="0" w:firstColumn="1" w:lastColumn="0" w:noHBand="0" w:noVBand="1"/>
      </w:tblPr>
      <w:tblGrid>
        <w:gridCol w:w="9062"/>
      </w:tblGrid>
      <w:tr w:rsidR="00CA3799" w14:paraId="0B1A67CE" w14:textId="77777777" w:rsidTr="00FB0DD1">
        <w:tc>
          <w:tcPr>
            <w:tcW w:w="9062" w:type="dxa"/>
          </w:tcPr>
          <w:p w14:paraId="2CD2E19C" w14:textId="77777777" w:rsidR="00F276B0" w:rsidRDefault="00CA3799" w:rsidP="00FB0DD1">
            <w:r>
              <w:t xml:space="preserve">Ich habe den Wert nicht überprüft, zum Nachdenken über die Dimensionen führt er schon: Die Wochenzeitschrift Die Zeit gibt auf eine Infoseite mit Grafiken zur Klimakrise an, dass die ‚Fossilkonzerne‘ 2022 4000 Mrd. US$ Gewinne gemacht haben und dies </w:t>
            </w:r>
            <w:r w:rsidR="006D528C">
              <w:t xml:space="preserve">wurde dort mit </w:t>
            </w:r>
            <w:r>
              <w:t>den 100 Mrd. US$ für Klimaschutz</w:t>
            </w:r>
            <w:r w:rsidR="006D528C">
              <w:t>, der im Pariser Übereinkommen für die Entwicklungsländer vorgesehen war (seit Baku COP29 300 Mrd. bis 2035),</w:t>
            </w:r>
            <w:r>
              <w:t xml:space="preserve"> gegenübergestellt.</w:t>
            </w:r>
            <w:r>
              <w:rPr>
                <w:rStyle w:val="Funotenzeichen"/>
              </w:rPr>
              <w:footnoteReference w:id="337"/>
            </w:r>
            <w:r>
              <w:t xml:space="preserve"> </w:t>
            </w:r>
          </w:p>
          <w:p w14:paraId="13A2F73C" w14:textId="77777777" w:rsidR="00F276B0" w:rsidRDefault="00F276B0" w:rsidP="00FB0DD1"/>
          <w:p w14:paraId="4A2583BF" w14:textId="0A6A8E6C" w:rsidR="00BE1EDF" w:rsidRDefault="002B55DD" w:rsidP="00FB0DD1">
            <w:r>
              <w:t>Als Kontrast kann man hier</w:t>
            </w:r>
            <w:r w:rsidR="00E426A5">
              <w:t>zu</w:t>
            </w:r>
            <w:r w:rsidR="00074946">
              <w:t xml:space="preserve"> </w:t>
            </w:r>
            <w:proofErr w:type="gramStart"/>
            <w:r w:rsidR="00074946">
              <w:t>IEA</w:t>
            </w:r>
            <w:r>
              <w:t xml:space="preserve"> </w:t>
            </w:r>
            <w:r w:rsidR="00074946">
              <w:t>Zahlen</w:t>
            </w:r>
            <w:proofErr w:type="gramEnd"/>
            <w:r w:rsidR="00074946">
              <w:t xml:space="preserve"> </w:t>
            </w:r>
            <w:r>
              <w:t>setzen,</w:t>
            </w:r>
            <w:r w:rsidR="00BE1EDF">
              <w:t xml:space="preserve"> dass 2024 ca. 3</w:t>
            </w:r>
            <w:r w:rsidR="00E426A5">
              <w:t>1</w:t>
            </w:r>
            <w:r w:rsidR="00BE1EDF">
              <w:t xml:space="preserve">00 Mrd. Investitionen in Energie geflossen sind, </w:t>
            </w:r>
            <w:r w:rsidR="00693D64">
              <w:t xml:space="preserve">es sind </w:t>
            </w:r>
            <w:r w:rsidR="00BE1EDF">
              <w:t xml:space="preserve">2000 Mrd. in </w:t>
            </w:r>
            <w:r>
              <w:t xml:space="preserve">‚clean </w:t>
            </w:r>
            <w:proofErr w:type="spellStart"/>
            <w:r>
              <w:t>energy</w:t>
            </w:r>
            <w:proofErr w:type="spellEnd"/>
            <w:r>
              <w:t>‘</w:t>
            </w:r>
            <w:r w:rsidR="00BE1EDF">
              <w:t>, 1100 Mrd. in fossile Energien</w:t>
            </w:r>
            <w:r>
              <w:t xml:space="preserve">, zuvor war das Verhältnis eher 1:1. ‚Clean </w:t>
            </w:r>
            <w:proofErr w:type="spellStart"/>
            <w:r>
              <w:t>energy</w:t>
            </w:r>
            <w:proofErr w:type="spellEnd"/>
            <w:r>
              <w:t>‘ wird hier von der IEA aber breit definiert: erneuerbare Energien, Energieeffizienzsteigerung, Netzausbau, Speicher, Nuklearenergie, E-Fuels / Ethanol. Soweit man das Kastendiagramm hier deuten kann, ich habe mit Zollstock ausgemessen und mit Dreisatz gerechnet lagen die Investitionen direkt in erneuerbare Energien</w:t>
            </w:r>
            <w:r w:rsidR="00693D64">
              <w:t>, offenbar u.a. Solar- und Windparks,</w:t>
            </w:r>
            <w:r>
              <w:t xml:space="preserve"> ca. bei </w:t>
            </w:r>
            <w:r w:rsidR="00E426A5">
              <w:t>760 Mrd., also immer noch unter den Investitionen in fossile Energien.</w:t>
            </w:r>
            <w:r>
              <w:rPr>
                <w:rStyle w:val="Funotenzeichen"/>
              </w:rPr>
              <w:footnoteReference w:id="338"/>
            </w:r>
            <w:r>
              <w:t xml:space="preserve"> </w:t>
            </w:r>
            <w:r w:rsidR="00E426A5">
              <w:t xml:space="preserve">(diese Statistik finde ich auf der </w:t>
            </w:r>
            <w:proofErr w:type="gramStart"/>
            <w:r w:rsidR="00E426A5">
              <w:t>IEA Webseite</w:t>
            </w:r>
            <w:proofErr w:type="gramEnd"/>
            <w:r w:rsidR="00E426A5">
              <w:t xml:space="preserve"> nicht)</w:t>
            </w:r>
          </w:p>
          <w:p w14:paraId="46757C2F" w14:textId="77777777" w:rsidR="00BE1EDF" w:rsidRDefault="00BE1EDF" w:rsidP="00FB0DD1"/>
          <w:p w14:paraId="464D40A5" w14:textId="5743372E" w:rsidR="006D528C" w:rsidRDefault="00CA3799" w:rsidP="00FB0DD1">
            <w:r>
              <w:t>Auch wenn man kein Sozialist ist, und</w:t>
            </w:r>
            <w:r w:rsidR="00693D64">
              <w:t xml:space="preserve"> es klar ist, dass</w:t>
            </w:r>
            <w:r>
              <w:t xml:space="preserve"> die Mineralölindustrie natürlich </w:t>
            </w:r>
            <w:r w:rsidR="00074946">
              <w:t>solche hohen</w:t>
            </w:r>
            <w:r>
              <w:t xml:space="preserve"> Gewinne</w:t>
            </w:r>
            <w:r w:rsidR="00074946">
              <w:t xml:space="preserve"> von 4000 Mrd. US$</w:t>
            </w:r>
            <w:r w:rsidR="00693D64">
              <w:t>, wie oben von der Zeit berichtet, deshalb</w:t>
            </w:r>
            <w:r w:rsidR="00074946">
              <w:t xml:space="preserve"> </w:t>
            </w:r>
            <w:r>
              <w:t xml:space="preserve">macht, </w:t>
            </w:r>
            <w:r w:rsidRPr="00F276B0">
              <w:rPr>
                <w:u w:val="single"/>
              </w:rPr>
              <w:t>weil fossile Energien noch die ganze Welt in Schwung halten</w:t>
            </w:r>
            <w:r>
              <w:t xml:space="preserve">, macht diese Summe jedenfalls nachdenklich. Eine Reihe dieser Konzerne sind staatlich: Sinopec (China, staatlich), Saudi Aramco (Saudi-Arabien, staatlich), </w:t>
            </w:r>
            <w:proofErr w:type="spellStart"/>
            <w:r>
              <w:t>PetroChina</w:t>
            </w:r>
            <w:proofErr w:type="spellEnd"/>
            <w:r>
              <w:t xml:space="preserve"> (China, staatlich), Exxon Mobil (USA, privat), Shell (UK, privat), TotalEnergies (Frankreich, privat), BP (UK, privat), Chevron (USA, privat), Petrobras (Brasilien, staatlich), Gazprom (Russland, staatlich).</w:t>
            </w:r>
            <w:r>
              <w:rPr>
                <w:rStyle w:val="Funotenzeichen"/>
              </w:rPr>
              <w:footnoteReference w:id="339"/>
            </w:r>
            <w:r>
              <w:t xml:space="preserve"> Es gibt aber noch viele weitere dieser Unternehmen. Derzeit werden noch viele Milliarden Dollar in die Erschließung neuer Öl- und Erdgasfelder investiert.</w:t>
            </w:r>
            <w:r>
              <w:rPr>
                <w:rStyle w:val="Funotenzeichen"/>
              </w:rPr>
              <w:footnoteReference w:id="340"/>
            </w:r>
            <w:r>
              <w:t xml:space="preserve"> </w:t>
            </w:r>
          </w:p>
          <w:p w14:paraId="362F2D46" w14:textId="77777777" w:rsidR="00F276B0" w:rsidRDefault="00F276B0" w:rsidP="00FB0DD1"/>
          <w:p w14:paraId="61F48946" w14:textId="77777777" w:rsidR="00F276B0" w:rsidRDefault="00F276B0" w:rsidP="00F276B0">
            <w:r>
              <w:lastRenderedPageBreak/>
              <w:t>Fünf dieser Konzerne haben in den vergangenen Jahren vielfach über den Klimawandel gelogen haben und Politik und Öffentlichkeit beeinflusst, deshalb klagt der Bundesstaat Kalifornien derzeit gegen sie (Exxon Mobil, Shell, BP, ConocoPhillips und Chevron).</w:t>
            </w:r>
            <w:r>
              <w:rPr>
                <w:rStyle w:val="Funotenzeichen"/>
              </w:rPr>
              <w:footnoteReference w:id="341"/>
            </w:r>
            <w:r>
              <w:t xml:space="preserve"> </w:t>
            </w:r>
          </w:p>
          <w:p w14:paraId="5A1B3CB3" w14:textId="77777777" w:rsidR="00F276B0" w:rsidRDefault="00F276B0" w:rsidP="00FB0DD1"/>
          <w:p w14:paraId="4FB8E242" w14:textId="77777777" w:rsidR="00CA3799" w:rsidRDefault="00F276B0" w:rsidP="00FB0DD1">
            <w:r>
              <w:t xml:space="preserve">Es gibt mehrere Banken, die hohe Kreditsummen in fossile Energien gesteckt haben (von 2016 bis 2023): </w:t>
            </w:r>
            <w:proofErr w:type="spellStart"/>
            <w:r>
              <w:t>JPMorgen</w:t>
            </w:r>
            <w:proofErr w:type="spellEnd"/>
            <w:r>
              <w:t xml:space="preserve"> Chase 430 Mrd., Citigroup 396 Mrd., Bank </w:t>
            </w:r>
            <w:proofErr w:type="spellStart"/>
            <w:r>
              <w:t>of</w:t>
            </w:r>
            <w:proofErr w:type="spellEnd"/>
            <w:r>
              <w:t xml:space="preserve"> </w:t>
            </w:r>
            <w:proofErr w:type="spellStart"/>
            <w:r>
              <w:t>America</w:t>
            </w:r>
            <w:proofErr w:type="spellEnd"/>
            <w:r>
              <w:t xml:space="preserve"> 333 Mrd., Mitsubishi UFJ Financial 307 Mrd., Wells Fargo 296 Mrd., Mizuho Financial 272 Mrd., Royal Bank </w:t>
            </w:r>
            <w:proofErr w:type="spellStart"/>
            <w:r>
              <w:t>of</w:t>
            </w:r>
            <w:proofErr w:type="spellEnd"/>
            <w:r>
              <w:t xml:space="preserve"> Canada 256 Mrd., Barclays 235 Mrd., SMBC Group 212 Mrd., UBS 210 Mrd., </w:t>
            </w:r>
            <w:proofErr w:type="spellStart"/>
            <w:r>
              <w:t>Soctiabank</w:t>
            </w:r>
            <w:proofErr w:type="spellEnd"/>
            <w:r>
              <w:t xml:space="preserve"> 192 Mrd., HSBC 192 Mrd., BNP Paribas 186 Mrd. Goldman Sachs 184 Mrd., Morgan Stanley 183 Mrd. … siehe zu Infos über den Bankensektor und Investitionen in fossile Energien die Webseite Banking on Climate Chaos.</w:t>
            </w:r>
            <w:r>
              <w:rPr>
                <w:rStyle w:val="Funotenzeichen"/>
              </w:rPr>
              <w:footnoteReference w:id="342"/>
            </w:r>
            <w:r w:rsidR="00B269B9">
              <w:t xml:space="preserve"> Im Fossil Fuel Finance Report 2024 wird u.a. mitgeteilt, dass 15,4 % der Kredite erst nach 2030 abgelöst werden, 3,7 % erst nach 2050.</w:t>
            </w:r>
            <w:r w:rsidR="00B269B9">
              <w:rPr>
                <w:rStyle w:val="Funotenzeichen"/>
              </w:rPr>
              <w:footnoteReference w:id="343"/>
            </w:r>
            <w:r w:rsidR="00B269B9">
              <w:t xml:space="preserve"> Unter den Banken sind auch solche, die Öl- und Gasprojekte im Amazonasgebiet finanzieren, auch die Deutsche Bank.</w:t>
            </w:r>
            <w:r w:rsidR="00B269B9">
              <w:rPr>
                <w:rStyle w:val="Funotenzeichen"/>
              </w:rPr>
              <w:footnoteReference w:id="344"/>
            </w:r>
            <w:r w:rsidR="0094716F">
              <w:t xml:space="preserve"> </w:t>
            </w:r>
            <w:r w:rsidR="00B269B9">
              <w:t>Es gibt viele Banken, die sich an Leitlinien halten wollen, die</w:t>
            </w:r>
            <w:r w:rsidR="0094716F">
              <w:t xml:space="preserve"> NZBA Guidelines sind</w:t>
            </w:r>
            <w:r w:rsidR="00B269B9">
              <w:t xml:space="preserve"> aber oft voller Ausnahmen</w:t>
            </w:r>
            <w:r w:rsidR="0094716F">
              <w:t>, z.B. wurde die reine Absicherung von Krediten nicht abgedeckt, 40 % der Geschäfte waren aber Absicherungen</w:t>
            </w:r>
            <w:r w:rsidR="00B269B9">
              <w:t>.</w:t>
            </w:r>
            <w:r w:rsidR="0094716F">
              <w:rPr>
                <w:rStyle w:val="Funotenzeichen"/>
              </w:rPr>
              <w:t xml:space="preserve"> </w:t>
            </w:r>
            <w:r w:rsidR="0094716F" w:rsidRPr="0094716F">
              <w:rPr>
                <w:lang w:val="en-GB"/>
              </w:rPr>
              <w:t xml:space="preserve">Die OECD hat 2023 seine Guidelines for Multinational Enterprises on Responsible Business Conduct </w:t>
            </w:r>
            <w:proofErr w:type="spellStart"/>
            <w:r w:rsidR="0094716F" w:rsidRPr="0094716F">
              <w:rPr>
                <w:lang w:val="en-GB"/>
              </w:rPr>
              <w:t>aktualisiert</w:t>
            </w:r>
            <w:proofErr w:type="spellEnd"/>
            <w:r w:rsidR="0094716F" w:rsidRPr="0094716F">
              <w:rPr>
                <w:lang w:val="en-GB"/>
              </w:rPr>
              <w:t>.</w:t>
            </w:r>
            <w:r w:rsidR="0094716F">
              <w:rPr>
                <w:rStyle w:val="Funotenzeichen"/>
              </w:rPr>
              <w:footnoteReference w:id="345"/>
            </w:r>
            <w:r w:rsidR="00B269B9" w:rsidRPr="0094716F">
              <w:rPr>
                <w:lang w:val="en-GB"/>
              </w:rPr>
              <w:t xml:space="preserve"> </w:t>
            </w:r>
            <w:r w:rsidR="00B269B9">
              <w:t xml:space="preserve">China hat im Februar 2024 neue </w:t>
            </w:r>
            <w:r w:rsidR="0094716F">
              <w:t>Nachhaltigkeits-Kriterien für 458 Firmen an der Börse in Shanghai verabschiedet.</w:t>
            </w:r>
            <w:r w:rsidR="0094716F">
              <w:rPr>
                <w:rStyle w:val="Funotenzeichen"/>
              </w:rPr>
              <w:t xml:space="preserve"> </w:t>
            </w:r>
            <w:r w:rsidR="0094716F">
              <w:rPr>
                <w:rStyle w:val="Funotenzeichen"/>
              </w:rPr>
              <w:footnoteReference w:id="346"/>
            </w:r>
          </w:p>
          <w:p w14:paraId="0AADBA01" w14:textId="77777777" w:rsidR="00332FEA" w:rsidRDefault="00332FEA" w:rsidP="00FB0DD1"/>
          <w:p w14:paraId="300D58F4" w14:textId="0ECDB198" w:rsidR="00332FEA" w:rsidRDefault="00332FEA" w:rsidP="00FB0DD1">
            <w:r>
              <w:t xml:space="preserve">Auf einer weiteren klimafokussierten Webseite </w:t>
            </w:r>
            <w:proofErr w:type="spellStart"/>
            <w:r>
              <w:t>Influence</w:t>
            </w:r>
            <w:proofErr w:type="spellEnd"/>
            <w:r>
              <w:t xml:space="preserve"> </w:t>
            </w:r>
            <w:proofErr w:type="spellStart"/>
            <w:r>
              <w:t>Map</w:t>
            </w:r>
            <w:proofErr w:type="spellEnd"/>
            <w:r>
              <w:rPr>
                <w:rStyle w:val="Funotenzeichen"/>
              </w:rPr>
              <w:footnoteReference w:id="347"/>
            </w:r>
            <w:r>
              <w:t>, werden auf einer neuen Webseite: Carbon Majors</w:t>
            </w:r>
            <w:r>
              <w:rPr>
                <w:rStyle w:val="Funotenzeichen"/>
              </w:rPr>
              <w:footnoteReference w:id="348"/>
            </w:r>
            <w:r>
              <w:t>, Zahlen über Nationen und Unternehmen bereitgestellt, die historisch gesehen viele Emissionen zu verantworten haben. Neben der Sowjetunion (1900-1991) und China (1945-2004) als Staat und Ölfirmen, findet sich ganz oben in der Liste Coal India, China Zement, Polen Kohle (1913-2001), British Coal Corporation (1947-1994) und Peabody Energy</w:t>
            </w:r>
            <w:r>
              <w:rPr>
                <w:rStyle w:val="Funotenzeichen"/>
              </w:rPr>
              <w:footnoteReference w:id="349"/>
            </w:r>
            <w:r>
              <w:t>, das größte Kohlebergbauunternehmen der Welt, mit Sitz in St. Louis, Missouri.</w:t>
            </w:r>
            <w:r>
              <w:rPr>
                <w:rStyle w:val="Funotenzeichen"/>
              </w:rPr>
              <w:footnoteReference w:id="350"/>
            </w:r>
          </w:p>
        </w:tc>
      </w:tr>
    </w:tbl>
    <w:p w14:paraId="51D819A5" w14:textId="77777777" w:rsidR="00CA3799" w:rsidRDefault="00CA3799" w:rsidP="00112190"/>
    <w:p w14:paraId="458A66E1" w14:textId="77777777" w:rsidR="00332FEA" w:rsidRDefault="00332FEA" w:rsidP="00112190"/>
    <w:p w14:paraId="6382A53B" w14:textId="5AF0B5CF" w:rsidR="00112190" w:rsidRDefault="0026219D" w:rsidP="00112190">
      <w:r>
        <w:t>4.</w:t>
      </w:r>
      <w:r w:rsidR="00112190">
        <w:t xml:space="preserve"> Deutschland</w:t>
      </w:r>
      <w:r>
        <w:t xml:space="preserve"> </w:t>
      </w:r>
    </w:p>
    <w:p w14:paraId="2609A1AD" w14:textId="77777777" w:rsidR="00112190" w:rsidRDefault="00112190" w:rsidP="00112190"/>
    <w:p w14:paraId="65EA3A19" w14:textId="1B332304" w:rsidR="00A005F1" w:rsidRDefault="00A005F1" w:rsidP="00112190">
      <w:r>
        <w:t xml:space="preserve">Nun geht es um die regulatorischen Aspekte bzw. die Gesetze. Ich kann hier keine Garantie übernehmen, dass jedes </w:t>
      </w:r>
      <w:r w:rsidR="00F9397D">
        <w:t xml:space="preserve">relevante </w:t>
      </w:r>
      <w:r>
        <w:t>Gesetz erwähnt w</w:t>
      </w:r>
      <w:r w:rsidR="00F9397D">
        <w:t>ird</w:t>
      </w:r>
      <w:r>
        <w:t xml:space="preserve">. </w:t>
      </w:r>
      <w:r w:rsidR="00BA1C73">
        <w:t>Es werden immerhin Quellen erwähnt, die Aufzählungen von Gesetzen enthalten, siehe etwa das Klimaschutzprogramm 2030, ein ausführliches Dokument mit 172 Seiten, siehe hier.</w:t>
      </w:r>
      <w:r w:rsidR="00BA1C73">
        <w:rPr>
          <w:rStyle w:val="Funotenzeichen"/>
        </w:rPr>
        <w:footnoteReference w:id="351"/>
      </w:r>
      <w:r w:rsidR="00BA1C73">
        <w:t xml:space="preserve"> </w:t>
      </w:r>
      <w:r w:rsidR="00CC561C">
        <w:t xml:space="preserve">Ich kann hier auch nicht </w:t>
      </w:r>
      <w:r>
        <w:t xml:space="preserve">alle Gesetze prägnant </w:t>
      </w:r>
      <w:r>
        <w:lastRenderedPageBreak/>
        <w:t xml:space="preserve">zusammenzufassen. Ich </w:t>
      </w:r>
      <w:r w:rsidR="00F9397D">
        <w:t>gehe halb spontan, halb chronologisch durch</w:t>
      </w:r>
      <w:r>
        <w:t xml:space="preserve"> und </w:t>
      </w:r>
      <w:r w:rsidR="00F9397D">
        <w:t xml:space="preserve">präsentiere mehr </w:t>
      </w:r>
      <w:r>
        <w:t xml:space="preserve">Informationen, </w:t>
      </w:r>
      <w:r w:rsidR="00CC561C">
        <w:t>wenn ich sie durch Artikel oder</w:t>
      </w:r>
      <w:r>
        <w:t xml:space="preserve"> Zeitungsartikel vorliegen haben.</w:t>
      </w:r>
      <w:r w:rsidR="00F9397D">
        <w:t xml:space="preserve"> </w:t>
      </w:r>
    </w:p>
    <w:p w14:paraId="212FF280" w14:textId="77777777" w:rsidR="00A005F1" w:rsidRDefault="00A005F1" w:rsidP="00112190"/>
    <w:p w14:paraId="2CE63EA5" w14:textId="6AC9206F" w:rsidR="00D71FB5" w:rsidRDefault="00112190" w:rsidP="00D71FB5">
      <w:r>
        <w:t>Aufgrund des Angriffs von Russland auf die Ukraine wurden einzelne Steinkohle- und Braunkohlekraftwerke bzw. stillgelegte Blocks noch aktiver Kraftwerke, die mit dem Kohleverstromungsbeendigungsgesetzes (KVBG) stillgelegt wurden, wieder aktiviert, es geht um eine Leistung von 6,3 GW, sie dien</w:t>
      </w:r>
      <w:r w:rsidR="00194AA0">
        <w:t>t</w:t>
      </w:r>
      <w:r>
        <w:t>en als Netzreserve im Sinne des Energiewirtschaftsgesetzes (EnWG), die aktiviert werden können, wenn die Frühwarnstufe, Alarmstufe oder Notfallstufe des Notfallplans Gas ausgerufen wird. Das g</w:t>
      </w:r>
      <w:r w:rsidR="00194AA0">
        <w:t>alt</w:t>
      </w:r>
      <w:r>
        <w:t xml:space="preserve"> bis zum 31. März 2024.</w:t>
      </w:r>
      <w:r>
        <w:rPr>
          <w:rStyle w:val="Funotenzeichen"/>
        </w:rPr>
        <w:footnoteReference w:id="352"/>
      </w:r>
      <w:r w:rsidR="00797D48" w:rsidRPr="00797D48">
        <w:t xml:space="preserve"> </w:t>
      </w:r>
      <w:r w:rsidR="00797D48">
        <w:t>Dies betraf etwa die Braunkohlekraftwerke Jänschwalde Block E und F, Neurath Block C, Niederaußem Block E und F, s</w:t>
      </w:r>
      <w:r w:rsidR="00D71FB5">
        <w:t>iehe hier.</w:t>
      </w:r>
      <w:r w:rsidR="00D71FB5">
        <w:rPr>
          <w:rStyle w:val="Funotenzeichen"/>
        </w:rPr>
        <w:footnoteReference w:id="353"/>
      </w:r>
      <w:r w:rsidR="00797D48">
        <w:t xml:space="preserve"> Die Bundesnetzagentur veröffentlich eine aktuelle Kraftwerksliste, in der auch der Kraftwerkstatus eingetragen ist, nach dieser Liste sind die gerade erwähnten Blöcke der Braunkohlekraftwerke stillgelegt worden. Das bedeutet nicht, dass das Kraftwerk im Ganzen stillgelegt ist: Jänschwalde läuft noch mit den Blöcken A, B, C, D mit je 535 MW Leistung, </w:t>
      </w:r>
      <w:r w:rsidR="00B81A2F">
        <w:t xml:space="preserve">Neurath F, G mit je 1100 MW Leistung und </w:t>
      </w:r>
      <w:r w:rsidR="00797D48">
        <w:t>Niederaußem G, H, K läuft noch, mit 668, 690 und 998 MW Leistung.</w:t>
      </w:r>
      <w:r w:rsidR="00B81A2F">
        <w:rPr>
          <w:rStyle w:val="Funotenzeichen"/>
        </w:rPr>
        <w:footnoteReference w:id="354"/>
      </w:r>
      <w:r w:rsidR="00797D48">
        <w:t xml:space="preserve"> </w:t>
      </w:r>
      <w:r w:rsidR="00BA1C73">
        <w:t xml:space="preserve">Infos zum Kohleausstieg gab es schon oben. </w:t>
      </w:r>
    </w:p>
    <w:p w14:paraId="1B8C5838" w14:textId="77777777" w:rsidR="00797D48" w:rsidRDefault="00797D48" w:rsidP="00D71FB5"/>
    <w:p w14:paraId="5A8C2A23" w14:textId="09412C3B" w:rsidR="00112190" w:rsidRDefault="00112190" w:rsidP="00112190">
      <w:r>
        <w:t>Im Gesetz zur Änderung des Atomgesetzes wurde am 11. November 2022 die Laufzeit der Kernkraftwerke Emsland, Isar 2 und Neckarwestheim 2, bis zum 15. April 2023 verlängert.</w:t>
      </w:r>
      <w:r>
        <w:rPr>
          <w:rStyle w:val="Funotenzeichen"/>
        </w:rPr>
        <w:footnoteReference w:id="355"/>
      </w:r>
      <w:r>
        <w:t xml:space="preserve"> Dies liegt nun in der Vergangenheit, alle Atomkraftwerke sind in Deutschland nun abgeschaltet. Basis für alle Aktivitäten im Energiebereich in Deutschland ist das Energiewirtschaftsgesetz (EnWG)</w:t>
      </w:r>
      <w:r>
        <w:rPr>
          <w:rStyle w:val="Funotenzeichen"/>
        </w:rPr>
        <w:footnoteReference w:id="356"/>
      </w:r>
      <w:r w:rsidR="000076B7">
        <w:t>, dieses Gesetz legt in EnWG § 13d und § 13e fest, dass es neben einem wettbewerblichen Strommarkt eine Netzreserve gibt, die die Funkti</w:t>
      </w:r>
      <w:r w:rsidR="00194AA0">
        <w:t xml:space="preserve">on </w:t>
      </w:r>
      <w:r w:rsidR="000076B7">
        <w:t>des Strommarktes bei Überlastung aufrechterhalten hilft und auch eine Kapazitätsreserve.</w:t>
      </w:r>
      <w:r w:rsidR="000076B7">
        <w:rPr>
          <w:rStyle w:val="Funotenzeichen"/>
        </w:rPr>
        <w:footnoteReference w:id="357"/>
      </w:r>
      <w:r w:rsidR="000076B7">
        <w:t xml:space="preserve"> </w:t>
      </w:r>
      <w:r w:rsidR="00DD3E8F">
        <w:t xml:space="preserve">In dieser Zeit wurde auch das Energiesicherungsgesetz </w:t>
      </w:r>
      <w:proofErr w:type="spellStart"/>
      <w:r w:rsidR="00DD3E8F">
        <w:t>EnSiG</w:t>
      </w:r>
      <w:proofErr w:type="spellEnd"/>
      <w:r w:rsidR="00DD3E8F">
        <w:t xml:space="preserve"> verabschiedet, dass es möglich macht, etwa kritische Infrastrukturen etwa von Gazprom Germania unter Treuhandverwaltung zu stellen.</w:t>
      </w:r>
      <w:r w:rsidR="00DD3E8F">
        <w:rPr>
          <w:rStyle w:val="Funotenzeichen"/>
        </w:rPr>
        <w:footnoteReference w:id="358"/>
      </w:r>
    </w:p>
    <w:p w14:paraId="3FB45F43" w14:textId="77777777" w:rsidR="00EA349C" w:rsidRDefault="00EA349C" w:rsidP="00112190"/>
    <w:p w14:paraId="31F9EBF0" w14:textId="78420744" w:rsidR="003D0790" w:rsidRDefault="003D0790" w:rsidP="003D0790">
      <w:r>
        <w:t xml:space="preserve">Viele Gesetze und Initiativen </w:t>
      </w:r>
      <w:r w:rsidR="00194AA0">
        <w:t xml:space="preserve">im Bereich erneuerbarer Energien </w:t>
      </w:r>
      <w:r>
        <w:t xml:space="preserve">resultieren aus der Aktivität der Ampel-Koalition seit dem 7. Dezember 2021, begonnen wurde der Ausbau erneuerbarer Energien </w:t>
      </w:r>
      <w:r>
        <w:lastRenderedPageBreak/>
        <w:t xml:space="preserve">allerdings bereits mit dem </w:t>
      </w:r>
      <w:proofErr w:type="spellStart"/>
      <w:r>
        <w:t>Stromeinspeisegesetz</w:t>
      </w:r>
      <w:proofErr w:type="spellEnd"/>
      <w:r>
        <w:t xml:space="preserve"> 1991 und dem EEG-Gesetz 2000.</w:t>
      </w:r>
      <w:r>
        <w:rPr>
          <w:rStyle w:val="Funotenzeichen"/>
        </w:rPr>
        <w:footnoteReference w:id="359"/>
      </w:r>
      <w:r>
        <w:t xml:space="preserve"> </w:t>
      </w:r>
      <w:r w:rsidR="001926E2">
        <w:t>S</w:t>
      </w:r>
      <w:r>
        <w:t>iehe für eine Übersicht der Bundesregierung die Publikationen: Klimaschutzprogramm</w:t>
      </w:r>
      <w:r w:rsidR="00BA1C73">
        <w:t xml:space="preserve"> 2030</w:t>
      </w:r>
      <w:r w:rsidR="00BA1C73">
        <w:rPr>
          <w:rStyle w:val="Funotenzeichen"/>
        </w:rPr>
        <w:footnoteReference w:id="360"/>
      </w:r>
      <w:r w:rsidR="00BA1C73">
        <w:t xml:space="preserve"> </w:t>
      </w:r>
      <w:r>
        <w:t>und d</w:t>
      </w:r>
      <w:r w:rsidR="001926E2">
        <w:t xml:space="preserve">ie </w:t>
      </w:r>
      <w:r>
        <w:t>Monitoring-Berichte zur Energiewende, die es auch für frühere Jahre gibt.</w:t>
      </w:r>
      <w:r>
        <w:rPr>
          <w:rStyle w:val="Funotenzeichen"/>
        </w:rPr>
        <w:footnoteReference w:id="361"/>
      </w:r>
      <w:r w:rsidR="00A838BB">
        <w:t xml:space="preserve"> </w:t>
      </w:r>
    </w:p>
    <w:p w14:paraId="12A07D77" w14:textId="77777777" w:rsidR="003D0790" w:rsidRDefault="003D0790" w:rsidP="00112190"/>
    <w:p w14:paraId="08739559" w14:textId="6AF0F64A" w:rsidR="00112190" w:rsidRDefault="00112190" w:rsidP="00112190">
      <w:r>
        <w:t xml:space="preserve">Die deutschen Ziele der Emissionsminderung wurden im (Bundes-) Klimaschutzgesetz (KSG) festgelegt, das 2019 von der großen Koalition im Bundestag beschlossen wurden und seither, etwa </w:t>
      </w:r>
      <w:r w:rsidR="001E04B3">
        <w:t xml:space="preserve">mit der Novelle im Jahr </w:t>
      </w:r>
      <w:r>
        <w:t>2023, teils ergänzt bzw. verändert wurde.</w:t>
      </w:r>
      <w:r>
        <w:rPr>
          <w:rStyle w:val="Funotenzeichen"/>
        </w:rPr>
        <w:footnoteReference w:id="362"/>
      </w:r>
      <w:r>
        <w:t xml:space="preserve"> </w:t>
      </w:r>
      <w:r w:rsidRPr="00D53D1F">
        <w:rPr>
          <w:b/>
          <w:bCs/>
          <w:u w:val="single"/>
        </w:rPr>
        <w:t>Bis 2030 sollen die Treibhausgase mindestens um 65 % und bis 2040 um 88 % gemindert und bis 2045 soll Treibhausgasneutralität erreicht werden</w:t>
      </w:r>
      <w:r w:rsidR="00506A85" w:rsidRPr="00D53D1F">
        <w:rPr>
          <w:b/>
          <w:bCs/>
          <w:u w:val="single"/>
        </w:rPr>
        <w:t xml:space="preserve"> (wohlgemerkt 5 Jahre früher als die EU-Vorgabe)</w:t>
      </w:r>
      <w:r w:rsidRPr="00D53D1F">
        <w:rPr>
          <w:b/>
          <w:bCs/>
        </w:rPr>
        <w:t>. 2050 sollen negative Treibhausemissionen erreicht werden</w:t>
      </w:r>
      <w:r>
        <w:t>.</w:t>
      </w:r>
      <w:r>
        <w:rPr>
          <w:rStyle w:val="Funotenzeichen"/>
        </w:rPr>
        <w:footnoteReference w:id="363"/>
      </w:r>
      <w:r>
        <w:t xml:space="preserve"> Dazu soll auch die Landnutzung und Forstwirtschaft einen Beitrag leisten.</w:t>
      </w:r>
      <w:r>
        <w:rPr>
          <w:rStyle w:val="Funotenzeichen"/>
        </w:rPr>
        <w:footnoteReference w:id="364"/>
      </w:r>
      <w:r>
        <w:t xml:space="preserve"> Dazu sind jährliche Minderungsziele für die Sektoren Energiewirtschaft, Industrie, Verkehr, Gebäude, Landwirtschaft, Abfallwirtschaft und Sonstiges festgelegt worden, in Anlage 1 des Gesetzes.</w:t>
      </w:r>
      <w:r>
        <w:rPr>
          <w:rStyle w:val="Funotenzeichen"/>
        </w:rPr>
        <w:footnoteReference w:id="365"/>
      </w:r>
      <w:r>
        <w:t xml:space="preserve"> Die Minderung darf nicht plötzlich, sondern muss in „grundsätzlich gleichmäßigen Schritten“ erfolgen.</w:t>
      </w:r>
      <w:r>
        <w:rPr>
          <w:rStyle w:val="Funotenzeichen"/>
        </w:rPr>
        <w:footnoteReference w:id="366"/>
      </w:r>
      <w:r>
        <w:t xml:space="preserve"> Interessanterweise sagte Robert Habeck damals zum Anlass der Novellierung des Klimaschutzgesetzes</w:t>
      </w:r>
      <w:r w:rsidRPr="006C08F4">
        <w:t>: „Wir schließen die Klimaschutzlücke, die die Vorgängerregierung uns hinterlassen hat, um bis zu 80 Prozent.“</w:t>
      </w:r>
      <w:r>
        <w:rPr>
          <w:rStyle w:val="Funotenzeichen"/>
        </w:rPr>
        <w:footnoteReference w:id="367"/>
      </w:r>
      <w:r>
        <w:t xml:space="preserve"> (20 % fehlt also noch, folgt man dieser Äußerung)</w:t>
      </w:r>
    </w:p>
    <w:p w14:paraId="553538E5" w14:textId="77777777" w:rsidR="00112190" w:rsidRDefault="00112190" w:rsidP="00112190"/>
    <w:p w14:paraId="2F393902" w14:textId="2C7DEA25" w:rsidR="00C61815" w:rsidRDefault="00112190" w:rsidP="00112190">
      <w:r>
        <w:t>Die Ziele der Emissionsminderung im Klimaschutzgesetz führen</w:t>
      </w:r>
      <w:r w:rsidR="001E04B3">
        <w:t xml:space="preserve"> dazu</w:t>
      </w:r>
      <w:r>
        <w:t>, dass alle Sektoren gleichzeitig verbessert werden müssen</w:t>
      </w:r>
      <w:r w:rsidR="001E04B3">
        <w:t>, man kann nicht mehr sagen: erst Chemie und Stahl, dann der Verkehr, zuletzt die Gebäude.</w:t>
      </w:r>
      <w:r>
        <w:t xml:space="preserve"> </w:t>
      </w:r>
      <w:r w:rsidR="001E04B3">
        <w:t xml:space="preserve">Dies hat offenbar den Hintergrund, dass die ‚kleinen‘ Emissionen in Verkehr und Gebäudesektor, so hoch sind und dass man dort nicht warten will. </w:t>
      </w:r>
      <w:r>
        <w:t>In der Novelle des KSG 2023 wurde etwa für den Gebäudesektor das Ziel bis 2030 von 70 auf 67 Millionen Tonnen CO2 strenger gemacht.</w:t>
      </w:r>
      <w:r>
        <w:rPr>
          <w:rStyle w:val="Funotenzeichen"/>
        </w:rPr>
        <w:footnoteReference w:id="368"/>
      </w:r>
      <w:r>
        <w:t xml:space="preserve"> </w:t>
      </w:r>
    </w:p>
    <w:p w14:paraId="384EAC5D" w14:textId="77777777" w:rsidR="00C61815" w:rsidRDefault="00C61815" w:rsidP="00112190"/>
    <w:p w14:paraId="1E09CF42" w14:textId="244A80EB" w:rsidR="00D53D1F" w:rsidRDefault="00D53D1F" w:rsidP="00112190">
      <w:r>
        <w:t xml:space="preserve">Zum Vergleich: 2019 haben </w:t>
      </w:r>
      <w:proofErr w:type="gramStart"/>
      <w:r>
        <w:t>die Staats</w:t>
      </w:r>
      <w:r w:rsidR="002839D9">
        <w:t>-</w:t>
      </w:r>
      <w:r>
        <w:t xml:space="preserve"> und Regierungschef</w:t>
      </w:r>
      <w:proofErr w:type="gramEnd"/>
      <w:r>
        <w:t xml:space="preserve"> in der Schlussfolgerung des EU-Gipfels bzw. dem Europäischen Rat, am 12. Dezember 2019 </w:t>
      </w:r>
      <w:r w:rsidRPr="00D53D1F">
        <w:rPr>
          <w:b/>
          <w:bCs/>
          <w:u w:val="single"/>
        </w:rPr>
        <w:t>das Ziel der Klimaneutralität bis 2050 unterstützt</w:t>
      </w:r>
      <w:r>
        <w:t>. Sie haben die Europäische Kommission aufgefordert, dazu ein Programm aufzulegen</w:t>
      </w:r>
      <w:r>
        <w:rPr>
          <w:rStyle w:val="Funotenzeichen"/>
        </w:rPr>
        <w:footnoteReference w:id="369"/>
      </w:r>
      <w:r>
        <w:t xml:space="preserve">, </w:t>
      </w:r>
      <w:r>
        <w:lastRenderedPageBreak/>
        <w:t xml:space="preserve">dies ist der Green Deal geworden. Aktuell schlägt die </w:t>
      </w:r>
      <w:proofErr w:type="gramStart"/>
      <w:r>
        <w:t>EU Kommission</w:t>
      </w:r>
      <w:proofErr w:type="gramEnd"/>
      <w:r>
        <w:t xml:space="preserve"> ein Zwischenziel von 90 % bis 2040 vor als Durchschnitt der EU-Staaten, es ist noch nicht festgelegt, wobei Art. 6 CO2-Gutschriften zugelassen werden sollen</w:t>
      </w:r>
      <w:r>
        <w:rPr>
          <w:rStyle w:val="Funotenzeichen"/>
        </w:rPr>
        <w:footnoteReference w:id="370"/>
      </w:r>
      <w:r>
        <w:t>, siehe oben und unten mehr dazu.</w:t>
      </w:r>
    </w:p>
    <w:p w14:paraId="145FD1FE" w14:textId="77777777" w:rsidR="00D53D1F" w:rsidRDefault="00D53D1F" w:rsidP="00112190"/>
    <w:p w14:paraId="1D9193D8" w14:textId="720124E0" w:rsidR="00194AA0" w:rsidRDefault="00194AA0" w:rsidP="00194AA0">
      <w:r>
        <w:t>Das Klimaschutzgesetz erfordert weiterhin, dass die Bundesregierung ein ‚Klimaschutzprogramm‘ aufstellt, es gibt dazu eine Klimaschutzprogramm 2030 im Internet, ein ausführliches Dokument mit 172 Seiten</w:t>
      </w:r>
      <w:r w:rsidR="00BA1C73">
        <w:t>.</w:t>
      </w:r>
      <w:r>
        <w:rPr>
          <w:rStyle w:val="Funotenzeichen"/>
        </w:rPr>
        <w:footnoteReference w:id="371"/>
      </w:r>
      <w:r>
        <w:t xml:space="preserve"> Ein kürzeres Dokument gibt es hier, Entwurf eines Klimaschutzprogramms 2023 der Bundesregierung, 13.06.2023, siehe hier</w:t>
      </w:r>
      <w:r>
        <w:rPr>
          <w:rStyle w:val="Funotenzeichen"/>
        </w:rPr>
        <w:footnoteReference w:id="372"/>
      </w:r>
      <w:r>
        <w:t>, es ist am 04.10.2023 beschlossen worden, siehe hier.</w:t>
      </w:r>
      <w:r>
        <w:rPr>
          <w:rStyle w:val="Funotenzeichen"/>
        </w:rPr>
        <w:footnoteReference w:id="373"/>
      </w:r>
    </w:p>
    <w:p w14:paraId="4D0C220B" w14:textId="77777777" w:rsidR="00194AA0" w:rsidRDefault="00194AA0" w:rsidP="00112190"/>
    <w:p w14:paraId="4859E105" w14:textId="5870FE35" w:rsidR="00A838BB" w:rsidRDefault="00A838BB" w:rsidP="00112190">
      <w:r>
        <w:t xml:space="preserve">Das Klimaschutzgesetz sieht in </w:t>
      </w:r>
      <w:r w:rsidR="00433A37">
        <w:t>KSG § 5a vor, dass das Bundesumweltamt</w:t>
      </w:r>
      <w:r w:rsidR="00831EE5">
        <w:t xml:space="preserve"> mit Hilfe eines Forschungskonsortiums</w:t>
      </w:r>
      <w:r w:rsidR="00433A37">
        <w:t xml:space="preserve"> Projektionsdaten über die künftige Emissionsentwicklung erarbeitet, immer am 15. März werden diese Daten veröffentlicht und </w:t>
      </w:r>
      <w:r w:rsidR="00941651">
        <w:t xml:space="preserve">an </w:t>
      </w:r>
      <w:r w:rsidR="00831EE5">
        <w:t>einen</w:t>
      </w:r>
      <w:r w:rsidR="00433A37">
        <w:t xml:space="preserve"> Expertenrat für Klimafragen</w:t>
      </w:r>
      <w:r w:rsidR="00831EE5">
        <w:rPr>
          <w:rStyle w:val="Funotenzeichen"/>
        </w:rPr>
        <w:footnoteReference w:id="374"/>
      </w:r>
      <w:r w:rsidR="00433A37">
        <w:t xml:space="preserve"> weitergeleitet</w:t>
      </w:r>
      <w:r w:rsidR="00941651">
        <w:t>.</w:t>
      </w:r>
      <w:r w:rsidR="00433A37">
        <w:t xml:space="preserve"> KSG </w:t>
      </w:r>
      <w:r>
        <w:t xml:space="preserve">§ 8 Abs. 1 </w:t>
      </w:r>
      <w:r w:rsidR="00941651">
        <w:t xml:space="preserve">sieht </w:t>
      </w:r>
      <w:r>
        <w:t xml:space="preserve">vor, dass </w:t>
      </w:r>
      <w:r w:rsidR="00941651">
        <w:t xml:space="preserve">sodann </w:t>
      </w:r>
      <w:r>
        <w:t>der Expertenrat für Klimafragen eine Feststellung zur Einhaltung der Jahresemissionsmengen zwischen 2021 und 2030 trifft.</w:t>
      </w:r>
      <w:r w:rsidR="00433A37">
        <w:rPr>
          <w:rStyle w:val="Funotenzeichen"/>
        </w:rPr>
        <w:footnoteReference w:id="375"/>
      </w:r>
      <w:r>
        <w:t xml:space="preserve"> </w:t>
      </w:r>
      <w:r w:rsidR="00433A37">
        <w:t xml:space="preserve">Aktuell hat der Expertenrat mit einem Sondergutachten vom 03.06.2024 festgestellt, dass die Projektionsdaten für das Jahr 2024 </w:t>
      </w:r>
      <w:r w:rsidR="00941651">
        <w:t xml:space="preserve">wahrscheinlich </w:t>
      </w:r>
      <w:r w:rsidR="00433A37">
        <w:t>überschritten werden.</w:t>
      </w:r>
      <w:r w:rsidR="00433A37">
        <w:rPr>
          <w:rStyle w:val="Funotenzeichen"/>
        </w:rPr>
        <w:footnoteReference w:id="376"/>
      </w:r>
      <w:r w:rsidR="00433A37">
        <w:t xml:space="preserve"> </w:t>
      </w:r>
      <w:r>
        <w:t>W</w:t>
      </w:r>
      <w:r w:rsidR="00433A37">
        <w:t>erden</w:t>
      </w:r>
      <w:r>
        <w:t xml:space="preserve"> die Menge</w:t>
      </w:r>
      <w:r w:rsidR="00433A37">
        <w:t>n</w:t>
      </w:r>
      <w:r>
        <w:t xml:space="preserve"> überschritten, dann muss die Bundesregierung Maßnahmen zur Einhaltung beschließen, die</w:t>
      </w:r>
      <w:r w:rsidR="00433A37">
        <w:t xml:space="preserve">, </w:t>
      </w:r>
      <w:r w:rsidR="00941651">
        <w:t xml:space="preserve">siehe KSG </w:t>
      </w:r>
      <w:r w:rsidR="00433A37">
        <w:t>§ 8 Abs. 2,</w:t>
      </w:r>
      <w:r>
        <w:t xml:space="preserve"> im selben Kalenderjahr beschlossen werden müssen.  </w:t>
      </w:r>
    </w:p>
    <w:p w14:paraId="7C923BAA" w14:textId="77777777" w:rsidR="00A838BB" w:rsidRDefault="00A838BB" w:rsidP="00112190"/>
    <w:p w14:paraId="75D4808E" w14:textId="58F9DE36" w:rsidR="00112190" w:rsidRDefault="00194AA0" w:rsidP="00112190">
      <w:r>
        <w:t>Weil es unrealistisch sein kann, ein</w:t>
      </w:r>
      <w:r w:rsidR="00112190">
        <w:t xml:space="preserve"> Ziel zu erreichen und </w:t>
      </w:r>
      <w:r>
        <w:t>man z.B. in anderen Bereichen schneller sein kann, wurde in einer Änderung des Klimaschutzgesetzes mehr Flexibilität eingeräumt:</w:t>
      </w:r>
      <w:r w:rsidR="00F65F07">
        <w:t xml:space="preserve"> </w:t>
      </w:r>
    </w:p>
    <w:p w14:paraId="7454BFD8" w14:textId="77777777" w:rsidR="00112190" w:rsidRDefault="00112190" w:rsidP="00112190"/>
    <w:tbl>
      <w:tblPr>
        <w:tblStyle w:val="Tabellenraster"/>
        <w:tblW w:w="0" w:type="auto"/>
        <w:tblLook w:val="04A0" w:firstRow="1" w:lastRow="0" w:firstColumn="1" w:lastColumn="0" w:noHBand="0" w:noVBand="1"/>
      </w:tblPr>
      <w:tblGrid>
        <w:gridCol w:w="9062"/>
      </w:tblGrid>
      <w:tr w:rsidR="00112190" w14:paraId="1C769403" w14:textId="77777777" w:rsidTr="006B301B">
        <w:tc>
          <w:tcPr>
            <w:tcW w:w="9062" w:type="dxa"/>
          </w:tcPr>
          <w:p w14:paraId="7250AFD6" w14:textId="569E1A0B" w:rsidR="00112190" w:rsidRDefault="00112190" w:rsidP="006B301B">
            <w:r w:rsidRPr="009908D9">
              <w:t>Bundes-Klimaschutzgesetz 2023/2024</w:t>
            </w:r>
            <w:r>
              <w:t xml:space="preserve">. Die Debatte um den Bereich Verkehr und die Novelle des Bundes-Klimaschutzgesetzes 2023/2024. Seit 1990 sind im Bereich Verkehr die CO2-Äquivante / Treibhausgase um 7 % gestiegen. 2022 lagen die Emissionen bei 148 Millionen Tonnen, damit wurde das </w:t>
            </w:r>
            <w:proofErr w:type="spellStart"/>
            <w:r>
              <w:t>Sektorziel</w:t>
            </w:r>
            <w:proofErr w:type="spellEnd"/>
            <w:r>
              <w:t xml:space="preserve"> des KSG im Jahr 2022 deutlich um 9 Millionen Tonnen CO2 überschritten.</w:t>
            </w:r>
            <w:r>
              <w:rPr>
                <w:rStyle w:val="Funotenzeichen"/>
              </w:rPr>
              <w:footnoteReference w:id="377"/>
            </w:r>
            <w:r>
              <w:t xml:space="preserve"> Bis zum 17.07.2023 hätte Verkehrsminister Volker Wissing deshalb ein Sofortprogramm auflegen müssen, dies fordert das Klimaschutzgesetzt. Er weigerte sich aber.</w:t>
            </w:r>
            <w:r>
              <w:rPr>
                <w:rStyle w:val="Funotenzeichen"/>
              </w:rPr>
              <w:t xml:space="preserve"> </w:t>
            </w:r>
            <w:r>
              <w:rPr>
                <w:rStyle w:val="Funotenzeichen"/>
              </w:rPr>
              <w:footnoteReference w:id="378"/>
            </w:r>
            <w:r>
              <w:t xml:space="preserve"> Grund dafür war, dass die </w:t>
            </w:r>
            <w:r>
              <w:lastRenderedPageBreak/>
              <w:t>Ampelkoalition bereits plante das Klimaschutzgesetz zu ändern, um mehr Flexibilität zwischen den Sektoren zu ermöglichen, u.a. sollen Emissionen dort gemindert werden, wo es am effizientesten ist. Nun wird eine Prognose gemacht, wie sich die Jahresemissionsgesamtmengen in den nächsten 2 Jahren entwickeln, und wenn diese in zwei aufeinanderfolgenden Jahren überschritten wird, dann beschließt die Bundesregierung Maßnahmen dagegen. Damit werden nicht mehr die einzelnen Sektoren betrachtet, es geht um die Gesamtmenge der Emissionen, aber es soll aber weiter versucht werden, Klimaschutz auf einem hohen Niveau aufrechtzuerhalten.</w:t>
            </w:r>
            <w:r>
              <w:rPr>
                <w:rStyle w:val="Funotenzeichen"/>
              </w:rPr>
              <w:footnoteReference w:id="379"/>
            </w:r>
            <w:r>
              <w:t xml:space="preserve"> </w:t>
            </w:r>
            <w:r w:rsidR="00433A37">
              <w:t>In der</w:t>
            </w:r>
            <w:r>
              <w:t xml:space="preserve"> Novelle des Klimaschutzgesetzes am 26. April 2024 </w:t>
            </w:r>
            <w:r w:rsidR="00433A37">
              <w:t xml:space="preserve">ist </w:t>
            </w:r>
            <w:r>
              <w:t>beschlossen worden,</w:t>
            </w:r>
            <w:r w:rsidR="00433A37">
              <w:t xml:space="preserve"> dass der</w:t>
            </w:r>
            <w:r>
              <w:t xml:space="preserve"> Expertenrat für Klimafragen </w:t>
            </w:r>
            <w:r w:rsidR="00433A37">
              <w:t>ge</w:t>
            </w:r>
            <w:r>
              <w:t>stärkt</w:t>
            </w:r>
            <w:r w:rsidR="00433A37">
              <w:t xml:space="preserve"> wird und</w:t>
            </w:r>
            <w:r>
              <w:t xml:space="preserve"> die Prognosen bewerten soll, eine Über- oder Unterschreitung feststellen soll und auch eigene Vorschläge für Klimaschutzmaßnahmen machen kann.</w:t>
            </w:r>
            <w:r>
              <w:rPr>
                <w:rStyle w:val="Funotenzeichen"/>
              </w:rPr>
              <w:footnoteReference w:id="380"/>
            </w:r>
          </w:p>
        </w:tc>
      </w:tr>
    </w:tbl>
    <w:p w14:paraId="0C1906E4" w14:textId="77777777" w:rsidR="00112190" w:rsidRDefault="00112190" w:rsidP="00112190"/>
    <w:p w14:paraId="3B9EFBCE" w14:textId="13F9CD15" w:rsidR="00EF7BDF" w:rsidRDefault="00222921" w:rsidP="00EF7BDF">
      <w:r>
        <w:t xml:space="preserve">Aufregung um den Verkehrssektor: </w:t>
      </w:r>
    </w:p>
    <w:p w14:paraId="57E2AEB9" w14:textId="77777777" w:rsidR="00222921" w:rsidRDefault="00222921" w:rsidP="00EF7BDF"/>
    <w:tbl>
      <w:tblPr>
        <w:tblStyle w:val="Tabellenraster"/>
        <w:tblW w:w="0" w:type="auto"/>
        <w:tblLook w:val="04A0" w:firstRow="1" w:lastRow="0" w:firstColumn="1" w:lastColumn="0" w:noHBand="0" w:noVBand="1"/>
      </w:tblPr>
      <w:tblGrid>
        <w:gridCol w:w="9062"/>
      </w:tblGrid>
      <w:tr w:rsidR="00EF7BDF" w14:paraId="69C2DD4E" w14:textId="77777777" w:rsidTr="00B83184">
        <w:tc>
          <w:tcPr>
            <w:tcW w:w="9062" w:type="dxa"/>
          </w:tcPr>
          <w:p w14:paraId="5D2EDC36" w14:textId="4A401C96" w:rsidR="00EF7BDF" w:rsidRDefault="00EF7BDF" w:rsidP="00B83184">
            <w:r>
              <w:t xml:space="preserve">Dennoch </w:t>
            </w:r>
            <w:r w:rsidR="00DB1BF2">
              <w:t>gab und gibt</w:t>
            </w:r>
            <w:r>
              <w:t xml:space="preserve"> es weiter Aufregung über den Verkehrssektor, u.a. weil das Umweltbundesamt einen Bericht ‚Verkehrssektor auf Kurs bringen: Szenarien zur Treibhausgasneutralität 2045‘ herausgegeben hatte, in denen drastische Maßnahmen beschrieben werden, etwa erhöhte Kraftfahrzeugsteuern für Autos mit Verbrennungsmotoren, Kilometerabgaben für private Autos, von 1,3 Cent bis 7 Cent, Ziel ist, dass der Individualverkehr um ein Viertel schrumpft.</w:t>
            </w:r>
            <w:r>
              <w:rPr>
                <w:rStyle w:val="Funotenzeichen"/>
              </w:rPr>
              <w:footnoteReference w:id="381"/>
            </w:r>
            <w:r>
              <w:t xml:space="preserve"> Tobias Piller schreibt in der FAZ: „</w:t>
            </w:r>
            <w:r w:rsidRPr="003D219F">
              <w:t>Die Forderungen deutscher Klimaschützer haben vor allem das Problem, dass sie nur in Deutschland ein Exempel statuieren wollen, aber den Rest der Welt gerne vergessen: In Deutschland sind die gesamten CO2-Emissionen von 1990 bis 2022 um 37 Prozent gesunken, in der EU um 27 Prozent, in der Welt sind sie dagegen in diesem Zeitraum um 62 Prozent gewachsen, in China um 285 Prozent. Die Emissionen des deutschen Verkehrssektors schrumpften in der gleichen Zeit um 10 Prozent, während sie in der EU um 19 Prozent stiegen, global um 72 Prozent.</w:t>
            </w:r>
            <w:r>
              <w:t>“</w:t>
            </w:r>
            <w:r>
              <w:rPr>
                <w:rStyle w:val="Funotenzeichen"/>
              </w:rPr>
              <w:footnoteReference w:id="382"/>
            </w:r>
            <w:r>
              <w:t xml:space="preserve"> Ein weiterer aktueller Bericht zum Thema Verkehr wurde von Think Tank Agora herausgegeben, er argumentiert, dass späte Maßnahmen teurer werden.</w:t>
            </w:r>
            <w:r>
              <w:rPr>
                <w:rStyle w:val="Funotenzeichen"/>
              </w:rPr>
              <w:footnoteReference w:id="383"/>
            </w:r>
            <w:r w:rsidR="001F2BD5">
              <w:t xml:space="preserve"> </w:t>
            </w:r>
            <w:r w:rsidR="00F201EB">
              <w:t>Es gibt Irritationen über die Schadstoffmessung und die Sorge, dass viele Diesel-Pkw nicht mehr betrieben werden dürfen, dies wird ein EuGH-Fall klären, der noch bearbeitet wird.</w:t>
            </w:r>
            <w:r w:rsidR="00F201EB">
              <w:rPr>
                <w:rStyle w:val="Funotenzeichen"/>
              </w:rPr>
              <w:footnoteReference w:id="384"/>
            </w:r>
            <w:r w:rsidR="00F201EB">
              <w:t xml:space="preserve"> </w:t>
            </w:r>
            <w:r w:rsidR="001F2BD5">
              <w:t>Die FDP hat sich mit einem 10 Punkte Programm für das Auto zu Wort gemeldet, in dem es u.a. darum geht, dass das Auto weiter einen Bedeutung haben muss und dass das Auto nicht aus den Innenstädten verdrängt wird.</w:t>
            </w:r>
            <w:r w:rsidR="001F2BD5">
              <w:rPr>
                <w:rStyle w:val="Funotenzeichen"/>
              </w:rPr>
              <w:footnoteReference w:id="385"/>
            </w:r>
            <w:r w:rsidR="001F2BD5">
              <w:t xml:space="preserve"> </w:t>
            </w:r>
          </w:p>
        </w:tc>
      </w:tr>
    </w:tbl>
    <w:p w14:paraId="65B92064" w14:textId="77777777" w:rsidR="00112190" w:rsidRDefault="00112190" w:rsidP="00112190"/>
    <w:tbl>
      <w:tblPr>
        <w:tblStyle w:val="Tabellenraster"/>
        <w:tblW w:w="0" w:type="auto"/>
        <w:tblLook w:val="04A0" w:firstRow="1" w:lastRow="0" w:firstColumn="1" w:lastColumn="0" w:noHBand="0" w:noVBand="1"/>
      </w:tblPr>
      <w:tblGrid>
        <w:gridCol w:w="9062"/>
      </w:tblGrid>
      <w:tr w:rsidR="00323D82" w14:paraId="384F5AA4" w14:textId="77777777" w:rsidTr="00323D82">
        <w:tc>
          <w:tcPr>
            <w:tcW w:w="9062" w:type="dxa"/>
          </w:tcPr>
          <w:p w14:paraId="10C38844" w14:textId="7AD927BE" w:rsidR="00323D82" w:rsidRDefault="00323D82" w:rsidP="00112190">
            <w:r>
              <w:lastRenderedPageBreak/>
              <w:t>Bayern hat auch ein Klimaschutzgesetz</w:t>
            </w:r>
            <w:r>
              <w:rPr>
                <w:rStyle w:val="Funotenzeichen"/>
              </w:rPr>
              <w:footnoteReference w:id="386"/>
            </w:r>
            <w:r>
              <w:t>, dort wird das Ziel festgehalten, dass Bayern bis 2040 klimaneutral sein soll.</w:t>
            </w:r>
            <w:r>
              <w:rPr>
                <w:rStyle w:val="Funotenzeichen"/>
              </w:rPr>
              <w:footnoteReference w:id="387"/>
            </w:r>
            <w:r w:rsidR="00154CD9">
              <w:t xml:space="preserve"> Nun gab es offenbar im Kabinett im November 2024 eine Einigung, dass dieser Termin auf 2045 verschoben werden soll, ein dementsprechendes Gesetz ist noch nicht verabschiedet worden.</w:t>
            </w:r>
            <w:r w:rsidR="00154CD9">
              <w:rPr>
                <w:rStyle w:val="Funotenzeichen"/>
              </w:rPr>
              <w:footnoteReference w:id="388"/>
            </w:r>
            <w:r w:rsidR="000D653E">
              <w:t xml:space="preserve"> Niedersachen will bis 2040 in der Gesamtbilanz klimaneutral sein. Der Energie- und Wasserstoffbedarf soll bis 2040 bilanziell voll über erneuerbare Energien gedeckt sein.</w:t>
            </w:r>
            <w:r w:rsidR="000D653E">
              <w:rPr>
                <w:rStyle w:val="Funotenzeichen"/>
              </w:rPr>
              <w:footnoteReference w:id="389"/>
            </w:r>
            <w:r w:rsidR="000D653E">
              <w:t xml:space="preserve"> Auf dieser Webseite von Niedersachen werden alle Aspekte dargelegt, u.a. das niedersächsische Klimagesetz, Fördermöglichkeiten etc.</w:t>
            </w:r>
            <w:r w:rsidR="000D653E">
              <w:rPr>
                <w:rStyle w:val="Funotenzeichen"/>
              </w:rPr>
              <w:footnoteReference w:id="390"/>
            </w:r>
            <w:r w:rsidR="000D653E">
              <w:t xml:space="preserve"> Siehe die Klimaschutz Niedersachsen Webseite.</w:t>
            </w:r>
            <w:r w:rsidR="000D653E">
              <w:rPr>
                <w:rStyle w:val="Funotenzeichen"/>
              </w:rPr>
              <w:footnoteReference w:id="391"/>
            </w:r>
          </w:p>
        </w:tc>
      </w:tr>
    </w:tbl>
    <w:p w14:paraId="79D30587" w14:textId="77777777" w:rsidR="00323D82" w:rsidRDefault="00323D82" w:rsidP="00112190"/>
    <w:p w14:paraId="19985D86" w14:textId="44F42F87" w:rsidR="00010DB4" w:rsidRDefault="00010DB4" w:rsidP="00112190">
      <w:r>
        <w:t xml:space="preserve">Aber nicht nur in Deutschland ist es stark umstritten, dass in allen Bereichen gleichzeitig Klimamaßnahmen durchgeführt werden. </w:t>
      </w:r>
    </w:p>
    <w:p w14:paraId="5CD0012A" w14:textId="77777777" w:rsidR="00010DB4" w:rsidRDefault="00010DB4" w:rsidP="00112190"/>
    <w:tbl>
      <w:tblPr>
        <w:tblStyle w:val="Tabellenraster"/>
        <w:tblW w:w="0" w:type="auto"/>
        <w:tblLook w:val="04A0" w:firstRow="1" w:lastRow="0" w:firstColumn="1" w:lastColumn="0" w:noHBand="0" w:noVBand="1"/>
      </w:tblPr>
      <w:tblGrid>
        <w:gridCol w:w="9062"/>
      </w:tblGrid>
      <w:tr w:rsidR="00010DB4" w14:paraId="1A7DE007" w14:textId="77777777" w:rsidTr="00010DB4">
        <w:tc>
          <w:tcPr>
            <w:tcW w:w="9062" w:type="dxa"/>
          </w:tcPr>
          <w:p w14:paraId="39CA21C2" w14:textId="18DD3559" w:rsidR="00010DB4" w:rsidRDefault="00010DB4" w:rsidP="00112190">
            <w:r>
              <w:t xml:space="preserve">Die neue </w:t>
            </w:r>
            <w:r w:rsidR="000F0411">
              <w:t xml:space="preserve">rechtskonservative </w:t>
            </w:r>
            <w:r>
              <w:t>Regierung in den Niederlanden</w:t>
            </w:r>
            <w:r w:rsidR="000F0411">
              <w:t xml:space="preserve"> hat </w:t>
            </w:r>
            <w:r w:rsidR="004C2A40">
              <w:t xml:space="preserve">offenbar </w:t>
            </w:r>
            <w:r w:rsidR="000F0411">
              <w:t>Geld für mehr Klimaschutz in der Landwirtschaft gestrichen, von 24 Mrd. auf 5 Mrd. Euro. Auch in den Niederlanden gibt es richterliche Beschlüsse, die mehr Klimaschutz einfordern, etwa den Stickstoffausstoß in Naturschutzgebieten zu senken. Dies ist aber derzeit noch im Fluss.</w:t>
            </w:r>
            <w:r w:rsidR="000F0411">
              <w:rPr>
                <w:rStyle w:val="Funotenzeichen"/>
              </w:rPr>
              <w:footnoteReference w:id="392"/>
            </w:r>
          </w:p>
        </w:tc>
      </w:tr>
    </w:tbl>
    <w:p w14:paraId="1A7DC589" w14:textId="77777777" w:rsidR="00154CD9" w:rsidRDefault="00154CD9" w:rsidP="00112190"/>
    <w:p w14:paraId="06E27AAB" w14:textId="233667B7" w:rsidR="00194AA0" w:rsidRDefault="00194AA0" w:rsidP="00112190">
      <w:r>
        <w:t>Klimaschutzgesetz und Klimaschutzprogramm werden zum Thema von Gerichtsentscheidungen:</w:t>
      </w:r>
    </w:p>
    <w:p w14:paraId="4A14D274" w14:textId="77777777" w:rsidR="00194AA0" w:rsidRDefault="00194AA0" w:rsidP="00112190"/>
    <w:tbl>
      <w:tblPr>
        <w:tblStyle w:val="Tabellenraster"/>
        <w:tblW w:w="0" w:type="auto"/>
        <w:tblLook w:val="04A0" w:firstRow="1" w:lastRow="0" w:firstColumn="1" w:lastColumn="0" w:noHBand="0" w:noVBand="1"/>
      </w:tblPr>
      <w:tblGrid>
        <w:gridCol w:w="9062"/>
      </w:tblGrid>
      <w:tr w:rsidR="00112190" w14:paraId="3ED07ACB" w14:textId="77777777" w:rsidTr="006B301B">
        <w:tc>
          <w:tcPr>
            <w:tcW w:w="9062" w:type="dxa"/>
          </w:tcPr>
          <w:p w14:paraId="51D1AF7D" w14:textId="6EEC6C35" w:rsidR="00830196" w:rsidRDefault="00112190" w:rsidP="006B301B">
            <w:r>
              <w:t>Gerichtsentscheidung</w:t>
            </w:r>
            <w:r w:rsidR="00B002FD">
              <w:t>en</w:t>
            </w:r>
            <w:r>
              <w:t xml:space="preserve"> zum Thema Klimaschutz</w:t>
            </w:r>
            <w:r w:rsidR="00830196">
              <w:t>gesetz und Klimaschutz</w:t>
            </w:r>
            <w:r>
              <w:t xml:space="preserve">programm. </w:t>
            </w:r>
          </w:p>
          <w:p w14:paraId="4185FC4E" w14:textId="77777777" w:rsidR="00830196" w:rsidRDefault="00830196" w:rsidP="006B301B"/>
          <w:p w14:paraId="758832BF" w14:textId="764F5B77" w:rsidR="00830196" w:rsidRDefault="00830196" w:rsidP="00EB4BD6">
            <w:r>
              <w:t xml:space="preserve">Im </w:t>
            </w:r>
            <w:r w:rsidR="00222921">
              <w:t xml:space="preserve">wegweisenden </w:t>
            </w:r>
            <w:r>
              <w:t xml:space="preserve">Urteil des Bundesverfassungsgerichts vom 24. März 2021 wurde </w:t>
            </w:r>
            <w:r w:rsidR="00222921">
              <w:t>festgestellt</w:t>
            </w:r>
            <w:r>
              <w:t>, dass Art. 2 Abs. 2 Satz 1 GG, der Schutz des Lebens und der körperlichen Unversehrtheit, auch den Schutz vor Umweltbelastungen einschließt. Daraus folgt, dass der Staat auch die Verpflichtung hat, „Leben und Gesundheit vor den Gefahren des Klimawandels zu schützen. Sie kann eine objektivrechtliche Schutzverpflichtung auch in Bezug auf künftige Generationen begründen.“ Auch der Umwelt- und Tierschutz Artikel 20a GG</w:t>
            </w:r>
            <w:r w:rsidR="00BE4E9C">
              <w:rPr>
                <w:rStyle w:val="Funotenzeichen"/>
              </w:rPr>
              <w:footnoteReference w:id="393"/>
            </w:r>
            <w:r>
              <w:t xml:space="preserve"> lässt sich auf den Klimawandel beziehen</w:t>
            </w:r>
            <w:r w:rsidR="00EB4BD6">
              <w:t xml:space="preserve">. </w:t>
            </w:r>
            <w:r>
              <w:t xml:space="preserve">Dieser Artikel </w:t>
            </w:r>
            <w:r w:rsidR="00BE4E9C">
              <w:t xml:space="preserve">„verpflichtet den Staat zum Klimaschutz. Dies zielt auch auf die Herstellung von Klimaneutralität“, … dies </w:t>
            </w:r>
            <w:r>
              <w:t>„genießt keinen unbedingten Vorrang gegenüberanderen Belangen, sondern ist im Konfliktfall in einen Ausgleich mit anderen Verfassungsrechtsgütern und Verfassungsprinzipien zu bringen. Dabei nimmt das</w:t>
            </w:r>
            <w:r w:rsidR="00BE4E9C">
              <w:t xml:space="preserve"> </w:t>
            </w:r>
            <w:r>
              <w:t>relative Gewicht des Klimaschutzgebots in der Abwägung bei fortschreitendem</w:t>
            </w:r>
            <w:r w:rsidR="00BE4E9C">
              <w:t xml:space="preserve"> </w:t>
            </w:r>
            <w:r>
              <w:t>Klimawandel</w:t>
            </w:r>
            <w:r w:rsidR="00BE4E9C">
              <w:t xml:space="preserve"> </w:t>
            </w:r>
            <w:r>
              <w:t>weiter zu.</w:t>
            </w:r>
            <w:r w:rsidR="00BE4E9C">
              <w:t xml:space="preserve">“ </w:t>
            </w:r>
            <w:r w:rsidR="00EB4BD6">
              <w:t xml:space="preserve">Und in Leitsatz 4: „Die Schonung künftiger Freiheit verlangt auch, den Übergang zur Klimaneutralität rechtzeitig einzuleiten. Konkret erfordert dies, dass frühzeitig transparente Maßgaben für die weitere Ausgestaltung der Treibhausgasreduktion formuliert werden, die für die erforderlichen Entwicklungs- und </w:t>
            </w:r>
            <w:r w:rsidR="00EB4BD6">
              <w:lastRenderedPageBreak/>
              <w:t xml:space="preserve">Umsetzungsprozesse Orientierung bieten und diesen ein hinreichendes Maß an Entwicklungsdruck und Planungssicherheit vermitteln“ </w:t>
            </w:r>
            <w:r w:rsidR="00BE4E9C">
              <w:t xml:space="preserve">So wird formuliert in den Leitsätzen 1.  und 2 a. und 4. in Urteil </w:t>
            </w:r>
            <w:proofErr w:type="gramStart"/>
            <w:r w:rsidR="00BE4E9C">
              <w:t>des Bundesverfassungsgericht</w:t>
            </w:r>
            <w:proofErr w:type="gramEnd"/>
            <w:r w:rsidR="00BE4E9C">
              <w:t>, 24. März 2021, Beschluss Erster Senat, u.a. 1 BVR 2656/18.</w:t>
            </w:r>
          </w:p>
          <w:p w14:paraId="112FD70D" w14:textId="77777777" w:rsidR="00BE4E9C" w:rsidRDefault="00BE4E9C" w:rsidP="00830196"/>
          <w:p w14:paraId="22962E8A" w14:textId="525CB1B2" w:rsidR="00EB4BD6" w:rsidRDefault="00053A62" w:rsidP="00885C84">
            <w:r>
              <w:t xml:space="preserve">Konkret wird am Klimaschutzgesetz kritisiert, dass dies nur bis 2030 Emissionsminderungen festgelegt hat, die keine Planung bis 2050 ermöglichen und 2025 nur ein Verwaltungsverfahren neue Emissionsgrenzen festlegen darf. Dies könnte aber nur in einem ordentlichen Gesetzgebungsverfahren erfolgen, weil </w:t>
            </w:r>
            <w:r w:rsidR="00885C84">
              <w:t>dies den „Freiheits- und Gleichheitsbereich des Bürgers wesentlich“ betrifft (</w:t>
            </w:r>
            <w:proofErr w:type="spellStart"/>
            <w:r w:rsidR="00885C84">
              <w:t>Rdnr</w:t>
            </w:r>
            <w:proofErr w:type="spellEnd"/>
            <w:r w:rsidR="00885C84">
              <w:t>. 260). 2025 sei zu spät, da 5 Jahre kein „hinreichender Planungshorizont“ sei, um Änderungen in „vielen Produktions-, Konsum-, und Infrastrukturbereichen“ durchzuführen (</w:t>
            </w:r>
            <w:proofErr w:type="spellStart"/>
            <w:r w:rsidR="00885C84">
              <w:t>Rdnr</w:t>
            </w:r>
            <w:proofErr w:type="spellEnd"/>
            <w:r w:rsidR="00885C84">
              <w:t>. 258). Es müsse bald etwas getan werden, „um künftige Freiheit nicht plötzlich, radikal und ersatzlos beschneiden zu müssen.“ (</w:t>
            </w:r>
            <w:proofErr w:type="spellStart"/>
            <w:r w:rsidR="00885C84">
              <w:t>Rdnr</w:t>
            </w:r>
            <w:proofErr w:type="spellEnd"/>
            <w:r w:rsidR="00885C84">
              <w:t>. 253), „Zum anderen müssen weitere Jahresemissionsmengen und Reduktionsmaßgaben so differenziert festgelegt werden, dass eine hinreichend konkrete Orientierung entsteht.“ (</w:t>
            </w:r>
            <w:proofErr w:type="spellStart"/>
            <w:r w:rsidR="00885C84">
              <w:t>Rdnr</w:t>
            </w:r>
            <w:proofErr w:type="spellEnd"/>
            <w:r w:rsidR="00885C84">
              <w:t>. 254). Es kann aber auch nicht verlangt werden, bereits jetzt die absinkenden Emissionsmengen bis 2050 konkret zu bestimmen (</w:t>
            </w:r>
            <w:proofErr w:type="spellStart"/>
            <w:r w:rsidR="00885C84">
              <w:t>Rdnr</w:t>
            </w:r>
            <w:proofErr w:type="spellEnd"/>
            <w:r w:rsidR="00885C84">
              <w:t>. 257), aber es muss klar gemacht werden, wann weitere Festlegungen in einem transparenten Gesetzgebungsverfahren getroffen werden (</w:t>
            </w:r>
            <w:proofErr w:type="spellStart"/>
            <w:r w:rsidR="00885C84">
              <w:t>Rdnr</w:t>
            </w:r>
            <w:proofErr w:type="spellEnd"/>
            <w:r w:rsidR="00885C84">
              <w:t>. 257).</w:t>
            </w:r>
            <w:r w:rsidR="003804C7">
              <w:t xml:space="preserve"> Aus diesen Gründen sind</w:t>
            </w:r>
            <w:r w:rsidR="003804C7" w:rsidRPr="003804C7">
              <w:t xml:space="preserve"> § 3 Abs. 1 Satz 2 und § 4 Abs. 1 Satz 3 KSG</w:t>
            </w:r>
            <w:r w:rsidR="003804C7">
              <w:t xml:space="preserve"> verfassungswidrig, bleiben aber weiter bestehen, da es sonst zu einem Zustand käme, der noch verfassungswidriger sein würde (</w:t>
            </w:r>
            <w:proofErr w:type="spellStart"/>
            <w:r w:rsidR="003804C7">
              <w:t>Rdnr</w:t>
            </w:r>
            <w:proofErr w:type="spellEnd"/>
            <w:r w:rsidR="003804C7">
              <w:t>. 266).</w:t>
            </w:r>
          </w:p>
          <w:p w14:paraId="55089D88" w14:textId="77777777" w:rsidR="004E49E6" w:rsidRDefault="004E49E6" w:rsidP="00830196"/>
          <w:p w14:paraId="13299150" w14:textId="3590CEAB" w:rsidR="00222921" w:rsidRDefault="00222921" w:rsidP="00222921">
            <w:r>
              <w:t>Es sei so</w:t>
            </w:r>
            <w:r w:rsidR="00593E87">
              <w:t xml:space="preserve">, dass Art. 20a GG „keinen absoluten Vorrang des Klimaschutzes statuiert, der sich im Verhältnis zu gegenläufigen Grundrechten oder anderen elementaren Verfassungsrechtsgütern- oder </w:t>
            </w:r>
            <w:proofErr w:type="spellStart"/>
            <w:r w:rsidR="00593E87">
              <w:t>prinzipien</w:t>
            </w:r>
            <w:proofErr w:type="spellEnd"/>
            <w:r w:rsidR="00593E87">
              <w:t xml:space="preserve"> zwangsläufig durchsetzen müsse“ …. dennoch </w:t>
            </w:r>
            <w:r w:rsidR="00B002FD">
              <w:t xml:space="preserve">wäre es aber offenkundig </w:t>
            </w:r>
            <w:r w:rsidR="00593E87">
              <w:t xml:space="preserve">so, dass wenn bis 2030 mit dem Klimaschutz lässig umgegangen wird und dann plötzlich 2031 klar wird, dass nun erhebliche Anstrengungen erfolgen müssen, dass dann auch aus der Verfassung eine Verpflichtung hergeleitet werden könne: „würde das verfassungsrechtliche Klimaschutzgebot – verstärkt durch grundrechtliche Schutzpflichten aus Art. 2 Abs 2 Satz 1 und Art. 14 Abs. 1 GG – </w:t>
            </w:r>
            <w:r w:rsidR="00B002FD">
              <w:t xml:space="preserve">und dies würde </w:t>
            </w:r>
            <w:r w:rsidR="00593E87">
              <w:t>die Hinnahme erheblicher Freiheitseinschränkungen fordern, die aus heutiger Sicht kaum zumutbar sind.“ (</w:t>
            </w:r>
            <w:proofErr w:type="spellStart"/>
            <w:r w:rsidR="00593E87">
              <w:t>Rdr</w:t>
            </w:r>
            <w:proofErr w:type="spellEnd"/>
            <w:r w:rsidR="00593E87">
              <w:t>. 246)</w:t>
            </w:r>
            <w:r w:rsidR="00B002FD">
              <w:t xml:space="preserve">. </w:t>
            </w:r>
            <w:proofErr w:type="gramStart"/>
            <w:r>
              <w:t>Dieses Urteile</w:t>
            </w:r>
            <w:proofErr w:type="gramEnd"/>
            <w:r>
              <w:t xml:space="preserve"> enthält weitere Festlegungen, etwa dass der Staat nicht alles in der Transformation selbst „erbringen“ muss, dies verstehe ich an der Stelle so, dass die Bürger auch etwas tun bzw. ggf. auch finanziell übernehmen müssen (</w:t>
            </w:r>
            <w:proofErr w:type="spellStart"/>
            <w:r>
              <w:t>Rdnr</w:t>
            </w:r>
            <w:proofErr w:type="spellEnd"/>
            <w:r>
              <w:t xml:space="preserve">. 248). </w:t>
            </w:r>
          </w:p>
          <w:p w14:paraId="62011A10" w14:textId="53F9A669" w:rsidR="00593E87" w:rsidRDefault="00B002FD" w:rsidP="00830196">
            <w:r>
              <w:t xml:space="preserve">Damit </w:t>
            </w:r>
            <w:r w:rsidR="00222921">
              <w:t>lässt das BVerfG der Politik gewisse Spielräume, es macht aber auch klar</w:t>
            </w:r>
            <w:r>
              <w:t xml:space="preserve">, dass es </w:t>
            </w:r>
            <w:r w:rsidR="00222921">
              <w:t xml:space="preserve">mit den Grundrechten </w:t>
            </w:r>
            <w:r>
              <w:t xml:space="preserve">nicht im Einklang zu bringen wäre, wenn </w:t>
            </w:r>
            <w:r w:rsidR="00222921">
              <w:t xml:space="preserve">zum Beispiel </w:t>
            </w:r>
            <w:r>
              <w:t xml:space="preserve">eine neue Regierung Klimaschutzanstrengungen gänzlich abbrechen würde oder wenn sie diese nur merklich abgeschwächt laufen lassen würde. Es wäre mit den Grundrechten in Einklang zu bringen, wenn man das Klimaschutzgesetz anders ausgestalten und </w:t>
            </w:r>
            <w:r w:rsidR="00222921">
              <w:t xml:space="preserve">Klimaschutzmaßnahmen </w:t>
            </w:r>
            <w:r>
              <w:t>anders sequenzieren würde.</w:t>
            </w:r>
          </w:p>
          <w:p w14:paraId="5C55829F" w14:textId="77777777" w:rsidR="00593E87" w:rsidRDefault="00593E87" w:rsidP="00830196"/>
          <w:p w14:paraId="31839C99" w14:textId="5A1A1380" w:rsidR="005525C5" w:rsidRDefault="005525C5" w:rsidP="00830196">
            <w:r>
              <w:t>Die Novelle des Klimaschutzgesetzes vom 26. April 2024 mit den sektoralen Flexibilitäten ist Thema einer erneuten Beschwerde vor dem Bundesverfassungsgericht. Es klagen die Deutsche Umwelthilfe, Greenpeace, Germanwatch, der Bund für Umwelt und Naturschutz Deutschland und der Solarenergie-Förderverein Deutschland.</w:t>
            </w:r>
            <w:r>
              <w:rPr>
                <w:rStyle w:val="Funotenzeichen"/>
              </w:rPr>
              <w:footnoteReference w:id="394"/>
            </w:r>
          </w:p>
          <w:p w14:paraId="34EB6AA0" w14:textId="77777777" w:rsidR="005525C5" w:rsidRDefault="005525C5" w:rsidP="00830196"/>
          <w:p w14:paraId="4BEDB3E3" w14:textId="15454C81" w:rsidR="003804C7" w:rsidRDefault="003804C7" w:rsidP="00830196">
            <w:r>
              <w:lastRenderedPageBreak/>
              <w:t>E</w:t>
            </w:r>
            <w:r w:rsidR="005525C5">
              <w:t>inzelne Stimmen haben den Eindruck</w:t>
            </w:r>
            <w:r>
              <w:t xml:space="preserve">, dass das Staatsziel Umweltschutz </w:t>
            </w:r>
            <w:r w:rsidR="005525C5">
              <w:t>in</w:t>
            </w:r>
            <w:r>
              <w:t xml:space="preserve"> einer Abwägung </w:t>
            </w:r>
            <w:proofErr w:type="gramStart"/>
            <w:r>
              <w:t>gegenüber sozialen und ökonomische Interessen</w:t>
            </w:r>
            <w:proofErr w:type="gramEnd"/>
            <w:r>
              <w:t xml:space="preserve"> weniger stark gewichtet werden darf. Deshalb wird z.B. gefordert Ökologie stärker im Grundgesetz zu verankern.</w:t>
            </w:r>
            <w:r>
              <w:rPr>
                <w:rStyle w:val="Funotenzeichen"/>
              </w:rPr>
              <w:footnoteReference w:id="395"/>
            </w:r>
            <w:r>
              <w:t xml:space="preserve">  </w:t>
            </w:r>
          </w:p>
          <w:p w14:paraId="19D59C40" w14:textId="77777777" w:rsidR="003804C7" w:rsidRDefault="003804C7" w:rsidP="00830196"/>
          <w:p w14:paraId="0A1C8515" w14:textId="2350CAAD" w:rsidR="00112190" w:rsidRDefault="00B002FD" w:rsidP="006B301B">
            <w:r>
              <w:t>Bezüglich des</w:t>
            </w:r>
            <w:r w:rsidR="00112190">
              <w:t xml:space="preserve"> Klimaschutzprogramm</w:t>
            </w:r>
            <w:r>
              <w:t>s</w:t>
            </w:r>
            <w:r w:rsidR="00112190">
              <w:t xml:space="preserve"> bzw. d</w:t>
            </w:r>
            <w:r>
              <w:t>en</w:t>
            </w:r>
            <w:r w:rsidR="00112190">
              <w:t xml:space="preserve"> dort aufgelisteten Maßnahmen</w:t>
            </w:r>
            <w:r>
              <w:t xml:space="preserve"> wird festgestellt, dass diese </w:t>
            </w:r>
            <w:r w:rsidR="00112190">
              <w:t>nicht aus</w:t>
            </w:r>
            <w:r>
              <w:t>reichen</w:t>
            </w:r>
            <w:r w:rsidR="00112190">
              <w:t xml:space="preserve">, um die Klimaziele zu erreichen. Dies entschied das Oberverwaltungsgericht Berlin am 16.05.2024, </w:t>
            </w:r>
            <w:r w:rsidR="00112190" w:rsidRPr="00A95A23">
              <w:t>Aktenzeichen OVG 11 A 22/21 und OVG 11 A 31/22</w:t>
            </w:r>
            <w:r w:rsidR="00112190">
              <w:t>, geklagt hatte die Deutsche Umwelthilfe.</w:t>
            </w:r>
            <w:r w:rsidR="00112190">
              <w:rPr>
                <w:rStyle w:val="Funotenzeichen"/>
              </w:rPr>
              <w:footnoteReference w:id="396"/>
            </w:r>
            <w:r w:rsidR="00112190">
              <w:t xml:space="preserve"> </w:t>
            </w:r>
          </w:p>
          <w:p w14:paraId="46DFD344" w14:textId="77777777" w:rsidR="005525C5" w:rsidRDefault="005525C5" w:rsidP="006B301B"/>
          <w:p w14:paraId="38E59C33" w14:textId="77777777" w:rsidR="00D05D5C" w:rsidRDefault="00112190" w:rsidP="00D05D5C">
            <w:r>
              <w:t xml:space="preserve">Es gibt mehrere </w:t>
            </w:r>
            <w:r w:rsidR="00BB76AC">
              <w:t xml:space="preserve">weitere </w:t>
            </w:r>
            <w:r>
              <w:t>Gerichtsverfahren im Bereich Klimawandel. Ein peruanischer Bergbauer klagt vor dem Oberlandesgericht Hamm, dieses Verfahren befindet sich in der Beweisphase.</w:t>
            </w:r>
            <w:r>
              <w:rPr>
                <w:rStyle w:val="Funotenzeichen"/>
              </w:rPr>
              <w:footnoteReference w:id="397"/>
            </w:r>
            <w:r>
              <w:t xml:space="preserve"> </w:t>
            </w:r>
            <w:r w:rsidR="00570018">
              <w:t xml:space="preserve">Das Oberlandesgericht Braunschweig hat eine von Greenpeace und Roland Hipp initiierte Berufungsklage </w:t>
            </w:r>
            <w:r w:rsidR="00576E18">
              <w:t xml:space="preserve">gegen </w:t>
            </w:r>
            <w:r w:rsidR="00570018">
              <w:t>VW</w:t>
            </w:r>
            <w:r w:rsidR="00576E18">
              <w:t>, BMW und Mercedes als offensichtlich unbegründet zurückgewiesen, da unstreitig war, dass sich die Autokonzerne an die Vorgaben des Gesetzgebers halten. Die Kläger hatten weitergehende Aktivitäten gefordert. Nun setzen die Kläger auf den Bundesgerichtshof.</w:t>
            </w:r>
            <w:r w:rsidR="00576E18">
              <w:rPr>
                <w:rStyle w:val="Funotenzeichen"/>
              </w:rPr>
              <w:footnoteReference w:id="398"/>
            </w:r>
            <w:r w:rsidR="00D05D5C">
              <w:t xml:space="preserve"> Das Urteil zum Fall eines Kleinbauers aus Peru, der RWE zur Beteiligung an Klimaschutzmaßnahmen zwingen will</w:t>
            </w:r>
            <w:r w:rsidR="00D05D5C">
              <w:rPr>
                <w:rStyle w:val="Funotenzeichen"/>
              </w:rPr>
              <w:footnoteReference w:id="399"/>
            </w:r>
            <w:r w:rsidR="00D05D5C">
              <w:t>, wird am 28. Mail 2025 erwartet. Hier geht es u.a. um die Frage, wie wahrscheinlich ist, dass das Haus des Bauern von einem oberhalb gelegenen Gletschersee gefährdet wird. Das Oberlandesgericht Hamm hat diese Klage am 28.05.2025 nun zurückgewiesen, ohne die Möglichkeit einer Revision.</w:t>
            </w:r>
            <w:r w:rsidR="00D05D5C">
              <w:rPr>
                <w:rStyle w:val="Funotenzeichen"/>
              </w:rPr>
              <w:footnoteReference w:id="400"/>
            </w:r>
            <w:r w:rsidR="00D05D5C">
              <w:t xml:space="preserve"> Hier die Pressemitteilung.</w:t>
            </w:r>
            <w:r w:rsidR="00D05D5C">
              <w:rPr>
                <w:rStyle w:val="Funotenzeichen"/>
              </w:rPr>
              <w:footnoteReference w:id="401"/>
            </w:r>
            <w:r w:rsidR="00D05D5C">
              <w:t xml:space="preserve"> Germanwatch wertet die Klage als Erfolg, da man eine Klage gewinnen könne, wenn die Wahrscheinlichkeit einer Schädigung hoch sei.</w:t>
            </w:r>
            <w:r w:rsidR="00D05D5C">
              <w:rPr>
                <w:rStyle w:val="Funotenzeichen"/>
              </w:rPr>
              <w:footnoteReference w:id="402"/>
            </w:r>
            <w:r w:rsidR="00D05D5C">
              <w:t xml:space="preserve"> Eine Suche in der Rechtsdatenbank von NRW führt derzeit noch nicht zum Erfolg.</w:t>
            </w:r>
          </w:p>
          <w:p w14:paraId="72A4241C" w14:textId="77777777" w:rsidR="00D05D5C" w:rsidRDefault="00D05D5C" w:rsidP="00D05D5C"/>
          <w:p w14:paraId="0BB63D24" w14:textId="7DF2EF0C" w:rsidR="00D05D5C" w:rsidRDefault="00D05D5C" w:rsidP="00D05D5C">
            <w:r>
              <w:t>Eine weitere Klage vor dem BVerfG ist mit Fokus auf den Biodiversitätsschutz und für den Schutz von Ökosystemen generell eingereicht worden, u.a. vom Bund für Umwelt und Naturschutz Deutschland.</w:t>
            </w:r>
            <w:r>
              <w:rPr>
                <w:rStyle w:val="Funotenzeichen"/>
              </w:rPr>
              <w:footnoteReference w:id="403"/>
            </w:r>
          </w:p>
          <w:p w14:paraId="0B119B7F" w14:textId="77777777" w:rsidR="00570018" w:rsidRDefault="00570018" w:rsidP="006B301B"/>
          <w:p w14:paraId="4FC12B52" w14:textId="39646D55" w:rsidR="00D61A17" w:rsidRDefault="00D61A17" w:rsidP="006B301B">
            <w:r>
              <w:t>Deutschland hat 2007 die Aarhus-Konvention unterzeichnet, ein internationales Übereinkommen, in dem es Vorgaben für den Gerichtszugang im Umweltbereich gibt. Es geht hier u.a. um die Klagebefugnis von Umweltverbänden, ob diese i.S. des Umweltschutzes klagen dürfen, auch dann, wenn sie nicht in ihren Rechten verletzt zu sein. Dies war in Deutschland bisher unzureichend umgesetzt bzw. geregelt worden. Richter hatten dies mit Verweis auf das Europa- und Völkerrecht ein Klagebefugnis eingeräumt. Nun wurde eine Umweltrechtsbehelfsgesetz (</w:t>
            </w:r>
            <w:proofErr w:type="spellStart"/>
            <w:r>
              <w:t>UmwRG</w:t>
            </w:r>
            <w:proofErr w:type="spellEnd"/>
            <w:r>
              <w:t>) entwickelt, der kein pauschales Klagerecht, sondern eine Liste von Klagegründen enthält.</w:t>
            </w:r>
            <w:r>
              <w:rPr>
                <w:rStyle w:val="Funotenzeichen"/>
              </w:rPr>
              <w:footnoteReference w:id="404"/>
            </w:r>
            <w:r>
              <w:t xml:space="preserve">  </w:t>
            </w:r>
          </w:p>
          <w:p w14:paraId="01944D20" w14:textId="77777777" w:rsidR="00D61A17" w:rsidRDefault="00D61A17" w:rsidP="006B301B"/>
          <w:p w14:paraId="1952BD45" w14:textId="2911A361" w:rsidR="00374563" w:rsidRDefault="00112190" w:rsidP="006B301B">
            <w:r>
              <w:lastRenderedPageBreak/>
              <w:t>Weiterhin gab es beim Europäischen Gerichtshof für Menschenrechte</w:t>
            </w:r>
            <w:r w:rsidR="00222921">
              <w:rPr>
                <w:rStyle w:val="Funotenzeichen"/>
              </w:rPr>
              <w:footnoteReference w:id="405"/>
            </w:r>
            <w:r>
              <w:t xml:space="preserve"> am 09.04.2024 ein</w:t>
            </w:r>
            <w:r w:rsidR="00D706CE">
              <w:t xml:space="preserve"> interessantes</w:t>
            </w:r>
            <w:r w:rsidR="00222921">
              <w:t xml:space="preserve"> </w:t>
            </w:r>
            <w:r>
              <w:t>Urteil</w:t>
            </w:r>
            <w:r w:rsidR="00D706CE">
              <w:t xml:space="preserve"> über die ‚fehlende‘ Klimapolitik </w:t>
            </w:r>
            <w:r w:rsidR="00252720">
              <w:t>der Schweiz</w:t>
            </w:r>
            <w:r w:rsidR="00D706CE">
              <w:t>.</w:t>
            </w:r>
            <w:r w:rsidR="001926E2">
              <w:t xml:space="preserve"> </w:t>
            </w:r>
            <w:r w:rsidR="00252720">
              <w:t xml:space="preserve">Nachdem ein </w:t>
            </w:r>
            <w:r w:rsidR="00D706CE">
              <w:t>CO2-</w:t>
            </w:r>
            <w:r w:rsidR="00252720">
              <w:t xml:space="preserve">Gesetz per Referendum 2021 abgelehnt wurde, gibt es </w:t>
            </w:r>
            <w:r w:rsidR="00D706CE">
              <w:t xml:space="preserve">offenbar bis heute </w:t>
            </w:r>
            <w:r w:rsidR="00252720">
              <w:t>noch</w:t>
            </w:r>
            <w:r w:rsidR="00D706CE">
              <w:t xml:space="preserve"> </w:t>
            </w:r>
            <w:r w:rsidR="00252720">
              <w:t>kein neues Gesetz, dass die Zeit nach 2024 plant. Die Schweiz hat einzig</w:t>
            </w:r>
            <w:r w:rsidR="001926E2">
              <w:t xml:space="preserve"> ihren NDC-Bericht</w:t>
            </w:r>
            <w:r w:rsidR="00252720">
              <w:rPr>
                <w:rStyle w:val="Funotenzeichen"/>
              </w:rPr>
              <w:footnoteReference w:id="406"/>
            </w:r>
            <w:r w:rsidR="001926E2">
              <w:t xml:space="preserve"> an die UNFCCC abgegeben</w:t>
            </w:r>
            <w:r w:rsidR="00252720">
              <w:t>, hier</w:t>
            </w:r>
            <w:r w:rsidR="00D706CE">
              <w:t xml:space="preserve"> wird versprochen, dass</w:t>
            </w:r>
            <w:r w:rsidR="00252720">
              <w:t xml:space="preserve"> die CO2-Emissionen bis 2030 um 45 % gesenkt werden</w:t>
            </w:r>
            <w:r w:rsidR="001926E2">
              <w:t xml:space="preserve">. Schweizer Gerichte hatten </w:t>
            </w:r>
            <w:r w:rsidR="00D706CE">
              <w:t xml:space="preserve">zudem </w:t>
            </w:r>
            <w:r w:rsidR="001926E2">
              <w:t>geurteilt, dass es mit der Bekämpfung des Klimawandels noch Zeit hat</w:t>
            </w:r>
            <w:r w:rsidR="00D706CE">
              <w:t xml:space="preserve">, </w:t>
            </w:r>
            <w:r w:rsidR="00FF5908">
              <w:t>obwohl dies nicht dem Stand der Wissenschaft entspricht</w:t>
            </w:r>
            <w:r w:rsidR="001926E2">
              <w:t>.</w:t>
            </w:r>
            <w:r w:rsidR="00252720">
              <w:t xml:space="preserve"> Dies wird vom Europäischen Gerichtshof für Menschenrechte nicht akzeptiert</w:t>
            </w:r>
            <w:r w:rsidR="00D706CE">
              <w:t xml:space="preserve">, der sehr ungern seine Richterkollegen korrigiert, aber hier nicht </w:t>
            </w:r>
            <w:proofErr w:type="gramStart"/>
            <w:r w:rsidR="00D706CE">
              <w:t>umhin kann</w:t>
            </w:r>
            <w:proofErr w:type="gramEnd"/>
            <w:r w:rsidR="00252720">
              <w:t>.</w:t>
            </w:r>
            <w:r w:rsidR="00374563">
              <w:rPr>
                <w:rStyle w:val="Funotenzeichen"/>
              </w:rPr>
              <w:footnoteReference w:id="407"/>
            </w:r>
            <w:r>
              <w:t xml:space="preserve"> </w:t>
            </w:r>
            <w:r w:rsidR="00775E1E">
              <w:t xml:space="preserve">Die Schweiz hat ggf. vor, </w:t>
            </w:r>
            <w:r w:rsidR="00014AFA">
              <w:t xml:space="preserve">einen Teil </w:t>
            </w:r>
            <w:r w:rsidR="00775E1E">
              <w:t>ihre</w:t>
            </w:r>
            <w:r w:rsidR="00014AFA">
              <w:t>r</w:t>
            </w:r>
            <w:r w:rsidR="00775E1E">
              <w:t xml:space="preserve"> Emissionsminderung im Ausland stattfinden zu lassen</w:t>
            </w:r>
            <w:r w:rsidR="00014AFA">
              <w:t xml:space="preserve"> </w:t>
            </w:r>
            <w:r w:rsidR="00014AFA">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775E1E">
              <w:t xml:space="preserve"> Die </w:t>
            </w:r>
            <w:proofErr w:type="spellStart"/>
            <w:r w:rsidR="00775E1E">
              <w:t>Klik</w:t>
            </w:r>
            <w:proofErr w:type="spellEnd"/>
            <w:r w:rsidR="00775E1E">
              <w:t xml:space="preserve"> </w:t>
            </w:r>
            <w:proofErr w:type="spellStart"/>
            <w:r w:rsidR="00775E1E">
              <w:t>Foundation</w:t>
            </w:r>
            <w:proofErr w:type="spellEnd"/>
            <w:r w:rsidR="00775E1E">
              <w:rPr>
                <w:rStyle w:val="Funotenzeichen"/>
              </w:rPr>
              <w:footnoteReference w:id="408"/>
            </w:r>
            <w:r w:rsidR="00775E1E">
              <w:t xml:space="preserve"> ist in der Schweiz per Gesetz verpflichtet, einen Teil ihrer Benzinverkäufe der Swiss Petroleum </w:t>
            </w:r>
            <w:proofErr w:type="spellStart"/>
            <w:r w:rsidR="00775E1E">
              <w:t>Association</w:t>
            </w:r>
            <w:proofErr w:type="spellEnd"/>
            <w:r w:rsidR="00775E1E">
              <w:t xml:space="preserve"> durch Emissionsverminderung anderswo auszugleichen, dies passiert derzeit in 18 Aktivitäten in 9 Ländern.</w:t>
            </w:r>
            <w:r w:rsidR="00775E1E">
              <w:rPr>
                <w:rStyle w:val="Funotenzeichen"/>
              </w:rPr>
              <w:footnoteReference w:id="409"/>
            </w:r>
            <w:r w:rsidR="00775E1E">
              <w:t xml:space="preserve"> </w:t>
            </w:r>
          </w:p>
          <w:p w14:paraId="5CE27A79" w14:textId="77777777" w:rsidR="00374563" w:rsidRDefault="00374563" w:rsidP="006B301B"/>
          <w:p w14:paraId="558CC4D6" w14:textId="7209C80B" w:rsidR="00E85AAF" w:rsidRDefault="00E85AAF" w:rsidP="006B301B">
            <w:r>
              <w:t>In den Niederlanden wurde Shell am 26. Mai 2021 in einem Urteil dazu verurteilt, bis 2030 seinen Emissionen um netto 45 % gegenüber dem Jahr 2019 zu senken.</w:t>
            </w:r>
            <w:r>
              <w:rPr>
                <w:rStyle w:val="Funotenzeichen"/>
              </w:rPr>
              <w:footnoteReference w:id="410"/>
            </w:r>
            <w:r w:rsidR="005B7F31">
              <w:t xml:space="preserve"> </w:t>
            </w:r>
            <w:r w:rsidR="001872B0">
              <w:t>Am 12.11.2024 meldet die FAZ, dass d</w:t>
            </w:r>
            <w:r w:rsidR="00551B7C">
              <w:t>iese</w:t>
            </w:r>
            <w:r w:rsidR="001872B0">
              <w:t xml:space="preserve">s Urteil </w:t>
            </w:r>
            <w:r w:rsidR="001872B0" w:rsidRPr="0045135C">
              <w:t>aufgehoben</w:t>
            </w:r>
            <w:r w:rsidR="001872B0">
              <w:t xml:space="preserve"> wurde. Tenor: Der Konzern habe zwar immer noch Verantwortung, aber man könne ihm keine Prozentvorgaben machen. Shell hatte in Reaktion auf dieses Urteil und auch steuerliche Aspekte nach dem 2021-Urteil seinen Sitz in den Niederlanden aufgegeben und ist ganz nach London gezogen.</w:t>
            </w:r>
            <w:r w:rsidR="001872B0">
              <w:rPr>
                <w:rStyle w:val="Funotenzeichen"/>
              </w:rPr>
              <w:footnoteReference w:id="411"/>
            </w:r>
            <w:r w:rsidR="001872B0">
              <w:t xml:space="preserve">  </w:t>
            </w:r>
          </w:p>
          <w:p w14:paraId="7979754C" w14:textId="77777777" w:rsidR="00E85AAF" w:rsidRDefault="00E85AAF" w:rsidP="006B301B"/>
          <w:p w14:paraId="2F1EC935" w14:textId="7153CE80" w:rsidR="00B5381F" w:rsidRDefault="00504BC7" w:rsidP="006B301B">
            <w:r>
              <w:t>Weiterhin ist dem Internationalen Gerichtshof in Den Haag (IGH) die Frage vorgelegt worden, welche Verantwortung die Staaten in Bezug auf den Klimawandel haben, hierzu soll der IGH nicht ein Urteil, sondern ein Gutachten vorlegen. D</w:t>
            </w:r>
            <w:r w:rsidR="000226E0">
              <w:t>ie</w:t>
            </w:r>
            <w:r>
              <w:t xml:space="preserve"> Allianz der kleinen Inselstaaten</w:t>
            </w:r>
            <w:r w:rsidR="005546FE">
              <w:t xml:space="preserve"> und Studierende aus dem Südpazifik</w:t>
            </w:r>
            <w:r>
              <w:t xml:space="preserve"> </w:t>
            </w:r>
            <w:r w:rsidR="005546FE">
              <w:t xml:space="preserve">(Pacific </w:t>
            </w:r>
            <w:proofErr w:type="spellStart"/>
            <w:r w:rsidR="005546FE">
              <w:t>Students</w:t>
            </w:r>
            <w:proofErr w:type="spellEnd"/>
            <w:r w:rsidR="005546FE">
              <w:t xml:space="preserve"> Fighting Climate Change</w:t>
            </w:r>
            <w:r w:rsidR="005546FE">
              <w:rPr>
                <w:rStyle w:val="Funotenzeichen"/>
              </w:rPr>
              <w:footnoteReference w:id="412"/>
            </w:r>
            <w:r w:rsidR="005546FE">
              <w:t xml:space="preserve">) </w:t>
            </w:r>
            <w:r w:rsidR="000226E0">
              <w:t>hatte sich dafür eingesetzt, die Fragen wurde dem IGH dann von der Generalversammlung der Vereinten Nationen vorgelegt, siehe Resolution 77/276, 29.03.2023</w:t>
            </w:r>
            <w:r>
              <w:t>.</w:t>
            </w:r>
            <w:r w:rsidR="005546FE">
              <w:rPr>
                <w:rStyle w:val="Funotenzeichen"/>
              </w:rPr>
              <w:footnoteReference w:id="413"/>
            </w:r>
            <w:r>
              <w:t xml:space="preserve"> </w:t>
            </w:r>
            <w:r w:rsidR="00551B7C">
              <w:t xml:space="preserve">Der Internationale Gerichtshof in Den Haag (IGH) </w:t>
            </w:r>
            <w:r w:rsidR="000226E0">
              <w:t>hat in den</w:t>
            </w:r>
            <w:r w:rsidR="00551B7C">
              <w:t xml:space="preserve"> Wochen vom </w:t>
            </w:r>
            <w:r w:rsidR="000226E0">
              <w:t>0</w:t>
            </w:r>
            <w:r w:rsidR="00551B7C">
              <w:t>2.12.</w:t>
            </w:r>
            <w:r w:rsidR="000226E0">
              <w:t>2024</w:t>
            </w:r>
            <w:r w:rsidR="00551B7C">
              <w:t xml:space="preserve"> bis 13.12.2024 zwei Wochen lang Anhörungen durch</w:t>
            </w:r>
            <w:r w:rsidR="000226E0">
              <w:t>ge</w:t>
            </w:r>
            <w:r w:rsidR="00551B7C">
              <w:t>füh</w:t>
            </w:r>
            <w:r w:rsidR="000226E0">
              <w:t>rt</w:t>
            </w:r>
            <w:r w:rsidR="00551B7C">
              <w:t xml:space="preserve">. 98 Länder und 12 internationale Organisationen </w:t>
            </w:r>
            <w:r w:rsidR="000226E0">
              <w:t>geben dort</w:t>
            </w:r>
            <w:r w:rsidR="00551B7C">
              <w:t xml:space="preserve"> Stellungnahmen ab.</w:t>
            </w:r>
            <w:r w:rsidR="00551B7C">
              <w:rPr>
                <w:rStyle w:val="Funotenzeichen"/>
              </w:rPr>
              <w:footnoteReference w:id="414"/>
            </w:r>
            <w:r w:rsidR="004C245F">
              <w:t xml:space="preserve"> </w:t>
            </w:r>
            <w:r w:rsidR="000226E0">
              <w:t>D</w:t>
            </w:r>
            <w:r w:rsidR="004C245F">
              <w:t>as</w:t>
            </w:r>
            <w:r w:rsidR="00B5381F">
              <w:t xml:space="preserve"> IGH-Gutachten </w:t>
            </w:r>
            <w:r w:rsidR="000226E0">
              <w:t>zur Verantwortung der Staaten ist</w:t>
            </w:r>
            <w:r w:rsidR="004C245F">
              <w:t xml:space="preserve"> am 23.07.2025 </w:t>
            </w:r>
            <w:r w:rsidR="00B5381F">
              <w:t>erschienen</w:t>
            </w:r>
            <w:r w:rsidR="004C245F">
              <w:t>. Es</w:t>
            </w:r>
            <w:r w:rsidR="00B5381F">
              <w:t xml:space="preserve"> besagt, dass die Staaten nicht nur durch das Pariser Klimaabkommen bzw. Übereinkommen von Paris </w:t>
            </w:r>
            <w:r w:rsidR="004C245F">
              <w:t>regeln ausgesetzt sind, sondern auch das weitere völkerrechtliche Regeln anwendbar sind, u.a. das völkerrechtliche Gewohnheitsregel, dass etwa die Staaten kooperieren sollen und eine Pflicht haben,</w:t>
            </w:r>
            <w:r w:rsidR="000226E0">
              <w:t xml:space="preserve"> </w:t>
            </w:r>
            <w:r w:rsidR="004C245F">
              <w:t>Schäden voneinander abzuwenden</w:t>
            </w:r>
            <w:r w:rsidR="000226E0">
              <w:t xml:space="preserve"> und keine Schäden an der Umwelt anzustellen, die z.B. Nachbarstaaten </w:t>
            </w:r>
            <w:r w:rsidR="000226E0">
              <w:lastRenderedPageBreak/>
              <w:t>direkt schädigt</w:t>
            </w:r>
            <w:r w:rsidR="004C245F">
              <w:t xml:space="preserve">. Die International Law </w:t>
            </w:r>
            <w:proofErr w:type="spellStart"/>
            <w:r w:rsidR="004C245F">
              <w:t>Commission</w:t>
            </w:r>
            <w:proofErr w:type="spellEnd"/>
            <w:r w:rsidR="004C245F">
              <w:t xml:space="preserve"> hat weiterhin das Konzept von sog. international </w:t>
            </w:r>
            <w:proofErr w:type="spellStart"/>
            <w:r w:rsidR="004C245F">
              <w:t>wrongful</w:t>
            </w:r>
            <w:proofErr w:type="spellEnd"/>
            <w:r w:rsidR="004C245F">
              <w:t xml:space="preserve"> </w:t>
            </w:r>
            <w:proofErr w:type="spellStart"/>
            <w:r w:rsidR="004C245F">
              <w:t>act</w:t>
            </w:r>
            <w:proofErr w:type="spellEnd"/>
            <w:r w:rsidR="004C245F">
              <w:t xml:space="preserve"> (internationale rechtswidrige Handlungen) entwickelt, um das bestehende Völkerrecht zusammenzufassen</w:t>
            </w:r>
            <w:r w:rsidR="005546FE">
              <w:t>.</w:t>
            </w:r>
            <w:r w:rsidR="004C245F">
              <w:t xml:space="preserve"> </w:t>
            </w:r>
            <w:r w:rsidR="005546FE">
              <w:t>Als</w:t>
            </w:r>
            <w:r w:rsidR="004C245F">
              <w:t xml:space="preserve"> rechtswidrige Handlung</w:t>
            </w:r>
            <w:r w:rsidR="005546FE">
              <w:t xml:space="preserve"> kann es angesehen werden, wenn ein Staat</w:t>
            </w:r>
            <w:r w:rsidR="000226E0">
              <w:t xml:space="preserve"> einen signifikanten Schaden an der Umwelt anrichte</w:t>
            </w:r>
            <w:r w:rsidR="005546FE">
              <w:t>t</w:t>
            </w:r>
            <w:r w:rsidR="000226E0">
              <w:t xml:space="preserve"> (</w:t>
            </w:r>
            <w:proofErr w:type="spellStart"/>
            <w:r w:rsidR="000226E0">
              <w:t>significant</w:t>
            </w:r>
            <w:proofErr w:type="spellEnd"/>
            <w:r w:rsidR="000226E0">
              <w:t xml:space="preserve"> </w:t>
            </w:r>
            <w:proofErr w:type="spellStart"/>
            <w:r w:rsidR="000226E0">
              <w:t>harm</w:t>
            </w:r>
            <w:proofErr w:type="spellEnd"/>
            <w:r w:rsidR="000226E0">
              <w:t xml:space="preserve"> </w:t>
            </w:r>
            <w:proofErr w:type="spellStart"/>
            <w:r w:rsidR="000226E0">
              <w:t>to</w:t>
            </w:r>
            <w:proofErr w:type="spellEnd"/>
            <w:r w:rsidR="000226E0">
              <w:t xml:space="preserve"> </w:t>
            </w:r>
            <w:proofErr w:type="spellStart"/>
            <w:r w:rsidR="000226E0">
              <w:t>the</w:t>
            </w:r>
            <w:proofErr w:type="spellEnd"/>
            <w:r w:rsidR="000226E0">
              <w:t xml:space="preserve"> </w:t>
            </w:r>
            <w:proofErr w:type="spellStart"/>
            <w:r w:rsidR="000226E0">
              <w:t>environment</w:t>
            </w:r>
            <w:proofErr w:type="spellEnd"/>
            <w:r w:rsidR="000226E0">
              <w:t>)</w:t>
            </w:r>
            <w:r w:rsidR="004C245F">
              <w:t xml:space="preserve"> </w:t>
            </w:r>
            <w:r w:rsidR="005546FE">
              <w:t>und daraus folgt eine</w:t>
            </w:r>
            <w:r w:rsidR="004C245F">
              <w:t xml:space="preserve"> Verpflichtung mit diesem aufzuhören, und auch die Verpflichtung </w:t>
            </w:r>
            <w:r>
              <w:t xml:space="preserve">Wiedergutmachung zu </w:t>
            </w:r>
            <w:r w:rsidR="005546FE">
              <w:t>leisten</w:t>
            </w:r>
            <w:r>
              <w:t>, auch im Sinne von finanziellen Leistungen, wenn ein kausaler Zusammenhang mit den Schäden klar ausgemacht werden kann. Ebenso können Verpflichtungen aus weiteren Abkommen, die die Staaten jeweils unterzeichnet haben, resultieren, etwa dem Übereinkommen über Biologische Vielfalt, dem Übereinkommen zur Bekämpfung der Wüstenbildung, dem Montreal Protokoll zum Schutz der Ozonschicht etc.</w:t>
            </w:r>
            <w:r>
              <w:rPr>
                <w:rStyle w:val="Funotenzeichen"/>
              </w:rPr>
              <w:footnoteReference w:id="415"/>
            </w:r>
            <w:r>
              <w:t xml:space="preserve"> </w:t>
            </w:r>
          </w:p>
          <w:p w14:paraId="284CE811" w14:textId="77777777" w:rsidR="003957AB" w:rsidRDefault="003957AB" w:rsidP="006B301B"/>
          <w:p w14:paraId="190F37AB" w14:textId="77777777" w:rsidR="003804C7" w:rsidRDefault="00112190" w:rsidP="006B301B">
            <w:r>
              <w:t>In den USA wird derzeit darüber diskutiert, ob man auch strafrechtlich im Bereich Klima klagen kann, da durch den Klimawandel Personen umkommen. Ein Versuch, dies in Deutschland zu etablieren, ist jedoch gescheitert.</w:t>
            </w:r>
            <w:r>
              <w:rPr>
                <w:rStyle w:val="Funotenzeichen"/>
              </w:rPr>
              <w:footnoteReference w:id="416"/>
            </w:r>
            <w:r>
              <w:t xml:space="preserve"> </w:t>
            </w:r>
            <w:r w:rsidR="00B90BC9">
              <w:t xml:space="preserve">In Deutschland hatte Richter </w:t>
            </w:r>
            <w:r w:rsidR="00E67C3C">
              <w:t xml:space="preserve">Borowsky </w:t>
            </w:r>
            <w:r w:rsidR="00B90BC9">
              <w:t>am Landgericht Erfurt Eigenrechte der Natur anerk</w:t>
            </w:r>
            <w:r w:rsidR="00E67C3C">
              <w:t>a</w:t>
            </w:r>
            <w:r w:rsidR="00B90BC9">
              <w:t>nnt</w:t>
            </w:r>
            <w:r w:rsidR="00E67C3C">
              <w:t>, begründet auf der Charta der Grundrechte der Europäischen Union</w:t>
            </w:r>
            <w:r w:rsidR="00F80BDB">
              <w:t>, hergeleitet aus dem Recht auf Leben und Recht auf Unversehrtheit für ökologische Personen, zu denen neben Menschen auch die Natur und Ökosystem gehören</w:t>
            </w:r>
            <w:r w:rsidR="00E67C3C">
              <w:rPr>
                <w:rStyle w:val="Funotenzeichen"/>
              </w:rPr>
              <w:footnoteReference w:id="417"/>
            </w:r>
            <w:r w:rsidR="00B90BC9">
              <w:t>, kritisch dazu ein Kommentar in der FAZ.</w:t>
            </w:r>
            <w:r w:rsidR="00B90BC9">
              <w:rPr>
                <w:rStyle w:val="Funotenzeichen"/>
              </w:rPr>
              <w:footnoteReference w:id="418"/>
            </w:r>
          </w:p>
          <w:p w14:paraId="1D13F10C" w14:textId="77777777" w:rsidR="009D57AD" w:rsidRDefault="009D57AD" w:rsidP="006B301B"/>
          <w:p w14:paraId="5FA7ED5F" w14:textId="77777777" w:rsidR="009D57AD" w:rsidRDefault="009D57AD" w:rsidP="006B301B">
            <w:r>
              <w:t>Auf dem deutschen Juristentag 2024 wurde von Prof. Marc-Philippe Weller eine Klimaquote für Unternehmen vorgeschlagen, als Jahreszielgröße zur Verringerung von CO2-Emissionen. Die Großunternehmen sollen bis 2045 Klimaneutralität erreichen. Sie sollen aber wählen können mit welchen Maßnahmen und mit welcher Geschwindigkeit dies erfolgt. Auf Sanktionen soll verzichtet werden, es soll auch kein neues Einfallstor für Klimaklagen geschaffen werden. Auf dem deutschen Juristentag wurde das Thema Klima und Thema Klima und Recht intensiv diskutiert, vor dem Hintergrund, dass der Eindruck besteht, dass die deutschen Klimamaßnahmen nicht ausreichen und die Verminderungsverpflichtungen zu heben seien.</w:t>
            </w:r>
            <w:r>
              <w:rPr>
                <w:rStyle w:val="Funotenzeichen"/>
              </w:rPr>
              <w:footnoteReference w:id="419"/>
            </w:r>
            <w:r>
              <w:t xml:space="preserve"> Siehe auch</w:t>
            </w:r>
            <w:r w:rsidR="00FF55C3">
              <w:t xml:space="preserve"> den</w:t>
            </w:r>
            <w:r w:rsidR="00E21ED5">
              <w:t xml:space="preserve"> T</w:t>
            </w:r>
            <w:r>
              <w:t>ext</w:t>
            </w:r>
            <w:r w:rsidR="00FF55C3">
              <w:t>, mit weiteren Vorschlägen</w:t>
            </w:r>
            <w:r w:rsidR="00E21ED5">
              <w:rPr>
                <w:rStyle w:val="Funotenzeichen"/>
              </w:rPr>
              <w:footnoteReference w:id="420"/>
            </w:r>
            <w:r>
              <w:t xml:space="preserve"> und die Homepage von Prof. Marc-Philippe Weller in Heidelberg.</w:t>
            </w:r>
            <w:r>
              <w:rPr>
                <w:rStyle w:val="Funotenzeichen"/>
              </w:rPr>
              <w:footnoteReference w:id="421"/>
            </w:r>
            <w:r w:rsidR="00E21ED5">
              <w:t xml:space="preserve"> Hintergrund ist, dass das Gesellschaftsrecht in Form der Corporate </w:t>
            </w:r>
            <w:proofErr w:type="spellStart"/>
            <w:r w:rsidR="00E21ED5">
              <w:t>Sustainability</w:t>
            </w:r>
            <w:proofErr w:type="spellEnd"/>
            <w:r w:rsidR="00E21ED5">
              <w:t xml:space="preserve"> </w:t>
            </w:r>
            <w:proofErr w:type="spellStart"/>
            <w:r w:rsidR="00E21ED5">
              <w:t>Directive</w:t>
            </w:r>
            <w:proofErr w:type="spellEnd"/>
            <w:r w:rsidR="00FF55C3">
              <w:t xml:space="preserve"> (CSRD) und die Corporate </w:t>
            </w:r>
            <w:proofErr w:type="spellStart"/>
            <w:r w:rsidR="00FF55C3">
              <w:t>Sustainability</w:t>
            </w:r>
            <w:proofErr w:type="spellEnd"/>
            <w:r w:rsidR="00FF55C3">
              <w:t xml:space="preserve"> Due Diligence </w:t>
            </w:r>
            <w:proofErr w:type="spellStart"/>
            <w:r w:rsidR="00FF55C3">
              <w:t>Directive</w:t>
            </w:r>
            <w:proofErr w:type="spellEnd"/>
            <w:r w:rsidR="00FF55C3">
              <w:t xml:space="preserve"> (CSDDD) die Möglichkeit bietet hier auch Klimaschutzziele aufzunehmen.</w:t>
            </w:r>
            <w:r w:rsidR="00FF55C3">
              <w:rPr>
                <w:rStyle w:val="Funotenzeichen"/>
              </w:rPr>
              <w:footnoteReference w:id="422"/>
            </w:r>
            <w:r w:rsidR="00FF55C3">
              <w:t xml:space="preserve"> Auch die EU Lieferkettenrichtlinie würde schon vorsehen, dass Unternehmen Emissionen entlang der Wertschöpfungskette berücksichtigen.</w:t>
            </w:r>
            <w:r w:rsidR="00FF55C3">
              <w:rPr>
                <w:rStyle w:val="Funotenzeichen"/>
              </w:rPr>
              <w:t xml:space="preserve"> </w:t>
            </w:r>
            <w:r w:rsidR="00FF55C3">
              <w:rPr>
                <w:rStyle w:val="Funotenzeichen"/>
              </w:rPr>
              <w:footnoteReference w:id="423"/>
            </w:r>
            <w:r w:rsidR="00FF55C3">
              <w:t xml:space="preserve"> Kritisiert wird von Bundesjustizminister Marco Buschmann die EU Nachhaltigkeitsberichterstattung, als Beispiel für zu </w:t>
            </w:r>
            <w:r w:rsidR="00FF55C3">
              <w:lastRenderedPageBreak/>
              <w:t>ausführliche Berichtspflichten.</w:t>
            </w:r>
            <w:r w:rsidR="00FF55C3">
              <w:rPr>
                <w:rStyle w:val="Funotenzeichen"/>
              </w:rPr>
              <w:footnoteReference w:id="424"/>
            </w:r>
            <w:r w:rsidR="00FF55C3">
              <w:t xml:space="preserve"> Bestimmte Veränderung im Aktiengesetz werden bereits von Weller abgelehnt, um nicht mehr Möglichkeiten zu Klagen einzuräumen.</w:t>
            </w:r>
            <w:r w:rsidR="00FF55C3">
              <w:rPr>
                <w:rStyle w:val="Funotenzeichen"/>
              </w:rPr>
              <w:footnoteReference w:id="425"/>
            </w:r>
          </w:p>
          <w:p w14:paraId="618B9B6B" w14:textId="77777777" w:rsidR="00AC724C" w:rsidRDefault="00AC724C" w:rsidP="006B301B"/>
          <w:p w14:paraId="1CF82EE0" w14:textId="6C37C1C3" w:rsidR="003957AB" w:rsidRDefault="003957AB" w:rsidP="006B301B">
            <w:r>
              <w:t xml:space="preserve">Im Zuge der Grundgesetzänderung </w:t>
            </w:r>
            <w:r w:rsidR="00C25E6C">
              <w:t xml:space="preserve">am 18.03.2025 </w:t>
            </w:r>
            <w:r>
              <w:t>zu</w:t>
            </w:r>
            <w:r w:rsidR="00C25E6C">
              <w:t xml:space="preserve"> den Sondervermögen </w:t>
            </w:r>
            <w:r>
              <w:t xml:space="preserve">in Art. 143 h Abs. 1 GG </w:t>
            </w:r>
            <w:r w:rsidR="00C25E6C">
              <w:t>sind nun die</w:t>
            </w:r>
            <w:r>
              <w:t xml:space="preserve"> Worte Klimaneutralität bis 2045 </w:t>
            </w:r>
            <w:r w:rsidR="00C25E6C">
              <w:t xml:space="preserve">in das </w:t>
            </w:r>
            <w:r>
              <w:t xml:space="preserve">Grundgesetz </w:t>
            </w:r>
            <w:r w:rsidR="00C25E6C">
              <w:t>gelangt</w:t>
            </w:r>
            <w:r>
              <w:t>.</w:t>
            </w:r>
            <w:r w:rsidR="00C25E6C">
              <w:t xml:space="preserve"> Man kann darüber spekulieren, ob dies für die Auslegung des Grundgesetzes eine Bedeutung hat, siehe hier.</w:t>
            </w:r>
            <w:r>
              <w:rPr>
                <w:rStyle w:val="Funotenzeichen"/>
              </w:rPr>
              <w:footnoteReference w:id="426"/>
            </w:r>
          </w:p>
          <w:p w14:paraId="23E08F21" w14:textId="77777777" w:rsidR="003957AB" w:rsidRDefault="003957AB" w:rsidP="006B301B"/>
          <w:p w14:paraId="033C63E2" w14:textId="042B07A3" w:rsidR="00AC724C" w:rsidRDefault="00AC724C" w:rsidP="006B301B">
            <w:r>
              <w:t>Man darf bei dieser Debatte aber nicht vergessen, dass Privatpersonen nicht die einzigen sind, die Klagen. So hat der U.S. Konzern Exxon Mobil geklagt, weil die niederländische Regierung die Gasförderung in Groningen gestoppt hat, basierend auf dem Energiecharta-Vertrag. In Groningen war zuvor ein 2012 ein Erdbeben passiert, das auf die Gasförderung zurückgeführt wird.</w:t>
            </w:r>
            <w:r>
              <w:rPr>
                <w:rStyle w:val="Funotenzeichen"/>
              </w:rPr>
              <w:footnoteReference w:id="427"/>
            </w:r>
            <w:r>
              <w:t xml:space="preserve"> Dieses Klagerecht der Konzerne wird schon seit langem kritisiert.</w:t>
            </w:r>
            <w:r w:rsidR="003D21AF">
              <w:rPr>
                <w:rStyle w:val="Funotenzeichen"/>
              </w:rPr>
              <w:footnoteReference w:id="428"/>
            </w:r>
          </w:p>
        </w:tc>
      </w:tr>
    </w:tbl>
    <w:p w14:paraId="6AB71372" w14:textId="77777777" w:rsidR="00EF7BDF" w:rsidRDefault="00EF7BDF" w:rsidP="00112190"/>
    <w:p w14:paraId="75E55C59" w14:textId="7B28E401" w:rsidR="00FA1EE8" w:rsidRDefault="00DD3E8F" w:rsidP="00112190">
      <w:r>
        <w:t xml:space="preserve">Es gibt eine Reihe von wichtigen Publikationen </w:t>
      </w:r>
      <w:r w:rsidR="00FA1EE8">
        <w:t xml:space="preserve">u.a. </w:t>
      </w:r>
      <w:r>
        <w:t>vom Bundesministerium für Wirtschaft und Energie, die den Stand</w:t>
      </w:r>
      <w:r w:rsidR="00FA1EE8">
        <w:t>, aber auch die Probleme</w:t>
      </w:r>
      <w:r>
        <w:t xml:space="preserve"> </w:t>
      </w:r>
      <w:r w:rsidR="00FA1EE8">
        <w:t>mit der</w:t>
      </w:r>
      <w:r>
        <w:t xml:space="preserve"> Energiewende i</w:t>
      </w:r>
      <w:r w:rsidR="00FA1EE8">
        <w:t>n</w:t>
      </w:r>
      <w:r>
        <w:t xml:space="preserve"> Deutschland gut beschreiben. </w:t>
      </w:r>
      <w:r w:rsidR="00FA1EE8">
        <w:t xml:space="preserve">Den DENA </w:t>
      </w:r>
      <w:proofErr w:type="spellStart"/>
      <w:r w:rsidR="00FA1EE8">
        <w:t>StiPE</w:t>
      </w:r>
      <w:proofErr w:type="spellEnd"/>
      <w:r w:rsidR="00FA1EE8">
        <w:t xml:space="preserve"> Bericht zu einer industriepolitischen Strategie für erneuerbare Energie und Stromnetze, Dezember 2022</w:t>
      </w:r>
      <w:r w:rsidR="00FA1EE8">
        <w:rPr>
          <w:rStyle w:val="Funotenzeichen"/>
        </w:rPr>
        <w:footnoteReference w:id="429"/>
      </w:r>
      <w:r w:rsidR="00FA1EE8">
        <w:t>, dann:</w:t>
      </w:r>
      <w:r>
        <w:t xml:space="preserve"> Industriepolitik in der Zeitenwende 2023</w:t>
      </w:r>
      <w:r>
        <w:rPr>
          <w:rStyle w:val="Funotenzeichen"/>
        </w:rPr>
        <w:footnoteReference w:id="430"/>
      </w:r>
      <w:r w:rsidR="00091B9F">
        <w:t xml:space="preserve"> und</w:t>
      </w:r>
      <w:r>
        <w:t xml:space="preserve"> Roadmap Systemstabilität 2023</w:t>
      </w:r>
      <w:r w:rsidR="00FA1EE8">
        <w:t>.</w:t>
      </w:r>
      <w:r>
        <w:rPr>
          <w:rStyle w:val="Funotenzeichen"/>
        </w:rPr>
        <w:footnoteReference w:id="431"/>
      </w:r>
      <w:r>
        <w:t xml:space="preserve"> </w:t>
      </w:r>
      <w:r w:rsidR="00091B9F">
        <w:t>Im letzten Jahren waren unter anderem die folgenden Berichte wichtig: Leitmärkte für klimafreundliche Grundstoffe 2024</w:t>
      </w:r>
      <w:r w:rsidR="00091B9F">
        <w:rPr>
          <w:rStyle w:val="Funotenzeichen"/>
        </w:rPr>
        <w:footnoteReference w:id="432"/>
      </w:r>
      <w:r w:rsidR="00091B9F">
        <w:t xml:space="preserve"> und 2024 Strommarktdesign der Zukunft 2024.</w:t>
      </w:r>
      <w:r w:rsidR="00091B9F">
        <w:rPr>
          <w:rStyle w:val="Funotenzeichen"/>
        </w:rPr>
        <w:footnoteReference w:id="433"/>
      </w:r>
    </w:p>
    <w:p w14:paraId="671BAC11" w14:textId="77777777" w:rsidR="00FA1EE8" w:rsidRDefault="00FA1EE8" w:rsidP="00112190"/>
    <w:p w14:paraId="32B0CC28" w14:textId="5A944000" w:rsidR="003D151B" w:rsidRDefault="00FA1EE8" w:rsidP="00112190">
      <w:r>
        <w:t>Eine zentrale Rolle, dies ist i</w:t>
      </w:r>
      <w:r w:rsidR="003D151B">
        <w:t>m Energiewirtschaftsgesetz</w:t>
      </w:r>
      <w:r w:rsidR="00003FFF">
        <w:t xml:space="preserve"> in § 12 a</w:t>
      </w:r>
      <w:r w:rsidR="00003FFF">
        <w:rPr>
          <w:rStyle w:val="Funotenzeichen"/>
        </w:rPr>
        <w:footnoteReference w:id="434"/>
      </w:r>
      <w:r w:rsidR="003D151B">
        <w:t xml:space="preserve"> festgehalten, </w:t>
      </w:r>
      <w:r>
        <w:t xml:space="preserve">wird die Publikation einer sog. </w:t>
      </w:r>
      <w:r w:rsidR="003D151B" w:rsidRPr="003D151B">
        <w:rPr>
          <w:u w:val="single"/>
        </w:rPr>
        <w:t>Systementwicklungsstrategie</w:t>
      </w:r>
      <w:r w:rsidR="003D151B">
        <w:t xml:space="preserve"> </w:t>
      </w:r>
      <w:r>
        <w:t>spielen</w:t>
      </w:r>
      <w:r w:rsidR="003D151B">
        <w:t xml:space="preserve">, die erstmals 2024 </w:t>
      </w:r>
      <w:r>
        <w:t>publiziert worden ist, sie muss ab 2027 jeweils am 30. September, alle 4 Jahre veröffentlicht werden</w:t>
      </w:r>
      <w:r w:rsidR="003D151B">
        <w:rPr>
          <w:rStyle w:val="Funotenzeichen"/>
        </w:rPr>
        <w:footnoteReference w:id="435"/>
      </w:r>
      <w:r>
        <w:t xml:space="preserve"> und sie soll</w:t>
      </w:r>
      <w:r w:rsidR="003D151B">
        <w:t xml:space="preserve"> den </w:t>
      </w:r>
      <w:r w:rsidR="003D151B" w:rsidRPr="003D151B">
        <w:rPr>
          <w:u w:val="single"/>
        </w:rPr>
        <w:t>Netzentwicklungsplänen</w:t>
      </w:r>
      <w:r w:rsidR="003D151B">
        <w:t xml:space="preserve"> der </w:t>
      </w:r>
      <w:r w:rsidR="003D151B" w:rsidRPr="003D151B">
        <w:rPr>
          <w:u w:val="single"/>
        </w:rPr>
        <w:t>Bundesnetzagentur</w:t>
      </w:r>
      <w:r w:rsidR="003D151B">
        <w:t xml:space="preserve"> eine Orientierung g</w:t>
      </w:r>
      <w:r w:rsidR="00066B11">
        <w:t>eben</w:t>
      </w:r>
      <w:r w:rsidR="00003FFF">
        <w:t xml:space="preserve">, </w:t>
      </w:r>
      <w:r>
        <w:t xml:space="preserve">welche die Energiewende </w:t>
      </w:r>
      <w:r>
        <w:lastRenderedPageBreak/>
        <w:t xml:space="preserve">koordinieren und voranbringen, </w:t>
      </w:r>
      <w:r w:rsidR="00003FFF">
        <w:t>wobei an den Netzentwicklungsplänen noch weitere Akteure beteiligt sind u.a. die Übertragungsnetzbetreiber</w:t>
      </w:r>
      <w:r w:rsidR="00DD3E8F">
        <w:t>, dazu mehr weiter unten</w:t>
      </w:r>
      <w:r w:rsidR="003D151B">
        <w:t>.</w:t>
      </w:r>
      <w:r w:rsidR="003D151B">
        <w:rPr>
          <w:rStyle w:val="Funotenzeichen"/>
        </w:rPr>
        <w:footnoteReference w:id="436"/>
      </w:r>
      <w:r w:rsidR="003D151B">
        <w:t xml:space="preserve"> </w:t>
      </w:r>
    </w:p>
    <w:p w14:paraId="43645E36" w14:textId="77777777" w:rsidR="003D151B" w:rsidRDefault="003D151B" w:rsidP="00112190"/>
    <w:p w14:paraId="1F3328D4" w14:textId="5D0E615A" w:rsidR="00E01D77" w:rsidRDefault="00A637C7" w:rsidP="00E01D77">
      <w:r>
        <w:t>P</w:t>
      </w:r>
      <w:r w:rsidR="00E01D77">
        <w:t>rägend für die Zeit der Ampel-Regierung</w:t>
      </w:r>
      <w:r>
        <w:t xml:space="preserve"> </w:t>
      </w:r>
      <w:r w:rsidR="008511B5">
        <w:t>war</w:t>
      </w:r>
      <w:r w:rsidR="00E01D77">
        <w:t xml:space="preserve"> das sog. </w:t>
      </w:r>
      <w:r w:rsidR="00E01D77" w:rsidRPr="007D72F9">
        <w:rPr>
          <w:u w:val="single"/>
        </w:rPr>
        <w:t>Sommerpaket vom 7. Juni 2022</w:t>
      </w:r>
      <w:r w:rsidR="00E01D77">
        <w:t>.</w:t>
      </w:r>
      <w:r w:rsidR="00E01D77">
        <w:rPr>
          <w:rStyle w:val="Funotenzeichen"/>
        </w:rPr>
        <w:footnoteReference w:id="437"/>
      </w:r>
      <w:r w:rsidR="00E01D77">
        <w:t xml:space="preserve"> Damit wurde das </w:t>
      </w:r>
      <w:proofErr w:type="gramStart"/>
      <w:r w:rsidR="00E01D77">
        <w:t>Erneuerbare Energien Gesetz</w:t>
      </w:r>
      <w:proofErr w:type="gramEnd"/>
      <w:r w:rsidR="00E01D77">
        <w:t xml:space="preserve"> neu ausgerichtet (nun EEG 2023 genannt), das Windenergie-auf-See Gesetz (</w:t>
      </w:r>
      <w:proofErr w:type="spellStart"/>
      <w:r w:rsidR="00E01D77">
        <w:t>WindSeeG</w:t>
      </w:r>
      <w:proofErr w:type="spellEnd"/>
      <w:r w:rsidR="00E01D77">
        <w:t>) leicht verändert, ein Gesetz zur Beschleunigung des Ausbaus der Windenergie an Land beschlossen (</w:t>
      </w:r>
      <w:proofErr w:type="spellStart"/>
      <w:r w:rsidR="00E01D77">
        <w:t>WaLG</w:t>
      </w:r>
      <w:proofErr w:type="spellEnd"/>
      <w:r w:rsidR="00E01D77">
        <w:t>) und Genehmigungen erleichtert, durch Änderungen am Bundesnaturschutzgesetz. Diese Gesetze enthalten viele Änderungen.</w:t>
      </w:r>
      <w:r w:rsidR="00E01D77">
        <w:rPr>
          <w:rStyle w:val="Funotenzeichen"/>
        </w:rPr>
        <w:footnoteReference w:id="438"/>
      </w:r>
      <w:r w:rsidR="00E01D77">
        <w:t xml:space="preserve"> </w:t>
      </w:r>
    </w:p>
    <w:p w14:paraId="08B221D7" w14:textId="77777777" w:rsidR="00E01D77" w:rsidRDefault="00E01D77" w:rsidP="00E01D77"/>
    <w:tbl>
      <w:tblPr>
        <w:tblStyle w:val="Tabellenraster"/>
        <w:tblW w:w="0" w:type="auto"/>
        <w:tblLook w:val="04A0" w:firstRow="1" w:lastRow="0" w:firstColumn="1" w:lastColumn="0" w:noHBand="0" w:noVBand="1"/>
      </w:tblPr>
      <w:tblGrid>
        <w:gridCol w:w="9062"/>
      </w:tblGrid>
      <w:tr w:rsidR="00E01D77" w14:paraId="185C0727" w14:textId="77777777" w:rsidTr="0023231C">
        <w:tc>
          <w:tcPr>
            <w:tcW w:w="9062" w:type="dxa"/>
          </w:tcPr>
          <w:p w14:paraId="34C8D9E5" w14:textId="3F14B4DB" w:rsidR="00E01D77" w:rsidRDefault="00E01D77" w:rsidP="0023231C">
            <w:r>
              <w:t xml:space="preserve">Beschleunigung von Genehmigungsverfahren. </w:t>
            </w:r>
            <w:r w:rsidR="00066B11">
              <w:t>Dass der Bau von erneuerbaren Energien im „überragenden öffentlichen Interesse“ liegt und zur „öffentlichen Sicherheit“ dient, wurde im EEG 2023 in § 2 neu eingefügt</w:t>
            </w:r>
            <w:r w:rsidR="00066B11">
              <w:rPr>
                <w:rStyle w:val="Funotenzeichen"/>
              </w:rPr>
              <w:footnoteReference w:id="439"/>
            </w:r>
            <w:r w:rsidR="00066B11">
              <w:t xml:space="preserve">, </w:t>
            </w:r>
            <w:r w:rsidR="00DA4EB9">
              <w:t>dies galt schon seit dem 29</w:t>
            </w:r>
            <w:r w:rsidR="00066B11">
              <w:t>. Juli 2022, wobei das EEG 2023 am 1. Januar 2023 in Kraft trat.</w:t>
            </w:r>
            <w:r w:rsidR="00066B11">
              <w:rPr>
                <w:rStyle w:val="Funotenzeichen"/>
              </w:rPr>
              <w:footnoteReference w:id="440"/>
            </w:r>
            <w:r w:rsidR="00066B11">
              <w:t xml:space="preserve"> </w:t>
            </w:r>
            <w:r>
              <w:t xml:space="preserve">Eine Beschleunigungskomponente enthält auch das am 06.06.2024 im Bundestag beschlossene Gesetz zur Verbesserung des Klimaschutzes im Bundes-Immissionsschutzgesetz (9. BImSchV), zur Beschleunigung emissionsschutzrechtlicher Genehmigungsverfahren und zur Umsatz von EU-Recht. In diesem Gesetz wurde ‚Klima‘ als Schutzgut aufgenommen und es z.B. darum, Windenergieanlagen an Land schneller zu genehmigen und Klage bzw. Einspruchsmöglichkeiten zu vermindern, u.a. mit Fokus auf </w:t>
            </w:r>
            <w:proofErr w:type="spellStart"/>
            <w:r>
              <w:t>Repowering</w:t>
            </w:r>
            <w:proofErr w:type="spellEnd"/>
            <w:r>
              <w:t>, also das Umrüsten alter Anlagen mit neuen Generatoren etc., siehe hier.</w:t>
            </w:r>
            <w:r>
              <w:rPr>
                <w:rStyle w:val="Funotenzeichen"/>
              </w:rPr>
              <w:footnoteReference w:id="441"/>
            </w:r>
            <w:r>
              <w:t xml:space="preserve"> Am 29.05.2024 wurde ein Gesetz beschlossen, dass Planungs- und Genehmigungsverfahren für Elektrolyseure zur Herstellung vom Wasserstoff beschleunigt werden, indem diese als „überragendes öffentliches Interesse“ definiert werden, mit einer Ausnahme, solche die die öffentliche Wasserversorgung erheblich beeinträchtigen. Die Stadtwerke hatten für diese Einschränkung plädiert, weil sie Angst haben, dass bei Dürreperioden zu wenig Wasser zur Verfügung stehen könnte.</w:t>
            </w:r>
            <w:r>
              <w:rPr>
                <w:rStyle w:val="Funotenzeichen"/>
              </w:rPr>
              <w:footnoteReference w:id="442"/>
            </w:r>
            <w:r>
              <w:t xml:space="preserve"> Dieses Gesetze sind Teil eines Pakts für Planungsbeschleunigung bzw. </w:t>
            </w:r>
            <w:r w:rsidRPr="00492F7C">
              <w:t>Pakt für Planungs-, Genehmigungs- und Umsetzungsbeschleunigung</w:t>
            </w:r>
            <w:r>
              <w:t xml:space="preserve"> (auch Deutschlandpakt genannt), den der Bundeskanzler und die Länderregierungen im November 2023 gemeinsam beschlossen haben. Hier geht es um 100 Einzelregelungen, die es auch im Bereich Wohnungen, Straßen, Schienen, Brücken, Mobilfunkmasten, digitale Beteiligung aber eben auch erneuerbare Energien und Stromnetze, einfacher macht, dieses zu bauen.</w:t>
            </w:r>
            <w:r>
              <w:rPr>
                <w:rStyle w:val="Funotenzeichen"/>
              </w:rPr>
              <w:footnoteReference w:id="443"/>
            </w:r>
            <w:r>
              <w:t xml:space="preserve"> Siehe hier Reaktionen von Naturschutzverbänden.</w:t>
            </w:r>
            <w:r>
              <w:rPr>
                <w:rStyle w:val="Funotenzeichen"/>
              </w:rPr>
              <w:footnoteReference w:id="444"/>
            </w:r>
            <w:r>
              <w:t xml:space="preserve"> Aktuell gab es eine Anhörung zu einem Entwurf zu einem Beschleunigungsgesetz zur Genehmigung von </w:t>
            </w:r>
            <w:proofErr w:type="spellStart"/>
            <w:r>
              <w:t>Geothermieanlagen</w:t>
            </w:r>
            <w:proofErr w:type="spellEnd"/>
            <w:r>
              <w:t>, Wärmepumpen und Wärmespeichern (</w:t>
            </w:r>
            <w:proofErr w:type="spellStart"/>
            <w:r>
              <w:t>GeoWG</w:t>
            </w:r>
            <w:proofErr w:type="spellEnd"/>
            <w:r>
              <w:t xml:space="preserve">). Eine Erdwärmekampagne von Minister Habeck sieht vor, dass bis 2030 100 neue </w:t>
            </w:r>
            <w:proofErr w:type="spellStart"/>
            <w:r>
              <w:t>Geothermieprojekte</w:t>
            </w:r>
            <w:proofErr w:type="spellEnd"/>
            <w:r>
              <w:t xml:space="preserve"> an das Wärmenetz angeschlossen werden. Von derzeit 5 Terawattstunden soll sich die Einspeisung auf 10 Terawattstunden verdoppeln. Ebenso sollen mehr Speicher gebaut werden.</w:t>
            </w:r>
            <w:r>
              <w:rPr>
                <w:rStyle w:val="Funotenzeichen"/>
              </w:rPr>
              <w:footnoteReference w:id="445"/>
            </w:r>
            <w:r>
              <w:t xml:space="preserve"> Der </w:t>
            </w:r>
            <w:r>
              <w:lastRenderedPageBreak/>
              <w:t xml:space="preserve">Stromnetzbetreiber Amprion meldet, dass er eine Beschleunigung der Projekte </w:t>
            </w:r>
            <w:r w:rsidR="008511B5">
              <w:t xml:space="preserve">beim Netzausbau </w:t>
            </w:r>
            <w:r>
              <w:t>bemerkt. Bei A-Nord ein Windstromkorridor, der die Nordsee mit NRW verbindet, konnte 1 Jahr früher als gedacht mit dem Bau begonnen worden, die Fertigstellung von 2027 erfolgt sein.</w:t>
            </w:r>
            <w:r>
              <w:rPr>
                <w:rStyle w:val="Funotenzeichen"/>
              </w:rPr>
              <w:t xml:space="preserve"> </w:t>
            </w:r>
            <w:r>
              <w:rPr>
                <w:rStyle w:val="Funotenzeichen"/>
              </w:rPr>
              <w:footnoteReference w:id="446"/>
            </w:r>
            <w:r>
              <w:t xml:space="preserve"> </w:t>
            </w:r>
            <w:r w:rsidR="00245DDD">
              <w:t xml:space="preserve">Siehe auch den Punkt EU, auch dort wurde versucht, eine Beschleunigung von Genehmigungen zu erreichen. </w:t>
            </w:r>
          </w:p>
        </w:tc>
      </w:tr>
    </w:tbl>
    <w:p w14:paraId="1D8B184B" w14:textId="77777777" w:rsidR="00E01D77" w:rsidRDefault="00E01D77" w:rsidP="00E01D77"/>
    <w:p w14:paraId="758FCDA7" w14:textId="1DD68CA3" w:rsidR="00202202" w:rsidRDefault="00E01D77" w:rsidP="00202202">
      <w:r>
        <w:t xml:space="preserve">Das </w:t>
      </w:r>
      <w:r w:rsidRPr="00F201EB">
        <w:rPr>
          <w:u w:val="single"/>
        </w:rPr>
        <w:t>Windenergieflächenbedarfsgesetz (</w:t>
      </w:r>
      <w:proofErr w:type="spellStart"/>
      <w:r w:rsidRPr="00F201EB">
        <w:rPr>
          <w:u w:val="single"/>
        </w:rPr>
        <w:t>WindBG</w:t>
      </w:r>
      <w:proofErr w:type="spellEnd"/>
      <w:r w:rsidRPr="00F201EB">
        <w:rPr>
          <w:u w:val="single"/>
        </w:rPr>
        <w:t>)</w:t>
      </w:r>
      <w:r w:rsidR="00BA6F1E">
        <w:t xml:space="preserve">, am 15. Juni 2022 im Bundeskabinett beschlossen, </w:t>
      </w:r>
      <w:r>
        <w:t>verpflichtet die Bundesländer bis Ende 2035 2 % der Flächen für Windenergie an Land auszuweisen.</w:t>
      </w:r>
      <w:r>
        <w:rPr>
          <w:rStyle w:val="Funotenzeichen"/>
        </w:rPr>
        <w:footnoteReference w:id="447"/>
      </w:r>
      <w:r>
        <w:t xml:space="preserve"> </w:t>
      </w:r>
      <w:r w:rsidR="00202202">
        <w:t>Mit Änderungen im Bau- und Naturschutzgesetz soll der Bau u.a. erleichtert werden, u.a. mit der Regelung, dass der Bau von Windenergieanlagen im öffentlichen Interesse liegt.</w:t>
      </w:r>
      <w:r w:rsidR="00202202">
        <w:rPr>
          <w:rStyle w:val="Funotenzeichen"/>
        </w:rPr>
        <w:footnoteReference w:id="448"/>
      </w:r>
      <w:r w:rsidR="00202202">
        <w:t xml:space="preserve"> </w:t>
      </w:r>
      <w:r w:rsidR="00BA7E5B">
        <w:t>Wie schon oben erwähnt wurde im EEG 2023 in § 2 neu eingefügt, dass</w:t>
      </w:r>
      <w:r w:rsidR="008052C8">
        <w:t xml:space="preserve"> der Bau von erneuerbaren Energien im „überragenden öffentlichen Interesse“ liegt und zur „öffentlichen Sicherheit“ dient.</w:t>
      </w:r>
      <w:r w:rsidR="008052C8">
        <w:rPr>
          <w:rStyle w:val="Funotenzeichen"/>
        </w:rPr>
        <w:footnoteReference w:id="449"/>
      </w:r>
      <w:r w:rsidR="008052C8">
        <w:t xml:space="preserve"> </w:t>
      </w:r>
      <w:r w:rsidR="00202202">
        <w:t>Auch eine EU Verordnung zum beschleunigten Ausbau erneuerbarer Energien, VO (EU) 2022/2577, 22. Dezember 2022, besagt, dass es in öffentliches Interesse ist und der öffentlichen Gesundheit und Sicherheit dient, wenn Windparks ausgebaut werden. Es müssen allerdings weiterhin auch Artenschutzmaßnahmen ergriffen werden.</w:t>
      </w:r>
      <w:r w:rsidR="00202202">
        <w:rPr>
          <w:rStyle w:val="Funotenzeichen"/>
        </w:rPr>
        <w:footnoteReference w:id="450"/>
      </w:r>
      <w:r w:rsidR="00202202">
        <w:t xml:space="preserve"> Vielleicht war dies schon wirksam, eine Klage von NABU gegen den Windpark </w:t>
      </w:r>
      <w:proofErr w:type="spellStart"/>
      <w:r w:rsidR="00202202">
        <w:t>Butendiek</w:t>
      </w:r>
      <w:proofErr w:type="spellEnd"/>
      <w:r w:rsidR="00202202">
        <w:t xml:space="preserve"> konnte ihn bisher nicht stilllegen.</w:t>
      </w:r>
      <w:r w:rsidR="00202202">
        <w:rPr>
          <w:rStyle w:val="Funotenzeichen"/>
        </w:rPr>
        <w:footnoteReference w:id="451"/>
      </w:r>
      <w:r w:rsidR="00202202">
        <w:t xml:space="preserve"> </w:t>
      </w:r>
    </w:p>
    <w:p w14:paraId="17C2FB8B" w14:textId="77777777" w:rsidR="008052C8" w:rsidRDefault="008052C8" w:rsidP="00E01D77"/>
    <w:p w14:paraId="4FF7AA02" w14:textId="07F44E01" w:rsidR="0046543A" w:rsidRDefault="0046543A" w:rsidP="0046543A">
      <w:r>
        <w:t>Grundlegend gilt folgendes: Das Bundesraumordnungsgesetz (ROG) ist die Grundlage für die Raumordnungspläne der Länder, oder für Teilregionen der Länder, sog. Regionalplanung, die Ziele der Raumordnung sind für die Bauleitplanung verbindlich, die Grundsätze lediglich in Abwägungs- und Ermessensentscheidungen zu berücksichtigen.</w:t>
      </w:r>
      <w:r>
        <w:rPr>
          <w:rStyle w:val="Funotenzeichen"/>
        </w:rPr>
        <w:footnoteReference w:id="452"/>
      </w:r>
      <w:r>
        <w:t xml:space="preserve"> Die Bauleitpläne werden auf kommunalere Ebene entwickelt, sie müssen an die Ziele der Raumordnung angepasst werden, und es wird ein Flächennutzungsplan entwickelt, darauf bezieht sich dann der rechtlich verbindliche Bebauungsplan.</w:t>
      </w:r>
      <w:r>
        <w:rPr>
          <w:rStyle w:val="Funotenzeichen"/>
        </w:rPr>
        <w:footnoteReference w:id="453"/>
      </w:r>
      <w:r>
        <w:t xml:space="preserve"> </w:t>
      </w:r>
    </w:p>
    <w:p w14:paraId="1DC95612" w14:textId="77777777" w:rsidR="0046543A" w:rsidRDefault="0046543A" w:rsidP="00E01D77"/>
    <w:p w14:paraId="6EAF23D7" w14:textId="3FA9714F" w:rsidR="0039606F" w:rsidRDefault="00202202" w:rsidP="00E01D77">
      <w:r>
        <w:t>Zur Umsetzung des 2 % Flächenbereitstellungszieles haben sich a</w:t>
      </w:r>
      <w:r w:rsidR="0039606F">
        <w:t>m</w:t>
      </w:r>
      <w:r w:rsidR="0039606F" w:rsidRPr="0039606F">
        <w:t xml:space="preserve"> 3. Juli 2023 </w:t>
      </w:r>
      <w:r w:rsidR="00BA6F1E">
        <w:t xml:space="preserve">die </w:t>
      </w:r>
      <w:r w:rsidR="0039606F" w:rsidRPr="0039606F">
        <w:t xml:space="preserve">16 </w:t>
      </w:r>
      <w:r w:rsidR="00BA6F1E">
        <w:t>Bundesländer</w:t>
      </w:r>
      <w:r>
        <w:t xml:space="preserve"> </w:t>
      </w:r>
      <w:r w:rsidR="00BA6F1E">
        <w:t>auf eine</w:t>
      </w:r>
      <w:r w:rsidR="0039606F" w:rsidRPr="0039606F">
        <w:t xml:space="preserve"> „Arbeitshilfe zum Vollzug des Gesetzes zur Erhöhung und Beschleunigung des Ausbaus von Windenergieanlagen an Land (sogenanntes Wind-an-Land-Gesetz)</w:t>
      </w:r>
      <w:r w:rsidR="00BA6F1E">
        <w:t xml:space="preserve"> geeinigt</w:t>
      </w:r>
      <w:r w:rsidR="005F2F9C">
        <w:t>.</w:t>
      </w:r>
      <w:r w:rsidR="00BA6F1E">
        <w:rPr>
          <w:rStyle w:val="Funotenzeichen"/>
        </w:rPr>
        <w:footnoteReference w:id="454"/>
      </w:r>
      <w:r w:rsidR="005F2F9C">
        <w:t xml:space="preserve"> Hier findet sich das Ziel 1,8 % der Fläche auszuweisen, NRW will dies schon 2025 erreicht haben, dazu wird ein Landesentwicklungsplan NRW entwickelt</w:t>
      </w:r>
      <w:r w:rsidR="007949FE">
        <w:t>.</w:t>
      </w:r>
      <w:r w:rsidR="005F2F9C">
        <w:rPr>
          <w:rStyle w:val="Funotenzeichen"/>
        </w:rPr>
        <w:footnoteReference w:id="455"/>
      </w:r>
      <w:r w:rsidR="005F2F9C">
        <w:t xml:space="preserve"> </w:t>
      </w:r>
      <w:r w:rsidR="007949FE">
        <w:t xml:space="preserve">Um dies zu </w:t>
      </w:r>
      <w:r>
        <w:t>b</w:t>
      </w:r>
      <w:r w:rsidR="007949FE">
        <w:t xml:space="preserve">eschleunigen wurde </w:t>
      </w:r>
      <w:r w:rsidR="00BA7E5B">
        <w:t>in NRW eine</w:t>
      </w:r>
      <w:r w:rsidR="007949FE">
        <w:t xml:space="preserve"> Task Force </w:t>
      </w:r>
      <w:r w:rsidR="007949FE">
        <w:lastRenderedPageBreak/>
        <w:t>eingerichtet, zu der mehrere Ministerien gehören, Ziel ist u.a. 1000 zusätzliche Windenergieanlagen bis 2027 aufzubauen.</w:t>
      </w:r>
      <w:r w:rsidR="007949FE">
        <w:rPr>
          <w:rStyle w:val="Funotenzeichen"/>
        </w:rPr>
        <w:footnoteReference w:id="456"/>
      </w:r>
      <w:r w:rsidR="007949FE">
        <w:t xml:space="preserve"> (immerhin ca. 10 TWh</w:t>
      </w:r>
      <w:r w:rsidR="007949FE">
        <w:rPr>
          <w:rStyle w:val="Funotenzeichen"/>
        </w:rPr>
        <w:footnoteReference w:id="457"/>
      </w:r>
      <w:r w:rsidR="007949FE">
        <w:t>) In der Flächenanalyse Windenergie NRW</w:t>
      </w:r>
      <w:r w:rsidR="007949FE">
        <w:rPr>
          <w:rStyle w:val="Funotenzeichen"/>
        </w:rPr>
        <w:footnoteReference w:id="458"/>
      </w:r>
      <w:r w:rsidR="007949FE">
        <w:t xml:space="preserve"> wurde festgestellt, dass 126.249 ha bzw. 3,7 % der Landesfläche für Windenergie geeignet sind.</w:t>
      </w:r>
      <w:r w:rsidR="007949FE">
        <w:rPr>
          <w:rStyle w:val="Funotenzeichen"/>
        </w:rPr>
        <w:footnoteReference w:id="459"/>
      </w:r>
      <w:r w:rsidR="007949FE">
        <w:t xml:space="preserve"> </w:t>
      </w:r>
      <w:r w:rsidR="00BA7E5B">
        <w:t xml:space="preserve">(dies führt aber nicht dazu, dass man 3,7 % versucht, sondern man hält sich an die gesetzlichen Vorgaben </w:t>
      </w:r>
      <w:r w:rsidR="00BA7E5B">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sidR="00BA7E5B">
        <w:t xml:space="preserve">) Beispiel Köln: </w:t>
      </w:r>
      <w:r w:rsidR="007949FE">
        <w:t xml:space="preserve">Der Landesentwicklungsplan wurde </w:t>
      </w:r>
      <w:r w:rsidR="005F2F9C">
        <w:t>z.B. auf der Ebene der Bezirksregierung Köln</w:t>
      </w:r>
      <w:r w:rsidR="007949FE">
        <w:t xml:space="preserve">, die 2,13 % </w:t>
      </w:r>
      <w:r w:rsidR="005F2F9C">
        <w:t xml:space="preserve"> in einem Sachlichen Teilplan Erneuerbare Energien umgesetzt wurden. Der Planentwurf wurde vom 13. Januar bis 13. Februar 2025 für die Öffentlichkeit ausgelegt.</w:t>
      </w:r>
      <w:r w:rsidR="005F2F9C">
        <w:rPr>
          <w:rStyle w:val="Funotenzeichen"/>
        </w:rPr>
        <w:footnoteReference w:id="460"/>
      </w:r>
      <w:r w:rsidR="005F2F9C">
        <w:t xml:space="preserve"> Hier der genaue Ablauf als Storyboard, in den Planentwurf werden nun Anregungen etc. einbezogen und er wird daraufhin überarbeitet und zw</w:t>
      </w:r>
      <w:r w:rsidR="001E3E1F">
        <w:t>i</w:t>
      </w:r>
      <w:r w:rsidR="005F2F9C">
        <w:t>schen dem 7. Juli und 7. August 2025 erneut ausgelegt, damit die Öffentlichkeit und betroffene</w:t>
      </w:r>
      <w:r w:rsidR="007949FE">
        <w:t xml:space="preserve"> Gemeinden erneut Stellungsnahmen abgeben können</w:t>
      </w:r>
      <w:r w:rsidR="005F2F9C">
        <w:t>.</w:t>
      </w:r>
      <w:r w:rsidR="005F2F9C">
        <w:rPr>
          <w:rStyle w:val="Funotenzeichen"/>
        </w:rPr>
        <w:footnoteReference w:id="461"/>
      </w:r>
      <w:r w:rsidR="0046543A">
        <w:t xml:space="preserve"> Viele Details, etwa auch Abstandsregeln, regelt in NRW der Windenergie-Erlass.</w:t>
      </w:r>
      <w:r w:rsidR="0046543A">
        <w:rPr>
          <w:rStyle w:val="Funotenzeichen"/>
        </w:rPr>
        <w:footnoteReference w:id="462"/>
      </w:r>
    </w:p>
    <w:p w14:paraId="7EB86585" w14:textId="77777777" w:rsidR="00223C46" w:rsidRDefault="00223C46" w:rsidP="00223C46"/>
    <w:p w14:paraId="7B772BDB" w14:textId="77777777" w:rsidR="0046543A" w:rsidRDefault="00ED18D0" w:rsidP="00223C46">
      <w:r>
        <w:t xml:space="preserve">Ab dem </w:t>
      </w:r>
      <w:r w:rsidR="00223C46">
        <w:t>4. Januar 2023</w:t>
      </w:r>
      <w:r>
        <w:t xml:space="preserve"> ist das Gesetz zur sofortigen Verbesserung der Rahmenbedingungen für die erneuerbaren Energien im Städtebaurecht</w:t>
      </w:r>
      <w:r w:rsidR="001D5F0C">
        <w:rPr>
          <w:rStyle w:val="Funotenzeichen"/>
        </w:rPr>
        <w:footnoteReference w:id="463"/>
      </w:r>
      <w:r>
        <w:t xml:space="preserve"> gültig, dieses Gesetz sieht eine </w:t>
      </w:r>
      <w:proofErr w:type="spellStart"/>
      <w:r>
        <w:t>Priviligierung</w:t>
      </w:r>
      <w:proofErr w:type="spellEnd"/>
      <w:r>
        <w:t xml:space="preserve"> für Solaranlagen 40 bis 100 Meter neben der Autobahn und bis zu 200 Meter neben der Eisenbahn vor, bei Autobahnen entscheidet das Fernstraßen-Bundesamt, u.a. gemäß der Sicherheit des Verkehrs, hier muss ein </w:t>
      </w:r>
      <w:proofErr w:type="spellStart"/>
      <w:r>
        <w:t>Blendgutachten</w:t>
      </w:r>
      <w:proofErr w:type="spellEnd"/>
      <w:r>
        <w:t xml:space="preserve"> eingeholt werden. </w:t>
      </w:r>
      <w:proofErr w:type="spellStart"/>
      <w:r>
        <w:t>Privili</w:t>
      </w:r>
      <w:r w:rsidR="000E3FDD">
        <w:t>g</w:t>
      </w:r>
      <w:r>
        <w:t>ierung</w:t>
      </w:r>
      <w:proofErr w:type="spellEnd"/>
      <w:r>
        <w:t xml:space="preserve"> meint, dass </w:t>
      </w:r>
      <w:proofErr w:type="gramStart"/>
      <w:r>
        <w:t>auf solchen Fläche</w:t>
      </w:r>
      <w:proofErr w:type="gramEnd"/>
      <w:r>
        <w:t xml:space="preserve"> </w:t>
      </w:r>
      <w:r w:rsidR="000E3FDD">
        <w:t>in nahezu allen Fällen eine</w:t>
      </w:r>
      <w:r>
        <w:t xml:space="preserve"> Genehmigung einzuräumen ist.</w:t>
      </w:r>
      <w:r>
        <w:rPr>
          <w:rStyle w:val="Funotenzeichen"/>
        </w:rPr>
        <w:footnoteReference w:id="464"/>
      </w:r>
      <w:r>
        <w:t xml:space="preserve"> </w:t>
      </w:r>
      <w:r w:rsidR="00B76C65">
        <w:t xml:space="preserve">Ebenso gilt dies für Flächen in der </w:t>
      </w:r>
      <w:proofErr w:type="gramStart"/>
      <w:r w:rsidR="00B76C65">
        <w:t>Landwirtschaft ,</w:t>
      </w:r>
      <w:proofErr w:type="gramEnd"/>
      <w:r w:rsidR="00B76C65">
        <w:t xml:space="preserve"> bei landwirtschaftlicher Nutzung, wenn 60 bis 65 % </w:t>
      </w:r>
      <w:proofErr w:type="gramStart"/>
      <w:r w:rsidR="00B76C65">
        <w:t>des Strom</w:t>
      </w:r>
      <w:proofErr w:type="gramEnd"/>
      <w:r w:rsidR="00B76C65">
        <w:t xml:space="preserve"> für die eigene Nutzung erfolgt, es ist zudem denkbar, dass auch Agri-PV </w:t>
      </w:r>
      <w:proofErr w:type="gramStart"/>
      <w:r w:rsidR="00B76C65">
        <w:t>darunter fällt</w:t>
      </w:r>
      <w:proofErr w:type="gramEnd"/>
      <w:r w:rsidR="00B76C65">
        <w:t>, die ist hier nicht endgültig geklärt (§ 35 Absatz 1 Nummer 4 BauG).</w:t>
      </w:r>
      <w:r w:rsidR="00B76C65">
        <w:rPr>
          <w:rStyle w:val="Funotenzeichen"/>
        </w:rPr>
        <w:footnoteReference w:id="465"/>
      </w:r>
      <w:r w:rsidR="00B76C65">
        <w:t xml:space="preserve"> Es gilt eine Rückbaupflicht nach 20 oder 30 Jahren.</w:t>
      </w:r>
      <w:r w:rsidR="00B76C65">
        <w:rPr>
          <w:rStyle w:val="Funotenzeichen"/>
        </w:rPr>
        <w:footnoteReference w:id="466"/>
      </w:r>
      <w:r w:rsidR="00B76C65">
        <w:t xml:space="preserve"> </w:t>
      </w:r>
    </w:p>
    <w:p w14:paraId="45927847" w14:textId="77777777" w:rsidR="0046543A" w:rsidRDefault="0046543A" w:rsidP="00223C46"/>
    <w:p w14:paraId="44AA8864" w14:textId="25DA5F9B" w:rsidR="00223C46" w:rsidRDefault="00ED18D0" w:rsidP="00223C46">
      <w:r>
        <w:t>Bei allen anderen Solarprojekten gi</w:t>
      </w:r>
      <w:r w:rsidR="00B76C65">
        <w:t>lt, dass die Gemeinde allein entscheiden kann, ob sie auf die Anfrage eines Projektplaners positiv reagiert und ein Bauleitplanverfahren durchführt oder ein vorhabenbezogener Bebauungsplan entwickelt wird.</w:t>
      </w:r>
      <w:r w:rsidR="00B76C65">
        <w:rPr>
          <w:rStyle w:val="Funotenzeichen"/>
        </w:rPr>
        <w:footnoteReference w:id="467"/>
      </w:r>
      <w:r w:rsidR="00B76C65">
        <w:t xml:space="preserve"> Für Solaranlagen</w:t>
      </w:r>
      <w:r w:rsidR="00BA7E5B">
        <w:t xml:space="preserve"> </w:t>
      </w:r>
      <w:r w:rsidR="00B76C65">
        <w:t xml:space="preserve">kommen Gewebegebiete, </w:t>
      </w:r>
      <w:r w:rsidR="00B76C65">
        <w:lastRenderedPageBreak/>
        <w:t>Industriegebiete, sonstige Sondergebiete in Frage kommen.</w:t>
      </w:r>
      <w:r w:rsidR="00B76C65">
        <w:rPr>
          <w:rStyle w:val="Funotenzeichen"/>
        </w:rPr>
        <w:footnoteReference w:id="468"/>
      </w:r>
      <w:r w:rsidR="00B76C65">
        <w:t xml:space="preserve"> </w:t>
      </w:r>
      <w:r w:rsidR="00CD2427">
        <w:t>Für Naturschutzgebiete gibt es teils Ausnahmen, die Solaranlagen ermöglichen könnten, eine Umweltverträglichkeitsprüfung ist ab 10 ha nötig, ebenso muss eine Artenschutzprüfung erfolgen.</w:t>
      </w:r>
      <w:r w:rsidR="00CD2427">
        <w:rPr>
          <w:rStyle w:val="Funotenzeichen"/>
        </w:rPr>
        <w:footnoteReference w:id="469"/>
      </w:r>
      <w:r w:rsidR="001D5F0C">
        <w:t xml:space="preserve"> </w:t>
      </w:r>
      <w:r w:rsidR="000E3FDD">
        <w:rPr>
          <w:u w:val="single"/>
        </w:rPr>
        <w:t>Neben</w:t>
      </w:r>
      <w:r w:rsidR="001D5F0C" w:rsidRPr="004D16BB">
        <w:rPr>
          <w:u w:val="single"/>
        </w:rPr>
        <w:t xml:space="preserve"> Eisenbahn und Autobahn</w:t>
      </w:r>
      <w:r w:rsidR="000E3FDD">
        <w:rPr>
          <w:u w:val="single"/>
        </w:rPr>
        <w:t xml:space="preserve"> scheint, aus welchen Gründen auch immer, kein</w:t>
      </w:r>
      <w:r w:rsidR="001D5F0C" w:rsidRPr="004D16BB">
        <w:rPr>
          <w:u w:val="single"/>
        </w:rPr>
        <w:t xml:space="preserve"> großer Bauboom</w:t>
      </w:r>
      <w:r w:rsidR="000E3FDD">
        <w:rPr>
          <w:u w:val="single"/>
        </w:rPr>
        <w:t xml:space="preserve"> zu entstehen</w:t>
      </w:r>
      <w:r w:rsidR="001D5F0C" w:rsidRPr="004D16BB">
        <w:rPr>
          <w:u w:val="single"/>
        </w:rPr>
        <w:t xml:space="preserve">, </w:t>
      </w:r>
      <w:r w:rsidR="000E3FDD">
        <w:rPr>
          <w:u w:val="single"/>
        </w:rPr>
        <w:t xml:space="preserve">somit </w:t>
      </w:r>
      <w:r w:rsidR="001D5F0C" w:rsidRPr="004D16BB">
        <w:rPr>
          <w:u w:val="single"/>
        </w:rPr>
        <w:t>liegt es in der Hand der Gemeinden, den Ausbau im Solarbereich zu fördern</w:t>
      </w:r>
      <w:r w:rsidR="004D16BB">
        <w:rPr>
          <w:u w:val="single"/>
        </w:rPr>
        <w:t>, wenn sie etwa eine Anfrage eines Projektbetreibers bekomm</w:t>
      </w:r>
      <w:r w:rsidR="000E3FDD">
        <w:rPr>
          <w:u w:val="single"/>
        </w:rPr>
        <w:t>en</w:t>
      </w:r>
      <w:r w:rsidR="004D16BB">
        <w:rPr>
          <w:u w:val="single"/>
        </w:rPr>
        <w:t xml:space="preserve"> und es ist auch möglich, dass die Gemeinde davon profitiert, i.S. einer finanziellen Beteiligung der Gemeinden oder der Bürger </w:t>
      </w:r>
      <w:proofErr w:type="spellStart"/>
      <w:r w:rsidR="004D16BB">
        <w:rPr>
          <w:u w:val="single"/>
        </w:rPr>
        <w:t>i.s.</w:t>
      </w:r>
      <w:proofErr w:type="spellEnd"/>
      <w:r w:rsidR="004D16BB">
        <w:rPr>
          <w:u w:val="single"/>
        </w:rPr>
        <w:t xml:space="preserve"> der Bürgerenergiegesetze</w:t>
      </w:r>
      <w:r w:rsidR="001D5F0C">
        <w:t xml:space="preserve">. </w:t>
      </w:r>
      <w:r w:rsidR="004D16BB">
        <w:t>Auch die Bundesnetzagentur fördert den Solarausbau, sie auktioniert Solarfreiflächen, siehe hier.</w:t>
      </w:r>
      <w:r w:rsidR="004D16BB">
        <w:rPr>
          <w:rStyle w:val="Funotenzeichen"/>
        </w:rPr>
        <w:footnoteReference w:id="470"/>
      </w:r>
    </w:p>
    <w:p w14:paraId="0EEF17C3" w14:textId="77777777" w:rsidR="004D16BB" w:rsidRDefault="004D16BB" w:rsidP="00E01D77"/>
    <w:p w14:paraId="5878AD95" w14:textId="2002806F" w:rsidR="00A00671" w:rsidRDefault="00A00671" w:rsidP="00E01D77">
      <w:r>
        <w:t>Eine Studie zu den verfügbaren Flächen hat das Bundesumweltamt vorgelegt und geschlossen, dass mit dem 2 % Ziel ausreichend Flächen vorliegen, um die EEG-Ausbauziele einzuhalten.</w:t>
      </w:r>
      <w:r>
        <w:rPr>
          <w:rStyle w:val="Funotenzeichen"/>
        </w:rPr>
        <w:footnoteReference w:id="471"/>
      </w:r>
    </w:p>
    <w:p w14:paraId="519EA413" w14:textId="77777777" w:rsidR="00A00671" w:rsidRDefault="00A00671" w:rsidP="00E01D77"/>
    <w:p w14:paraId="1B2A3CAB" w14:textId="06899887" w:rsidR="001945D4" w:rsidRDefault="002F356C" w:rsidP="00E01D77">
      <w:bookmarkStart w:id="27" w:name="_Hlk201082834"/>
      <w:r>
        <w:t xml:space="preserve">Bierdeckelrechnungen mit Flächen: </w:t>
      </w:r>
      <w:r w:rsidR="001945D4">
        <w:t>Werder/</w:t>
      </w:r>
      <w:proofErr w:type="spellStart"/>
      <w:r w:rsidR="001945D4">
        <w:t>Kessin</w:t>
      </w:r>
      <w:proofErr w:type="spellEnd"/>
      <w:r w:rsidR="001945D4">
        <w:t xml:space="preserve"> steht geschätzt auf 14 km2, das sind 1400 ha, 126.249 ha / 1400 = 90 … 90 mal 0,3 TWh Leistung von Werder/</w:t>
      </w:r>
      <w:proofErr w:type="spellStart"/>
      <w:r w:rsidR="001945D4">
        <w:t>Kessin</w:t>
      </w:r>
      <w:proofErr w:type="spellEnd"/>
      <w:r w:rsidR="001945D4">
        <w:t xml:space="preserve"> = ca. 27 TWh … das wäre aber zu wenig … nur 90 Windparks in NRW, da stimmt etwas nicht. Überprüfung: </w:t>
      </w:r>
      <w:bookmarkStart w:id="28" w:name="_Hlk201082637"/>
      <w:r w:rsidR="001945D4">
        <w:t>auf 83 ha lassen sich in einer Idealformation 5 Windräder mit 4 MW Leistung (20 MW) pla</w:t>
      </w:r>
      <w:r>
        <w:t>t</w:t>
      </w:r>
      <w:r w:rsidR="001945D4">
        <w:t>zieren</w:t>
      </w:r>
      <w:r w:rsidR="001945D4">
        <w:rPr>
          <w:rStyle w:val="Funotenzeichen"/>
        </w:rPr>
        <w:footnoteReference w:id="472"/>
      </w:r>
      <w:bookmarkEnd w:id="28"/>
      <w:r w:rsidR="001945D4">
        <w:t xml:space="preserve">, das sind 20 MW * 8670 * 0,25 = 43.800 MWh, das sind 43 GWh … nochmal gerechnet: NRW hat 126.249 ha / 83 ha = 1521 … und </w:t>
      </w:r>
      <w:proofErr w:type="gramStart"/>
      <w:r w:rsidR="001945D4">
        <w:t>dies mal</w:t>
      </w:r>
      <w:proofErr w:type="gramEnd"/>
      <w:r w:rsidR="001945D4">
        <w:t xml:space="preserve"> 43 GWh = 65.403 GWh, </w:t>
      </w:r>
      <w:r w:rsidR="001945D4" w:rsidRPr="00E470D1">
        <w:rPr>
          <w:b/>
          <w:bCs/>
        </w:rPr>
        <w:t>das sind 65 TWh</w:t>
      </w:r>
      <w:r w:rsidR="001945D4">
        <w:t xml:space="preserve">.  Rechnet man von der gesamte Fläche Deutschlands aus: 357.588 km2 * 0,02 = 7151 km2 … 7151 km2 = 715.100 ha … 715.100 ha / 83 = 8615 … 8615 * 43 GWh = 370.445 GWh, </w:t>
      </w:r>
      <w:r w:rsidR="001945D4" w:rsidRPr="00E470D1">
        <w:rPr>
          <w:b/>
          <w:bCs/>
        </w:rPr>
        <w:t>das sind 370 TWh</w:t>
      </w:r>
      <w:r w:rsidR="001945D4">
        <w:t xml:space="preserve">. </w:t>
      </w:r>
      <w:r w:rsidR="001945D4" w:rsidRPr="001945D4">
        <w:t>Derzeit gibt es 63,5 GW Windenergie an Land, EEG 2023 sieht 115 GW bis 2030 (also 51,5 GW mehr) und 160 GW bis 2040 vor (also 96,5 GW mehr) …. Auf 715.100 ha könn</w:t>
      </w:r>
      <w:r w:rsidR="001945D4">
        <w:t>t</w:t>
      </w:r>
      <w:r w:rsidR="001945D4" w:rsidRPr="001945D4">
        <w:t xml:space="preserve">en im Idealfall 8615 mal 20 MW stehen = 172.300 MW, das sind 172 GW – der Ausbaupfad Windenergie nach § 4 EEG 2023 </w:t>
      </w:r>
      <w:r w:rsidR="001945D4">
        <w:t xml:space="preserve">160 GW bis 2040 </w:t>
      </w:r>
      <w:r w:rsidR="001945D4" w:rsidRPr="001945D4">
        <w:t xml:space="preserve">kann so also eingehalten werden … 160 GW * 8760 * 0,25 = 350.400 GWh, mit Windenergie bekommt man dann </w:t>
      </w:r>
      <w:r w:rsidR="001945D4">
        <w:t xml:space="preserve">2040 </w:t>
      </w:r>
      <w:r w:rsidR="001945D4" w:rsidRPr="001945D4">
        <w:t>eine Jahresleistung von 350 TWh hin … dazu muss dann eben noch Solar kommen, und braucht auch noch Flächen … und eben Agri-PV</w:t>
      </w:r>
      <w:r w:rsidR="001945D4">
        <w:t xml:space="preserve"> … 400 GW </w:t>
      </w:r>
      <w:r>
        <w:t>* 8760 * 0,10 = 350.400 GWh, seltsamerweise genau derselbe Betrag wie bei Wind: 350 TWh</w:t>
      </w:r>
      <w:r w:rsidR="001945D4" w:rsidRPr="001945D4">
        <w:t>).</w:t>
      </w:r>
    </w:p>
    <w:bookmarkEnd w:id="27"/>
    <w:p w14:paraId="6FE815F7" w14:textId="77777777" w:rsidR="001945D4" w:rsidRDefault="001945D4" w:rsidP="00E01D77"/>
    <w:p w14:paraId="4223795C" w14:textId="77777777" w:rsidR="00E01D77" w:rsidRDefault="00E01D77" w:rsidP="00E01D77">
      <w:r>
        <w:t xml:space="preserve">Im </w:t>
      </w:r>
      <w:r w:rsidRPr="00F201EB">
        <w:rPr>
          <w:u w:val="single"/>
        </w:rPr>
        <w:t>Windenergie-auf-See-Gesetz (</w:t>
      </w:r>
      <w:proofErr w:type="spellStart"/>
      <w:r w:rsidRPr="00F201EB">
        <w:rPr>
          <w:u w:val="single"/>
        </w:rPr>
        <w:t>WindSeeG</w:t>
      </w:r>
      <w:proofErr w:type="spellEnd"/>
      <w:r w:rsidRPr="00F201EB">
        <w:rPr>
          <w:u w:val="single"/>
        </w:rPr>
        <w:t>)</w:t>
      </w:r>
      <w:r>
        <w:rPr>
          <w:rStyle w:val="Funotenzeichen"/>
        </w:rPr>
        <w:footnoteReference w:id="473"/>
      </w:r>
      <w:r>
        <w:t xml:space="preserve"> werden</w:t>
      </w:r>
      <w:r w:rsidRPr="00FA6143">
        <w:t xml:space="preserve"> </w:t>
      </w:r>
      <w:r>
        <w:t xml:space="preserve">mit einer </w:t>
      </w:r>
      <w:r w:rsidRPr="00F13850">
        <w:rPr>
          <w:u w:val="single"/>
        </w:rPr>
        <w:t>Novelle, die am 1. Januar 2023 in Kraft trat, für die kommenden Jahre höhere Ausbauziele formuliert, mit mindestens 30 GW bis 2030, 40 GW bis 2035 und bis 2045 mindestens 70 GW</w:t>
      </w:r>
      <w:r>
        <w:t>.</w:t>
      </w:r>
      <w:r>
        <w:rPr>
          <w:rStyle w:val="Funotenzeichen"/>
        </w:rPr>
        <w:footnoteReference w:id="474"/>
      </w:r>
      <w:r>
        <w:t xml:space="preserve"> Die Ausschreibungen werden 2023 und 24 bei 8 und 9 GW liegen, 2025 werden 3 und 5 GW ausgeschrieben. Ab 2027 werden dann grundsätzlich 4 GW jährlich ausgeschrieben.</w:t>
      </w:r>
      <w:r>
        <w:rPr>
          <w:rStyle w:val="Funotenzeichen"/>
        </w:rPr>
        <w:footnoteReference w:id="475"/>
      </w:r>
      <w:r>
        <w:t xml:space="preserve"> Rechnet man diese Zahlen zusammen werden bis 2045 folgende Leistungen ausgeschrieben: 8 + 9 + 3 +5 + 18 = 43 GW. Plus 8 GW bisher bestehender Leistung wären dies im Jahr 2045 51 GW. </w:t>
      </w:r>
    </w:p>
    <w:p w14:paraId="65F39064" w14:textId="77777777" w:rsidR="00E01D77" w:rsidRDefault="00E01D77" w:rsidP="00E01D77"/>
    <w:p w14:paraId="4BF74197" w14:textId="60D0DA14" w:rsidR="00E01D77" w:rsidRDefault="008511B5" w:rsidP="00E01D77">
      <w:r>
        <w:lastRenderedPageBreak/>
        <w:t>U.a. d</w:t>
      </w:r>
      <w:r w:rsidR="00E01D77">
        <w:t>ies hat die Politik bzw. Wirtschaftsminister Habeck</w:t>
      </w:r>
      <w:r w:rsidR="00E01D77">
        <w:rPr>
          <w:rStyle w:val="Funotenzeichen"/>
        </w:rPr>
        <w:footnoteReference w:id="476"/>
      </w:r>
      <w:r w:rsidR="00E01D77">
        <w:t xml:space="preserve"> dazu bewogen, sich noch einmal darum zu kümmern, dass dies auch wirklich umgesetzt wird, festgehalten wurde dies schriftlich anhand der Aufzählung konkreter Projekte in einer </w:t>
      </w:r>
      <w:r w:rsidR="00E01D77" w:rsidRPr="009C1EC5">
        <w:rPr>
          <w:u w:val="single"/>
        </w:rPr>
        <w:t>Offshore-Realisierungsvereinbarung am 3. November 2022</w:t>
      </w:r>
      <w:r w:rsidR="00E01D77">
        <w:rPr>
          <w:rStyle w:val="Funotenzeichen"/>
        </w:rPr>
        <w:footnoteReference w:id="477"/>
      </w:r>
      <w:r w:rsidR="00E01D77">
        <w:t>, hier wird der 30-GW-Ausbau bis 2030 in einer schriftlichen Anlage konkret beschrieben.</w:t>
      </w:r>
      <w:r w:rsidR="00E01D77">
        <w:rPr>
          <w:rStyle w:val="Funotenzeichen"/>
        </w:rPr>
        <w:footnoteReference w:id="478"/>
      </w:r>
      <w:r w:rsidR="00E01D77">
        <w:t xml:space="preserve"> </w:t>
      </w:r>
      <w:r w:rsidR="00E01D77" w:rsidRPr="00F13850">
        <w:t xml:space="preserve"> </w:t>
      </w:r>
    </w:p>
    <w:p w14:paraId="679C21F5" w14:textId="77777777" w:rsidR="00E01D77" w:rsidRDefault="00E01D77" w:rsidP="00E01D77"/>
    <w:p w14:paraId="6BCFA79E" w14:textId="03B902BF" w:rsidR="00E01D77" w:rsidRDefault="00E01D77" w:rsidP="00E01D77">
      <w:r>
        <w:t xml:space="preserve">Nach § 69 Abs. 7 </w:t>
      </w:r>
      <w:proofErr w:type="spellStart"/>
      <w:r w:rsidR="008511B5">
        <w:t>WindSeeG</w:t>
      </w:r>
      <w:proofErr w:type="spellEnd"/>
      <w:r w:rsidR="008511B5">
        <w:t xml:space="preserve"> </w:t>
      </w:r>
      <w:r>
        <w:t xml:space="preserve">ist der Betrieb einer Windanlage auf See nur befristet auf 25 Jahre möglich, aber man kann einen Antrag auf 10 Jahre Verlängerung stellen, bei dem auch ggf. eine Anstrengung zu </w:t>
      </w:r>
      <w:proofErr w:type="spellStart"/>
      <w:r>
        <w:t>Repowering</w:t>
      </w:r>
      <w:proofErr w:type="spellEnd"/>
      <w:r>
        <w:t xml:space="preserve"> berücksichtigt wird.</w:t>
      </w:r>
      <w:r w:rsidR="002E205B">
        <w:t xml:space="preserve"> Dies wird allerdings nur dann akzeptiert, wenn keine unmittelbare Nachnutzung vorgesehen ist.</w:t>
      </w:r>
      <w:r>
        <w:rPr>
          <w:rStyle w:val="Funotenzeichen"/>
        </w:rPr>
        <w:footnoteReference w:id="479"/>
      </w:r>
      <w:r>
        <w:t xml:space="preserve"> Somit verlieren Alpha Ventus</w:t>
      </w:r>
      <w:r>
        <w:rPr>
          <w:rStyle w:val="Funotenzeichen"/>
        </w:rPr>
        <w:footnoteReference w:id="480"/>
      </w:r>
      <w:r>
        <w:t xml:space="preserve"> (2010) und Baltic 1 vor Prerow (2011) </w:t>
      </w:r>
      <w:r w:rsidR="002E205B">
        <w:t>in einigen Jahren</w:t>
      </w:r>
      <w:r>
        <w:t xml:space="preserve"> ihre sog. Plangenehmigung</w:t>
      </w:r>
      <w:r w:rsidR="00A637C7">
        <w:t>:</w:t>
      </w:r>
      <w:r>
        <w:t xml:space="preserve"> Alpha Ventus </w:t>
      </w:r>
      <w:r w:rsidR="00A637C7">
        <w:t xml:space="preserve">im Jahr </w:t>
      </w:r>
      <w:r>
        <w:t>20</w:t>
      </w:r>
      <w:r w:rsidR="002E205B">
        <w:t>3</w:t>
      </w:r>
      <w:r>
        <w:t xml:space="preserve">5, </w:t>
      </w:r>
      <w:r w:rsidR="00A637C7">
        <w:t xml:space="preserve">Baltic 1 vor </w:t>
      </w:r>
      <w:r>
        <w:t xml:space="preserve">Prerow </w:t>
      </w:r>
      <w:r w:rsidR="00A637C7">
        <w:t xml:space="preserve">im Jahr </w:t>
      </w:r>
      <w:r>
        <w:t>20</w:t>
      </w:r>
      <w:r w:rsidR="002E205B">
        <w:t>3</w:t>
      </w:r>
      <w:r>
        <w:t xml:space="preserve">6, wenn kein Verlängerungsantrag gestellt wird. Bei Verlängerung könnte Baltic 1 vor Prerow </w:t>
      </w:r>
      <w:r w:rsidR="00A637C7">
        <w:t xml:space="preserve">10 Jahre länger, </w:t>
      </w:r>
      <w:r>
        <w:t>bis 20</w:t>
      </w:r>
      <w:r w:rsidR="002E205B">
        <w:t>4</w:t>
      </w:r>
      <w:r>
        <w:t>6</w:t>
      </w:r>
      <w:r w:rsidR="00A637C7">
        <w:t>,</w:t>
      </w:r>
      <w:r>
        <w:t xml:space="preserve"> in Betrieb sein. Bei Alpha Ventus (2010, der erste deutsche Offshore Windpark) wird derzeit überlegt, was man machen soll, er soll vielleicht zurückgebaut werden, weil es sich betriebswirtschaftlich nach Wegfall der sog. ‚Hochvergütung‘ von 15,4 Cent / kWh nicht mehr lohnt, danach gibt es eine Grundvergütung von 3,9 Cent / kWh, vielleicht wird noch ein Wasserstoff Projekt dort stattfinden, an einzelnen Windrädern, siehe </w:t>
      </w:r>
      <w:proofErr w:type="spellStart"/>
      <w:r>
        <w:t>NWZonline</w:t>
      </w:r>
      <w:proofErr w:type="spellEnd"/>
      <w:r>
        <w:rPr>
          <w:rStyle w:val="Funotenzeichen"/>
        </w:rPr>
        <w:footnoteReference w:id="481"/>
      </w:r>
      <w:r>
        <w:t>, von den Betreibern RWE, EWE und Vattenfall lässt sich über Google keine Pressemitteilung dazu finden.</w:t>
      </w:r>
      <w:r>
        <w:rPr>
          <w:rStyle w:val="Funotenzeichen"/>
        </w:rPr>
        <w:footnoteReference w:id="482"/>
      </w:r>
      <w:r>
        <w:t xml:space="preserve"> In Alpha Ventus war 2018 an einer Anlage ein Teil eines Maschinenhauses abgebrochen.</w:t>
      </w:r>
      <w:r>
        <w:rPr>
          <w:rStyle w:val="Funotenzeichen"/>
        </w:rPr>
        <w:footnoteReference w:id="483"/>
      </w:r>
      <w:r>
        <w:t xml:space="preserve"> Alpha Ventus besteht aus 12 Windenergieanlagen 5 MW unterschiedlichen Typs und es wurden auch unterschiedliche Fundamente ausprobiert, er ist der erste Offshore Windparks Deutschlands und wurde </w:t>
      </w:r>
      <w:r w:rsidRPr="00211FA3">
        <w:t>anfangs Offshore-Windpark Borkum West oder Testfeld Borkum West genannt</w:t>
      </w:r>
      <w:r>
        <w:t>.</w:t>
      </w:r>
      <w:r>
        <w:rPr>
          <w:rStyle w:val="Funotenzeichen"/>
        </w:rPr>
        <w:footnoteReference w:id="484"/>
      </w:r>
      <w:r w:rsidRPr="00211FA3">
        <w:rPr>
          <w:rStyle w:val="Funotenzeichen"/>
        </w:rPr>
        <w:t xml:space="preserve"> </w:t>
      </w:r>
      <w:r w:rsidR="00161F1B">
        <w:t xml:space="preserve">Das </w:t>
      </w:r>
      <w:proofErr w:type="spellStart"/>
      <w:r w:rsidR="00161F1B">
        <w:lastRenderedPageBreak/>
        <w:t>WindSeeG</w:t>
      </w:r>
      <w:proofErr w:type="spellEnd"/>
      <w:r w:rsidR="00161F1B">
        <w:t xml:space="preserve"> sieht in § 69 Abs. 5</w:t>
      </w:r>
      <w:r w:rsidR="00161F1B">
        <w:rPr>
          <w:rStyle w:val="Funotenzeichen"/>
        </w:rPr>
        <w:footnoteReference w:id="485"/>
      </w:r>
      <w:r w:rsidR="00161F1B">
        <w:t xml:space="preserve"> vor, wenn man für 18 Monate die Anlage nicht mehr betreibt, und nicht mehr repariert, die Genehmigung erlischt.</w:t>
      </w:r>
    </w:p>
    <w:p w14:paraId="185E3CA8" w14:textId="77777777" w:rsidR="00E01D77" w:rsidRDefault="00E01D77" w:rsidP="00E01D77"/>
    <w:p w14:paraId="7249AE01" w14:textId="1CEA2C30" w:rsidR="00E01D77" w:rsidRDefault="00E01D77" w:rsidP="00E01D77">
      <w:r>
        <w:t xml:space="preserve">Vor den Änderungen des </w:t>
      </w:r>
      <w:proofErr w:type="spellStart"/>
      <w:r>
        <w:t>WindSeeG</w:t>
      </w:r>
      <w:proofErr w:type="spellEnd"/>
      <w:r>
        <w:t xml:space="preserve"> galt eine Befristung</w:t>
      </w:r>
      <w:r w:rsidR="00161F1B">
        <w:t xml:space="preserve"> der sog. Plangenehmigung</w:t>
      </w:r>
      <w:r>
        <w:t xml:space="preserve"> auf 25 Jahre und nur eine Verlängerung auf 5 Jahre, siehe u.a. dazu das ausführliche Handbuch zum Rückbau von Offshore-Windparks der Hochschule Bremen zum Thema Rückbau von Offshore-Windparks.</w:t>
      </w:r>
      <w:r>
        <w:rPr>
          <w:rStyle w:val="Funotenzeichen"/>
        </w:rPr>
        <w:footnoteReference w:id="486"/>
      </w:r>
      <w:r>
        <w:t xml:space="preserve"> Hier der Link zur Rückbau Forschung von </w:t>
      </w:r>
      <w:proofErr w:type="spellStart"/>
      <w:r>
        <w:t>SeeOff</w:t>
      </w:r>
      <w:proofErr w:type="spellEnd"/>
      <w:r>
        <w:t>.</w:t>
      </w:r>
      <w:r>
        <w:rPr>
          <w:rStyle w:val="Funotenzeichen"/>
        </w:rPr>
        <w:footnoteReference w:id="487"/>
      </w:r>
      <w:r w:rsidR="00C834DB">
        <w:t xml:space="preserve"> Siehe zum Thema Recycling von Rotorblättern diesen Artikel der FAZ</w:t>
      </w:r>
      <w:r w:rsidR="00C834DB">
        <w:rPr>
          <w:rStyle w:val="Funotenzeichen"/>
        </w:rPr>
        <w:footnoteReference w:id="488"/>
      </w:r>
      <w:r w:rsidR="00C834DB">
        <w:t>, der beschreibt, dass Rotorblätter zu Platten verarbeitet werden sollen.</w:t>
      </w:r>
    </w:p>
    <w:p w14:paraId="0FA54651" w14:textId="77777777" w:rsidR="00E01D77" w:rsidRDefault="00E01D77" w:rsidP="00E01D77"/>
    <w:tbl>
      <w:tblPr>
        <w:tblStyle w:val="Tabellenraster"/>
        <w:tblW w:w="0" w:type="auto"/>
        <w:tblLook w:val="04A0" w:firstRow="1" w:lastRow="0" w:firstColumn="1" w:lastColumn="0" w:noHBand="0" w:noVBand="1"/>
      </w:tblPr>
      <w:tblGrid>
        <w:gridCol w:w="9062"/>
      </w:tblGrid>
      <w:tr w:rsidR="00E01D77" w14:paraId="29852DF0" w14:textId="77777777" w:rsidTr="0023231C">
        <w:tc>
          <w:tcPr>
            <w:tcW w:w="9062" w:type="dxa"/>
          </w:tcPr>
          <w:p w14:paraId="16B416E7" w14:textId="46563F8B" w:rsidR="00E01D77" w:rsidRDefault="00E01D77" w:rsidP="0023231C">
            <w:r>
              <w:t xml:space="preserve">Gottseidank ist nun eine 10 Jahre Verlängerung </w:t>
            </w:r>
            <w:r w:rsidR="00A637C7">
              <w:t xml:space="preserve">der Befristung der Plangenehmigung auf 25 Jahre </w:t>
            </w:r>
            <w:r>
              <w:t>möglich</w:t>
            </w:r>
            <w:r w:rsidR="008511B5">
              <w:t>.</w:t>
            </w:r>
            <w:r w:rsidR="00161F1B">
              <w:t xml:space="preserve"> </w:t>
            </w:r>
            <w:r w:rsidR="008511B5">
              <w:t>Diese Verlängerung ist aber nicht selbstverständlich,</w:t>
            </w:r>
            <w:r w:rsidR="00161F1B">
              <w:t xml:space="preserve"> sogar </w:t>
            </w:r>
            <w:r w:rsidR="008511B5">
              <w:t xml:space="preserve">noch </w:t>
            </w:r>
            <w:r w:rsidR="00161F1B">
              <w:t>gesetzlich eingeschränkt, nur dann, wenn keine Nachnutzung vorgesehen ist</w:t>
            </w:r>
            <w:r>
              <w:t>!</w:t>
            </w:r>
            <w:r w:rsidR="00161F1B">
              <w:t>!!</w:t>
            </w:r>
            <w:r>
              <w:t xml:space="preserve"> </w:t>
            </w:r>
            <w:r w:rsidRPr="00467A19">
              <w:rPr>
                <w:u w:val="single"/>
              </w:rPr>
              <w:t xml:space="preserve">Was für einen Sinn macht </w:t>
            </w:r>
            <w:r w:rsidRPr="0039004D">
              <w:rPr>
                <w:b/>
                <w:bCs/>
                <w:u w:val="single"/>
              </w:rPr>
              <w:t>diese völlig sinnlose</w:t>
            </w:r>
            <w:r w:rsidR="008511B5" w:rsidRPr="0039004D">
              <w:rPr>
                <w:b/>
                <w:bCs/>
                <w:u w:val="single"/>
              </w:rPr>
              <w:t xml:space="preserve">, </w:t>
            </w:r>
            <w:r w:rsidRPr="0039004D">
              <w:rPr>
                <w:b/>
                <w:bCs/>
                <w:u w:val="single"/>
              </w:rPr>
              <w:t>schreckliche gesetzliche Regel</w:t>
            </w:r>
            <w:r w:rsidRPr="00467A19">
              <w:rPr>
                <w:u w:val="single"/>
              </w:rPr>
              <w:t>, dass hier eine Befristung für den Betrieb von Offshore-Windparks ausgesprochen wird und die Anlagen dann zerstört werden müssen</w:t>
            </w:r>
            <w:r>
              <w:t xml:space="preserve">? Mein Golf 4 von 2001 hält auch noch … der Betrieb von Offshore Windkraftanlagen muss </w:t>
            </w:r>
            <w:r w:rsidR="00161F1B">
              <w:t xml:space="preserve">eigentlich </w:t>
            </w:r>
            <w:r>
              <w:t xml:space="preserve">unlimitiert möglich sein, damit die eingesetzten Rohstoffe </w:t>
            </w:r>
            <w:r w:rsidR="00161F1B">
              <w:t>maximal genutzt werden</w:t>
            </w:r>
            <w:r>
              <w:t xml:space="preserve">. </w:t>
            </w:r>
            <w:r w:rsidR="008511B5">
              <w:t xml:space="preserve">Auch </w:t>
            </w:r>
            <w:proofErr w:type="spellStart"/>
            <w:r>
              <w:t>Repowering</w:t>
            </w:r>
            <w:proofErr w:type="spellEnd"/>
            <w:r>
              <w:t xml:space="preserve"> ist nicht </w:t>
            </w:r>
            <w:r w:rsidR="00A637C7">
              <w:t>automatisch immer sinnvoll</w:t>
            </w:r>
            <w:r>
              <w:t>, die Windanlagen werden in 10 Jahren nicht</w:t>
            </w:r>
            <w:r w:rsidR="00A637C7">
              <w:t xml:space="preserve"> </w:t>
            </w:r>
            <w:proofErr w:type="gramStart"/>
            <w:r>
              <w:t>10 mal</w:t>
            </w:r>
            <w:proofErr w:type="gramEnd"/>
            <w:r>
              <w:t xml:space="preserve"> mehr Leistung haben. Wenn man es so will,</w:t>
            </w:r>
            <w:r w:rsidR="00161F1B">
              <w:t xml:space="preserve"> dass nach 35 Jahren</w:t>
            </w:r>
            <w:r>
              <w:t xml:space="preserve"> eine Konzession erlischt, </w:t>
            </w:r>
            <w:r w:rsidR="00161F1B">
              <w:t xml:space="preserve">dann sollte man </w:t>
            </w:r>
            <w:r w:rsidR="008511B5">
              <w:t>meinetwegen eine neue Auktion machen, wenn man die</w:t>
            </w:r>
            <w:r w:rsidR="0026219D">
              <w:t xml:space="preserve"> Auktions-</w:t>
            </w:r>
            <w:r w:rsidR="008511B5">
              <w:t xml:space="preserve">Einnahmen für den Bundeshaushalt haben will, </w:t>
            </w:r>
            <w:r w:rsidR="0039004D">
              <w:t>aber die alte</w:t>
            </w:r>
            <w:r w:rsidR="0021708E">
              <w:t>n</w:t>
            </w:r>
            <w:r w:rsidR="0039004D">
              <w:t xml:space="preserve"> Anlagen auktionieren und </w:t>
            </w:r>
            <w:r w:rsidRPr="008511B5">
              <w:rPr>
                <w:u w:val="single"/>
              </w:rPr>
              <w:t>de</w:t>
            </w:r>
            <w:r w:rsidR="0039004D">
              <w:rPr>
                <w:u w:val="single"/>
              </w:rPr>
              <w:t>m</w:t>
            </w:r>
            <w:r w:rsidR="008511B5" w:rsidRPr="008511B5">
              <w:rPr>
                <w:u w:val="single"/>
              </w:rPr>
              <w:t xml:space="preserve"> neuen Betreiber den</w:t>
            </w:r>
            <w:r w:rsidRPr="008511B5">
              <w:rPr>
                <w:u w:val="single"/>
              </w:rPr>
              <w:t xml:space="preserve"> Weiterbetrieb </w:t>
            </w:r>
            <w:r w:rsidR="008511B5" w:rsidRPr="008511B5">
              <w:rPr>
                <w:u w:val="single"/>
              </w:rPr>
              <w:t xml:space="preserve">der </w:t>
            </w:r>
            <w:r w:rsidRPr="008511B5">
              <w:rPr>
                <w:u w:val="single"/>
              </w:rPr>
              <w:t>bestehende</w:t>
            </w:r>
            <w:r w:rsidR="008511B5" w:rsidRPr="008511B5">
              <w:rPr>
                <w:u w:val="single"/>
              </w:rPr>
              <w:t>n</w:t>
            </w:r>
            <w:r w:rsidRPr="008511B5">
              <w:rPr>
                <w:u w:val="single"/>
              </w:rPr>
              <w:t xml:space="preserve"> Anlagen erlauben</w:t>
            </w:r>
            <w:r>
              <w:t xml:space="preserve">. </w:t>
            </w:r>
            <w:r w:rsidR="008511B5">
              <w:t>Dies sollte schnell gesetzlich geändert werden, mir fällt jedenfalls kein Grund ein, warum ich hier falsch liegen könnte.</w:t>
            </w:r>
          </w:p>
          <w:p w14:paraId="375F548A" w14:textId="77777777" w:rsidR="00B5269F" w:rsidRDefault="00B5269F" w:rsidP="0023231C"/>
          <w:p w14:paraId="52873EE8" w14:textId="38E8319F" w:rsidR="00B5269F" w:rsidRDefault="00B5269F" w:rsidP="0023231C">
            <w:r>
              <w:t>Dass Langzeitverträge gewünscht werden, wird hieran deutlich: BASF hat mit dem Offshore Windpark Borkum Riffgrund 3 für 186 MW einen 25 Jahres Vertrag abgeschlossen, der Park ist ab 2026 voll betriebsbereit.</w:t>
            </w:r>
            <w:r>
              <w:rPr>
                <w:rStyle w:val="Funotenzeichen"/>
              </w:rPr>
              <w:footnoteReference w:id="489"/>
            </w:r>
          </w:p>
        </w:tc>
      </w:tr>
    </w:tbl>
    <w:p w14:paraId="754019FD" w14:textId="77777777" w:rsidR="00E01D77" w:rsidRDefault="00E01D77" w:rsidP="00E01D77"/>
    <w:p w14:paraId="3731FBE4" w14:textId="4B4B818C" w:rsidR="00E01D77" w:rsidRDefault="00E01D77" w:rsidP="00E01D77">
      <w:r>
        <w:t xml:space="preserve">Am 07.06.2024 hat das Bundesamt für Seefahrt und Hydrographie (BSH) einen </w:t>
      </w:r>
      <w:r w:rsidRPr="00F201EB">
        <w:rPr>
          <w:u w:val="single"/>
        </w:rPr>
        <w:t>Entwurf zur Fortschreibung des neuen Flächenentwicklungsplans zum Ausbau der Offshore-Windenergie vorgelegt</w:t>
      </w:r>
      <w:r>
        <w:t xml:space="preserve">. </w:t>
      </w:r>
      <w:r w:rsidRPr="00D07ADF">
        <w:rPr>
          <w:b/>
          <w:bCs/>
          <w:u w:val="single"/>
        </w:rPr>
        <w:t xml:space="preserve">Dort wird nun bis 2037 ein Zubau von ca. 60 GW abgesichert. 2035 wird statt 40 GW </w:t>
      </w:r>
      <w:r w:rsidR="00721464">
        <w:rPr>
          <w:b/>
          <w:bCs/>
          <w:u w:val="single"/>
        </w:rPr>
        <w:t>nun</w:t>
      </w:r>
      <w:r w:rsidRPr="00D07ADF">
        <w:rPr>
          <w:b/>
          <w:bCs/>
          <w:u w:val="single"/>
        </w:rPr>
        <w:t xml:space="preserve"> 50 GW Ausbau geplant</w:t>
      </w:r>
      <w:r>
        <w:t xml:space="preserve">. 36 GW von 60 GW werden dabei zu Beschleunigungsflächen, die besonders geeignet sind, und bei denen die Genehmigung erleichtert wird, erklärt. Auf diesen </w:t>
      </w:r>
      <w:r>
        <w:lastRenderedPageBreak/>
        <w:t>Beschleunigungsflächen seien „voraussichtlich keine erheblichen Umweltauswirkungen zu erwarten.“</w:t>
      </w:r>
      <w:r>
        <w:rPr>
          <w:rStyle w:val="Funotenzeichen"/>
        </w:rPr>
        <w:footnoteReference w:id="490"/>
      </w:r>
      <w:r>
        <w:t xml:space="preserve"> </w:t>
      </w:r>
      <w:r w:rsidR="00C834DB">
        <w:t>Denkbar sei ein Ausbau von 60 GW bis 2037 und ein Ausbau von 70 GW bis 2045, hierfür wurden nun in dem Entwurf zur Fortschreibung des Flächenentwicklungsplan „weitere Potentialflächen identifiziert und festgelegt“, siehe die Pressemitteilung des BMWK vom 07.06.2024.</w:t>
      </w:r>
      <w:r w:rsidR="00C834DB">
        <w:rPr>
          <w:rStyle w:val="Funotenzeichen"/>
        </w:rPr>
        <w:footnoteReference w:id="491"/>
      </w:r>
    </w:p>
    <w:p w14:paraId="139932C5" w14:textId="77777777" w:rsidR="00E01D77" w:rsidRDefault="00E01D77" w:rsidP="00E01D77"/>
    <w:p w14:paraId="773D7A58" w14:textId="77777777" w:rsidR="00E01D77" w:rsidRDefault="00E01D77" w:rsidP="00E01D77">
      <w:r>
        <w:t xml:space="preserve">Neu ist nun mit dem </w:t>
      </w:r>
      <w:proofErr w:type="spellStart"/>
      <w:r>
        <w:t>WindSeeG</w:t>
      </w:r>
      <w:proofErr w:type="spellEnd"/>
      <w:r>
        <w:t xml:space="preserve"> 2023, dass Flächen nur noch über Gebote vergeben werden (dabei spielen auch Kriterien des Bundesamts für Seeschifffahrt und Hydrographie (BSH) eine Rolle). Die Einnahmen aus den Versteigerungen fließen in einen Fond, der zu 90 % zu einer Senkung des Strompreises dienen soll, und 10 % zum Umweltschutz. Dieses Gebotsverfahren führt die Bundesnetzagentur durch.</w:t>
      </w:r>
      <w:r>
        <w:rPr>
          <w:rStyle w:val="Funotenzeichen"/>
        </w:rPr>
        <w:footnoteReference w:id="492"/>
      </w:r>
      <w:r>
        <w:t xml:space="preserve"> Schließlich wurden im </w:t>
      </w:r>
      <w:proofErr w:type="spellStart"/>
      <w:r>
        <w:t>WindSeeG</w:t>
      </w:r>
      <w:proofErr w:type="spellEnd"/>
      <w:r>
        <w:t xml:space="preserve"> auch Wasserstoffpipelines erlaubt, um Elektrolyseure auf dem Meer zu ermöglichen.</w:t>
      </w:r>
      <w:r>
        <w:rPr>
          <w:rStyle w:val="Funotenzeichen"/>
        </w:rPr>
        <w:footnoteReference w:id="493"/>
      </w:r>
    </w:p>
    <w:p w14:paraId="0C8B6673" w14:textId="77777777" w:rsidR="00E01D77" w:rsidRDefault="00E01D77" w:rsidP="00E01D77"/>
    <w:p w14:paraId="5AE61395" w14:textId="5A01A2F9" w:rsidR="00E01D77" w:rsidRDefault="00E01D77" w:rsidP="00E01D77">
      <w:r>
        <w:t>Energiesicherungsgesetz (</w:t>
      </w:r>
      <w:proofErr w:type="spellStart"/>
      <w:r>
        <w:t>EnSiG</w:t>
      </w:r>
      <w:proofErr w:type="spellEnd"/>
      <w:r>
        <w:t xml:space="preserve">). Das Energiesicherungsgesetzt wurde in der Ölkrise 1973 erlassen, um die Energieversorgung Deutschland sicherzustellen. Im Jahr 2022 wurde es so geändert, dass eine Treuhandverwaltung möglich ist und dass man im Krisenfall Energieinfrastruktur verstaatlichen kann. Eine Gasmangellage kann über § 24 </w:t>
      </w:r>
      <w:proofErr w:type="spellStart"/>
      <w:r>
        <w:t>EnSiG</w:t>
      </w:r>
      <w:proofErr w:type="spellEnd"/>
      <w:r>
        <w:t xml:space="preserve"> ausgerufen werden.</w:t>
      </w:r>
      <w:r>
        <w:rPr>
          <w:rStyle w:val="Funotenzeichen"/>
        </w:rPr>
        <w:footnoteReference w:id="494"/>
      </w:r>
      <w:r>
        <w:t xml:space="preserve"> Siehe in dem dazugehörigen Artikel in Wikipedia auch zur Gas- und Strompreisbremse.</w:t>
      </w:r>
      <w:r w:rsidRPr="00471718">
        <w:rPr>
          <w:rStyle w:val="Funotenzeichen"/>
        </w:rPr>
        <w:t xml:space="preserve"> </w:t>
      </w:r>
      <w:r>
        <w:rPr>
          <w:rStyle w:val="Funotenzeichen"/>
        </w:rPr>
        <w:footnoteReference w:id="495"/>
      </w:r>
      <w:r>
        <w:t xml:space="preserve"> Am 07.10.2</w:t>
      </w:r>
      <w:r w:rsidR="00721464">
        <w:t>0</w:t>
      </w:r>
      <w:r>
        <w:t>22 wurde das Energiesicherungsgesetz 3.0 vom Bundesrat verabschiedet, siehe die folgenden Pressemitteilung.</w:t>
      </w:r>
      <w:r>
        <w:rPr>
          <w:rStyle w:val="Funotenzeichen"/>
        </w:rPr>
        <w:footnoteReference w:id="496"/>
      </w:r>
    </w:p>
    <w:p w14:paraId="478A11BF" w14:textId="12A14CDB" w:rsidR="00E01D77" w:rsidRDefault="00E01D77" w:rsidP="00E01D77">
      <w:r>
        <w:t xml:space="preserve">Die sog. Krisensonderausschreibung entfällt, dafür wird im Bereich Solar die maximale Gebotsgröße im Jahr 2023 von 20 auf 100 MW erhöht. Ebenso erfolgte die verfrühte Abschaffung bestimmten Regeln bei der Solareinspeisung, die für Laien </w:t>
      </w:r>
      <w:r w:rsidR="00721464">
        <w:t xml:space="preserve">und für mich </w:t>
      </w:r>
      <w:r>
        <w:t>schwer verständlich sind: über 7 kW muss ein intelligentes Me</w:t>
      </w:r>
      <w:r w:rsidR="00B60E47">
        <w:t>ss</w:t>
      </w:r>
      <w:r>
        <w:t xml:space="preserve">system eingebaut werden, eine Begrenzung auf 70 % der sog. Wirkleistungseinspeisung wird aufgehoben, auch unter 7 KW wird es aufgehoben (ab dem 1. Januar 2023). Für Biogas gibt es eine Sonderregelung für die EEG-Förderung, damit hier mehr Strom erzeugt wird. Ebenso gibt es Maßnahmen zur Nutzung der </w:t>
      </w:r>
      <w:proofErr w:type="gramStart"/>
      <w:r>
        <w:t>LNG Terminals</w:t>
      </w:r>
      <w:proofErr w:type="gramEnd"/>
      <w:r>
        <w:t xml:space="preserve"> und Anlagen. Änderungen im Baugesetzbuch sollen mehr Anreize für Windenergie schaffen (für mich nicht verstehbar). Bis zum 31. März 2023 wurden Lärmschutzgrenzwerte für Windenergieanlagen in der Nacht ausgesetzt, um mehr Strom produzieren zu können … es wurde immer noch nicht alles erwähnt, siehe hier.</w:t>
      </w:r>
      <w:r>
        <w:rPr>
          <w:rStyle w:val="Funotenzeichen"/>
        </w:rPr>
        <w:footnoteReference w:id="497"/>
      </w:r>
    </w:p>
    <w:p w14:paraId="16D7A554" w14:textId="77777777" w:rsidR="00E01D77" w:rsidRDefault="00E01D77" w:rsidP="00E01D77"/>
    <w:tbl>
      <w:tblPr>
        <w:tblStyle w:val="Tabellenraster"/>
        <w:tblW w:w="0" w:type="auto"/>
        <w:tblLook w:val="04A0" w:firstRow="1" w:lastRow="0" w:firstColumn="1" w:lastColumn="0" w:noHBand="0" w:noVBand="1"/>
      </w:tblPr>
      <w:tblGrid>
        <w:gridCol w:w="9062"/>
      </w:tblGrid>
      <w:tr w:rsidR="00E01D77" w14:paraId="4C8DDF3A" w14:textId="77777777" w:rsidTr="0023231C">
        <w:tc>
          <w:tcPr>
            <w:tcW w:w="9062" w:type="dxa"/>
          </w:tcPr>
          <w:p w14:paraId="69EE524B" w14:textId="304B2AA1" w:rsidR="00E01D77" w:rsidRDefault="00E01D77" w:rsidP="0023231C">
            <w:bookmarkStart w:id="29" w:name="_Hlk199678539"/>
            <w:r>
              <w:lastRenderedPageBreak/>
              <w:t xml:space="preserve">Der </w:t>
            </w:r>
            <w:bookmarkStart w:id="30" w:name="_Hlk172468931"/>
            <w:r w:rsidRPr="009C1EC5">
              <w:rPr>
                <w:u w:val="single"/>
              </w:rPr>
              <w:t>BMWK Monitoringbericht 2024</w:t>
            </w:r>
            <w:bookmarkEnd w:id="30"/>
            <w:r>
              <w:rPr>
                <w:rStyle w:val="Funotenzeichen"/>
              </w:rPr>
              <w:footnoteReference w:id="498"/>
            </w:r>
            <w:r>
              <w:t xml:space="preserve"> meldet folgenden </w:t>
            </w:r>
            <w:r w:rsidRPr="00F80BDB">
              <w:rPr>
                <w:u w:val="single"/>
              </w:rPr>
              <w:t>Stand der Dinge beim Ausbau der erneuerbaren Energien</w:t>
            </w:r>
            <w:r>
              <w:t>:</w:t>
            </w:r>
            <w:r w:rsidR="00FA1537">
              <w:t xml:space="preserve"> </w:t>
            </w:r>
          </w:p>
          <w:p w14:paraId="76D7EBB9" w14:textId="77777777" w:rsidR="00E01D77" w:rsidRDefault="00E01D77" w:rsidP="0023231C"/>
          <w:p w14:paraId="547B084D" w14:textId="715AFF48" w:rsidR="00E01D77" w:rsidRDefault="00E01D77" w:rsidP="0023231C">
            <w:r>
              <w:t xml:space="preserve">Der Ausbau der Solarenergie: </w:t>
            </w:r>
            <w:r w:rsidRPr="0003109A">
              <w:rPr>
                <w:u w:val="single"/>
              </w:rPr>
              <w:t>Bis 2030 soll 215 GW erreicht werden</w:t>
            </w:r>
            <w:r>
              <w:t xml:space="preserve">. 2023 ist 82,2 GW erreicht worden. 2020: + 6 GW, 2021: +6 GW, 2022: + 7 GW, 2023: +14,6 GW. Im Jahr 2024 muss </w:t>
            </w:r>
            <w:r w:rsidR="00FA1537">
              <w:t xml:space="preserve">insgesamt </w:t>
            </w:r>
            <w:r>
              <w:t>88 GW erreicht werden.</w:t>
            </w:r>
            <w:r>
              <w:rPr>
                <w:rStyle w:val="Funotenzeichen"/>
              </w:rPr>
              <w:footnoteReference w:id="499"/>
            </w:r>
            <w:r>
              <w:t xml:space="preserve"> Die Ausschreibungen waren 2023 alle überzeichnet, es sieht also im Bereich Solar gut aus, die Ziele zu erreichen.</w:t>
            </w:r>
            <w:r>
              <w:rPr>
                <w:rStyle w:val="Funotenzeichen"/>
              </w:rPr>
              <w:footnoteReference w:id="500"/>
            </w:r>
            <w:r>
              <w:t xml:space="preserve"> Im 1. Halbjahr 2024 lag der Zubau </w:t>
            </w:r>
            <w:r w:rsidR="00FA1537">
              <w:t>bei Solar schon</w:t>
            </w:r>
            <w:r>
              <w:t xml:space="preserve"> bei 7,5 GW</w:t>
            </w:r>
            <w:r>
              <w:rPr>
                <w:rStyle w:val="Funotenzeichen"/>
              </w:rPr>
              <w:footnoteReference w:id="501"/>
            </w:r>
            <w:r w:rsidR="00FA1537">
              <w:t xml:space="preserve">, </w:t>
            </w:r>
            <w:r w:rsidR="004C1441" w:rsidRPr="004C1441">
              <w:rPr>
                <w:u w:val="single"/>
              </w:rPr>
              <w:t xml:space="preserve">im Jahr 2024 wurde </w:t>
            </w:r>
            <w:r w:rsidR="00FA1537" w:rsidRPr="004C1441">
              <w:rPr>
                <w:u w:val="single"/>
              </w:rPr>
              <w:t xml:space="preserve">insgesamt 16,2 Gigawatt </w:t>
            </w:r>
            <w:r w:rsidR="004C1441">
              <w:rPr>
                <w:u w:val="single"/>
              </w:rPr>
              <w:t xml:space="preserve">Ausbau </w:t>
            </w:r>
            <w:r w:rsidR="00FA1537" w:rsidRPr="004C1441">
              <w:rPr>
                <w:u w:val="single"/>
              </w:rPr>
              <w:t>erreicht</w:t>
            </w:r>
            <w:r w:rsidR="00AF407C">
              <w:t xml:space="preserve"> (Balkonanlagen davon 2024 0,4 GW mehr)</w:t>
            </w:r>
            <w:r w:rsidR="00FA1537">
              <w:t>,</w:t>
            </w:r>
            <w:r w:rsidR="00AF407C">
              <w:t xml:space="preserve"> die </w:t>
            </w:r>
            <w:r w:rsidR="00AF407C" w:rsidRPr="0003109A">
              <w:rPr>
                <w:b/>
                <w:bCs/>
              </w:rPr>
              <w:t xml:space="preserve">Gesamtleistung Ende 2024 </w:t>
            </w:r>
            <w:r w:rsidR="0003109A" w:rsidRPr="0003109A">
              <w:rPr>
                <w:b/>
                <w:bCs/>
              </w:rPr>
              <w:t>lag bei 99,3 Gigawatt</w:t>
            </w:r>
            <w:r w:rsidR="0003109A">
              <w:t>,</w:t>
            </w:r>
            <w:r w:rsidR="00FA1537">
              <w:t xml:space="preserve"> siehe hierzu Bundesnetzagentur, Ausbau erneuerbarer Energien 2024, 08.1.2025.</w:t>
            </w:r>
            <w:r w:rsidR="00FA1537">
              <w:rPr>
                <w:rStyle w:val="Funotenzeichen"/>
              </w:rPr>
              <w:footnoteReference w:id="502"/>
            </w:r>
          </w:p>
          <w:p w14:paraId="0EFA41A0" w14:textId="77777777" w:rsidR="00E01D77" w:rsidRDefault="00E01D77" w:rsidP="0023231C"/>
          <w:p w14:paraId="31B44DD3" w14:textId="18C86791" w:rsidR="00E01D77" w:rsidRDefault="00E01D77" w:rsidP="0023231C">
            <w:r>
              <w:t xml:space="preserve">Windenergie Land: </w:t>
            </w:r>
            <w:r w:rsidRPr="0003109A">
              <w:rPr>
                <w:u w:val="single"/>
              </w:rPr>
              <w:t>Bis 2030 sollen 115 Gigawatt erzielt werden</w:t>
            </w:r>
            <w:r>
              <w:t xml:space="preserve">. Die installierte Leistung beträgt 2023 61 GW. Ziel ist 2024 69 GW zu erreichen, also ein 8 GW Zubau. 2023 gelang ein Zubau von 3 GW. Die Ausschreibungen werden hier erst seit 2017 eingesetzt und dies funktioniert anscheinend nicht. Teils wurde nur für 1/3 der ausgeschriebenen Fläche geboten. Der Zubau an Land gelingt auch deshalb </w:t>
            </w:r>
            <w:r w:rsidR="00AF407C">
              <w:t xml:space="preserve">derzeit </w:t>
            </w:r>
            <w:r>
              <w:t>nicht</w:t>
            </w:r>
            <w:r w:rsidR="00AF407C">
              <w:t xml:space="preserve"> gut</w:t>
            </w:r>
            <w:r>
              <w:t>, da es Hemmnisse beim Planungs- und Genehmigungsprozess gibt. Man muss eine immissionsschutzrechtliche Genehmigung bereits haben, um an einer Ausschreibung teilzunehmen, dies ist eine große Hürde, es erhöht allerdings auch den Realisierungsgrad. Nun wird die Menge der ausgeschriebenen Flächen kumuliert und erhöht sich damit in den nächsten Jahren. Im Jahr 2023 wurden 73 % mehr Windkraftanlagen als 2022 genehmigt.</w:t>
            </w:r>
            <w:r>
              <w:rPr>
                <w:rStyle w:val="Funotenzeichen"/>
              </w:rPr>
              <w:footnoteReference w:id="503"/>
            </w:r>
            <w:r>
              <w:t xml:space="preserve"> Um das Ausbauziel zu erreichen ist in den nächsten Jahren jährlich ein Zubau von ca. 8 GW nötig. (2025, 26, 27, 28, 29, 30). Im August 2024 wird gemeldet, dass eine aktuelle Ausschreibung von 2,7 GW überboten wurde und die ersten drei Ausschreibungsrunden im Jahr 2024 über 7 GW Leistung liegen, siehe diesen FAZ</w:t>
            </w:r>
            <w:r w:rsidR="002839D9">
              <w:t>-</w:t>
            </w:r>
            <w:r>
              <w:t>Artikel.</w:t>
            </w:r>
            <w:r>
              <w:rPr>
                <w:rStyle w:val="Funotenzeichen"/>
              </w:rPr>
              <w:footnoteReference w:id="504"/>
            </w:r>
            <w:r>
              <w:t xml:space="preserve"> </w:t>
            </w:r>
            <w:r w:rsidR="00AF407C">
              <w:t xml:space="preserve">Für 2024 ging es für die Windenergie aber nicht gut aus, es wurde 3,2 GW zugebaut, aber 0,7 GW endgültig stillgelegt, </w:t>
            </w:r>
            <w:r w:rsidR="0003109A">
              <w:t xml:space="preserve">vielleicht gibt es hier noch ein </w:t>
            </w:r>
            <w:proofErr w:type="spellStart"/>
            <w:r w:rsidR="0003109A">
              <w:t>Repowering</w:t>
            </w:r>
            <w:proofErr w:type="spellEnd"/>
            <w:r w:rsidR="0003109A">
              <w:t xml:space="preserve">, </w:t>
            </w:r>
            <w:r w:rsidR="00AF407C" w:rsidRPr="004C1441">
              <w:rPr>
                <w:u w:val="single"/>
              </w:rPr>
              <w:t xml:space="preserve">insgesamt </w:t>
            </w:r>
            <w:r w:rsidR="0003109A" w:rsidRPr="004C1441">
              <w:rPr>
                <w:u w:val="single"/>
              </w:rPr>
              <w:t xml:space="preserve">gab es 2024 </w:t>
            </w:r>
            <w:r w:rsidR="00AF407C" w:rsidRPr="004C1441">
              <w:rPr>
                <w:u w:val="single"/>
              </w:rPr>
              <w:t>ein Zubau von 2,5 GW</w:t>
            </w:r>
            <w:r w:rsidR="00AF407C">
              <w:t xml:space="preserve">. Es wurden für fast 15 GW Genehmigungen für die kommenden Jahre erteilt, insgesamt liegt </w:t>
            </w:r>
            <w:r w:rsidR="00AF407C" w:rsidRPr="00AF407C">
              <w:rPr>
                <w:b/>
                <w:bCs/>
              </w:rPr>
              <w:t>die Gesamtleistung Ende 2024 nun bei 63,5 Gigawatt</w:t>
            </w:r>
            <w:r w:rsidR="00AF407C">
              <w:t>, siehe hierzu Bundesnetzagentur, Ausbau erneuerbarer Energien 2024, 08.1.2025.</w:t>
            </w:r>
            <w:r w:rsidR="00AF407C">
              <w:rPr>
                <w:rStyle w:val="Funotenzeichen"/>
              </w:rPr>
              <w:footnoteReference w:id="505"/>
            </w:r>
            <w:r w:rsidR="0003109A">
              <w:t xml:space="preserve"> (</w:t>
            </w:r>
            <w:bookmarkStart w:id="31" w:name="_Hlk201246140"/>
            <w:r w:rsidR="0003109A">
              <w:t xml:space="preserve">Werder </w:t>
            </w:r>
            <w:proofErr w:type="spellStart"/>
            <w:r w:rsidR="0003109A">
              <w:t>Kessin</w:t>
            </w:r>
            <w:proofErr w:type="spellEnd"/>
            <w:r w:rsidR="0003109A">
              <w:t xml:space="preserve"> hat eine Leistung von 144 MW: 2500 MW / 144 MW = es wurden 2024 17 Windparks der Größe Werder </w:t>
            </w:r>
            <w:proofErr w:type="spellStart"/>
            <w:r w:rsidR="0003109A">
              <w:t>Kessin</w:t>
            </w:r>
            <w:proofErr w:type="spellEnd"/>
            <w:r w:rsidR="0003109A">
              <w:t xml:space="preserve"> gebaut, mit 15 Enercon E-126 7,5 MW und 13 Enercon E-82, 2,3 MW</w:t>
            </w:r>
            <w:r w:rsidR="0003109A">
              <w:rPr>
                <w:rStyle w:val="Funotenzeichen"/>
              </w:rPr>
              <w:footnoteReference w:id="506"/>
            </w:r>
            <w:r w:rsidR="0003109A">
              <w:t>, also ca. 20 der großen 7,5 MW Anlagen</w:t>
            </w:r>
            <w:bookmarkEnd w:id="31"/>
            <w:r w:rsidR="0003109A">
              <w:t xml:space="preserve">, </w:t>
            </w:r>
            <w:r w:rsidR="0003109A" w:rsidRPr="0003109A">
              <w:rPr>
                <w:u w:val="single"/>
              </w:rPr>
              <w:t xml:space="preserve">es wurden also in Deutschland in einem Jahr </w:t>
            </w:r>
            <w:r w:rsidR="0003109A">
              <w:rPr>
                <w:u w:val="single"/>
              </w:rPr>
              <w:t xml:space="preserve">2024 </w:t>
            </w:r>
            <w:r w:rsidR="0003109A" w:rsidRPr="004C1441">
              <w:rPr>
                <w:b/>
                <w:bCs/>
                <w:u w:val="single"/>
              </w:rPr>
              <w:t>nur 340 einzelne Land-Windenergieanlagen aufgebaut</w:t>
            </w:r>
            <w:r w:rsidR="0003109A" w:rsidRPr="0003109A">
              <w:rPr>
                <w:u w:val="single"/>
              </w:rPr>
              <w:t xml:space="preserve">, das ist schon sehr </w:t>
            </w:r>
            <w:r w:rsidR="0003109A" w:rsidRPr="0003109A">
              <w:rPr>
                <w:u w:val="single"/>
              </w:rPr>
              <w:lastRenderedPageBreak/>
              <w:t>wenig</w:t>
            </w:r>
            <w:r w:rsidR="0003109A">
              <w:t xml:space="preserve">) </w:t>
            </w:r>
            <w:r w:rsidR="0005099A">
              <w:t>(damit ist immer noch nicht der Fluch durchbrochen, 2017 gab es 5 GW Aufbau und danach nur noch 2 GW</w:t>
            </w:r>
            <w:r w:rsidR="0005099A">
              <w:rPr>
                <w:rStyle w:val="Funotenzeichen"/>
              </w:rPr>
              <w:footnoteReference w:id="507"/>
            </w:r>
            <w:r w:rsidR="0005099A">
              <w:t>)</w:t>
            </w:r>
          </w:p>
          <w:p w14:paraId="6D1A620E" w14:textId="77777777" w:rsidR="00E01D77" w:rsidRDefault="00E01D77" w:rsidP="0023231C"/>
          <w:p w14:paraId="28309B17" w14:textId="77777777" w:rsidR="00E01D77" w:rsidRDefault="00E01D77" w:rsidP="0023231C">
            <w:r>
              <w:t xml:space="preserve">Am Rande erwähnt: </w:t>
            </w:r>
            <w:r w:rsidRPr="0003109A">
              <w:rPr>
                <w:u w:val="single"/>
              </w:rPr>
              <w:t>Im Jahr 2013 wurde in einer Studie 930 GW Leistung der Windenergie für möglich gehalten</w:t>
            </w:r>
            <w:r>
              <w:t>. Für Windenergie Land wurde in einer frühen Studie des Bundesumweltamtes (2013) berechnet, dass ein „grundsätzlich verfügbares Flächenpotential von rund 49.400 km2 bzw. 13,8 % der Landfläche“ verfügbar wäre, auf der 1190 GW Leistung installiert werden kann mit 2900 TWh pro Jahr. Lässt man Standorte mit weniger als 2200 Volllaststunden weg, gibt es noch 930 GW Leistung und 2400 TWh pro Jahr. Eine Starkwindanlage mit 3,4 MW und Schwachwindanlage mit 3,2 MW Leistung wurde dabei zugrunde gelegt</w:t>
            </w:r>
            <w:r>
              <w:rPr>
                <w:rStyle w:val="Funotenzeichen"/>
              </w:rPr>
              <w:footnoteReference w:id="508"/>
            </w:r>
          </w:p>
          <w:p w14:paraId="6BBA7953" w14:textId="77777777" w:rsidR="00E01D77" w:rsidRDefault="00E01D77" w:rsidP="0023231C"/>
          <w:p w14:paraId="6BCD594A" w14:textId="5B39D5EE" w:rsidR="00E01D77" w:rsidRDefault="00E01D77" w:rsidP="0023231C">
            <w:r>
              <w:t xml:space="preserve">Ausbau Offshore: </w:t>
            </w:r>
            <w:r w:rsidRPr="0003109A">
              <w:rPr>
                <w:u w:val="single"/>
              </w:rPr>
              <w:t>Bis 2030 sollen 30 GW erreicht werden</w:t>
            </w:r>
            <w:r>
              <w:t>. Die installierte Leistung beträgt 8,5 GW. Der Zubau war gering, der Rekordzubau lag 2017 bei 1,3 GW, danach nicht mehr als 350 MW, 2023 258 MW. Die Ausschreibungen lagen bei 0 Cent/kWh, es fehlten vor allem die Flächen und die Ausschreibungen lagen ebenso niedrig. Die Ausschreibungsvolumen sollen in den nächsten Jahren stark ansteigen, 2023 und 2024: 8 bis 9 GW, 2025 und 2026 3 bis 5 GW, aber 2027 jährlich 4 GW.</w:t>
            </w:r>
            <w:r>
              <w:rPr>
                <w:rStyle w:val="Funotenzeichen"/>
              </w:rPr>
              <w:footnoteReference w:id="509"/>
            </w:r>
            <w:r w:rsidR="00AF407C">
              <w:t xml:space="preserve"> </w:t>
            </w:r>
            <w:r w:rsidR="00AF407C" w:rsidRPr="004C1441">
              <w:rPr>
                <w:u w:val="single"/>
              </w:rPr>
              <w:t>2024 wurde insgesamt 0,7 Gigawatt in Betrieb genommen</w:t>
            </w:r>
            <w:r w:rsidR="00AF407C">
              <w:t xml:space="preserve">, </w:t>
            </w:r>
            <w:r w:rsidR="00AF407C" w:rsidRPr="004C1441">
              <w:rPr>
                <w:b/>
                <w:bCs/>
              </w:rPr>
              <w:t xml:space="preserve">73 Windenergieanlagen wurden </w:t>
            </w:r>
            <w:r w:rsidR="004C1441" w:rsidRPr="004C1441">
              <w:rPr>
                <w:b/>
                <w:bCs/>
              </w:rPr>
              <w:t>auf</w:t>
            </w:r>
            <w:r w:rsidR="00AF407C" w:rsidRPr="004C1441">
              <w:rPr>
                <w:b/>
                <w:bCs/>
              </w:rPr>
              <w:t>gebaut</w:t>
            </w:r>
            <w:r w:rsidR="0021708E">
              <w:rPr>
                <w:b/>
                <w:bCs/>
              </w:rPr>
              <w:t xml:space="preserve"> (das ist lächerlich gering </w:t>
            </w:r>
            <w:r w:rsidR="0021708E" w:rsidRPr="0021708E">
              <w:rPr>
                <mc:AlternateContent>
                  <mc:Choice Requires="w16se"/>
                  <mc:Fallback>
                    <w:rFonts w:ascii="Segoe UI Emoji" w:eastAsia="Segoe UI Emoji" w:hAnsi="Segoe UI Emoji" w:cs="Segoe UI Emoji"/>
                  </mc:Fallback>
                </mc:AlternateContent>
                <w:b/>
                <w:bCs/>
              </w:rPr>
              <mc:AlternateContent>
                <mc:Choice Requires="w16se">
                  <w16se:symEx w16se:font="Segoe UI Emoji" w16se:char="1F609"/>
                </mc:Choice>
                <mc:Fallback>
                  <w:t>😉</w:t>
                </mc:Fallback>
              </mc:AlternateContent>
            </w:r>
            <w:r w:rsidR="0021708E">
              <w:rPr>
                <w:b/>
                <w:bCs/>
              </w:rPr>
              <w:t>)</w:t>
            </w:r>
            <w:r w:rsidR="00AF407C">
              <w:t xml:space="preserve">, in der Ostsee für Baltic Eagle und Nordsee Gode Wind, </w:t>
            </w:r>
            <w:r w:rsidR="00AF407C" w:rsidRPr="00AF407C">
              <w:rPr>
                <w:b/>
                <w:bCs/>
              </w:rPr>
              <w:t>insgesamt liegt die installierte Leistung nun bei 9,2 GW</w:t>
            </w:r>
            <w:r w:rsidR="00AF407C">
              <w:t>, siehe hierzu Bundesnetzagentur, Ausbau erneuerbarer Energien 2024, 08.1.2025.</w:t>
            </w:r>
            <w:r w:rsidR="00AF407C">
              <w:rPr>
                <w:rStyle w:val="Funotenzeichen"/>
              </w:rPr>
              <w:footnoteReference w:id="510"/>
            </w:r>
            <w:r w:rsidR="0003109A">
              <w:t xml:space="preserve"> </w:t>
            </w:r>
            <w:r>
              <w:t>Ein Problem sind mangelhafte Produktionskapazitäten für Konverter, die die Projekte nach hinten verschieben.</w:t>
            </w:r>
            <w:r>
              <w:rPr>
                <w:rStyle w:val="Funotenzeichen"/>
              </w:rPr>
              <w:footnoteReference w:id="511"/>
            </w:r>
            <w:r>
              <w:t xml:space="preserve"> Siehe unten, hierzu gibt es bereits </w:t>
            </w:r>
            <w:r w:rsidRPr="00FF7D1C">
              <w:t xml:space="preserve">eine „Taskforce </w:t>
            </w:r>
            <w:proofErr w:type="spellStart"/>
            <w:r w:rsidRPr="00FF7D1C">
              <w:t>Konverterplattformen</w:t>
            </w:r>
            <w:proofErr w:type="spellEnd"/>
            <w:r w:rsidRPr="00FF7D1C">
              <w:t>“ unter Leitung des Maritimen Koordinators Dieter Janecek (Grüne).</w:t>
            </w:r>
            <w:r>
              <w:t>“</w:t>
            </w:r>
            <w:r w:rsidRPr="002675CE">
              <w:rPr>
                <w:rStyle w:val="Funotenzeichen"/>
              </w:rPr>
              <w:t xml:space="preserve"> </w:t>
            </w:r>
            <w:r>
              <w:rPr>
                <w:rStyle w:val="Funotenzeichen"/>
              </w:rPr>
              <w:footnoteReference w:id="512"/>
            </w:r>
            <w:r>
              <w:rPr>
                <w:rStyle w:val="Funotenzeichen"/>
                <w:rFonts w:asciiTheme="minorHAnsi" w:hAnsiTheme="minorHAnsi"/>
                <w:sz w:val="22"/>
              </w:rPr>
              <w:t xml:space="preserve"> </w:t>
            </w:r>
            <w:r>
              <w:t xml:space="preserve">Eine Produktion der 2-GW </w:t>
            </w:r>
            <w:proofErr w:type="spellStart"/>
            <w:r>
              <w:t>Konverterplattformen</w:t>
            </w:r>
            <w:proofErr w:type="spellEnd"/>
            <w:r>
              <w:t xml:space="preserve"> war bisher nur in Spanien möglich, nun will die Firma Smulders</w:t>
            </w:r>
            <w:r>
              <w:rPr>
                <w:rStyle w:val="Funotenzeichen"/>
              </w:rPr>
              <w:footnoteReference w:id="513"/>
            </w:r>
            <w:r>
              <w:t xml:space="preserve"> in einem Joint Venture mit der Meyer Neptun Werft in Rostock dort auch diese Konverter bauen.</w:t>
            </w:r>
            <w:r>
              <w:rPr>
                <w:rStyle w:val="Funotenzeichen"/>
              </w:rPr>
              <w:footnoteReference w:id="514"/>
            </w:r>
            <w:r>
              <w:t xml:space="preserve"> Der Bundesverband Windenergie sieht es als positiv an, dass im 1. </w:t>
            </w:r>
            <w:proofErr w:type="spellStart"/>
            <w:r>
              <w:t>Hj</w:t>
            </w:r>
            <w:proofErr w:type="spellEnd"/>
            <w:r>
              <w:t>. 2024 nun 36 Anlagen mit 377 MW gebaut wurde und 73 Fundamente erreicht wurden, beklagt die hohen Preise für die Gebote, etwa 3 Mrd., es müsste die industrielle Kapazität „in wenigen Jahren erheblich gesteigert werden.“ KfW Darlehen für den Ausbau der Fertigung müssten deutlich höher als 25 Mill. Euro liegen.</w:t>
            </w:r>
            <w:r>
              <w:rPr>
                <w:rStyle w:val="Funotenzeichen"/>
              </w:rPr>
              <w:footnoteReference w:id="515"/>
            </w:r>
            <w:r w:rsidR="002839D9">
              <w:t xml:space="preserve"> </w:t>
            </w:r>
          </w:p>
          <w:p w14:paraId="3FE75AB4" w14:textId="77777777" w:rsidR="00E01D77" w:rsidRDefault="00E01D77" w:rsidP="0023231C"/>
          <w:p w14:paraId="298F77BF" w14:textId="77777777" w:rsidR="00E01D77" w:rsidRDefault="00E01D77" w:rsidP="0023231C">
            <w:r>
              <w:t>Hohe See 497 MW (</w:t>
            </w:r>
            <w:proofErr w:type="gramStart"/>
            <w:r>
              <w:t>71 mal</w:t>
            </w:r>
            <w:proofErr w:type="gramEnd"/>
            <w:r>
              <w:t xml:space="preserve"> Siemens SWT-7.0-154, 7 MV) und Albatros 112 MW (</w:t>
            </w:r>
            <w:proofErr w:type="gramStart"/>
            <w:r>
              <w:t>16 mal</w:t>
            </w:r>
            <w:proofErr w:type="gramEnd"/>
            <w:r>
              <w:t xml:space="preserve"> Siemens SWT-7.0-154, 7 MW) … 609 MW, mit 87 Anlagen. 8 GW Ausbau wären </w:t>
            </w:r>
            <w:proofErr w:type="gramStart"/>
            <w:r>
              <w:t>13 mal</w:t>
            </w:r>
            <w:proofErr w:type="gramEnd"/>
            <w:r>
              <w:t xml:space="preserve"> diese Anlage. 4 GW Ausbau wären </w:t>
            </w:r>
            <w:proofErr w:type="gramStart"/>
            <w:r>
              <w:t>6,5 mal</w:t>
            </w:r>
            <w:proofErr w:type="gramEnd"/>
            <w:r>
              <w:t xml:space="preserve"> diese Anlage.</w:t>
            </w:r>
          </w:p>
          <w:p w14:paraId="7FF19161" w14:textId="77777777" w:rsidR="00E01D77" w:rsidRDefault="00E01D77" w:rsidP="0023231C"/>
          <w:p w14:paraId="716342E0" w14:textId="6E2DE318" w:rsidR="00E01D77" w:rsidRDefault="00E01D77" w:rsidP="0023231C">
            <w:r>
              <w:lastRenderedPageBreak/>
              <w:t xml:space="preserve">In einem Artikel der FAZ zu diesem Thema wird gemeldet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r w:rsidRPr="00721464">
              <w:rPr>
                <w:u w:val="single"/>
              </w:rPr>
              <w:t>dass der Ausbau der Windenergie in Bayern und Baden</w:t>
            </w:r>
            <w:r w:rsidR="00721464" w:rsidRPr="00721464">
              <w:rPr>
                <w:u w:val="single"/>
              </w:rPr>
              <w:t>-</w:t>
            </w:r>
            <w:r w:rsidRPr="00721464">
              <w:rPr>
                <w:u w:val="single"/>
              </w:rPr>
              <w:t>Württe</w:t>
            </w:r>
            <w:r w:rsidR="00B60E47">
              <w:rPr>
                <w:u w:val="single"/>
              </w:rPr>
              <w:t>m</w:t>
            </w:r>
            <w:r w:rsidRPr="00721464">
              <w:rPr>
                <w:u w:val="single"/>
              </w:rPr>
              <w:t>berg im ersten Quartal 2024 bei 10 Windrädern lag</w:t>
            </w:r>
            <w:r>
              <w:t>.</w:t>
            </w:r>
            <w:r>
              <w:rPr>
                <w:rStyle w:val="Funotenzeichen"/>
              </w:rPr>
              <w:footnoteReference w:id="516"/>
            </w:r>
            <w:r>
              <w:t xml:space="preserve"> </w:t>
            </w:r>
          </w:p>
          <w:p w14:paraId="08098955" w14:textId="77777777" w:rsidR="00E01D77" w:rsidRDefault="00E01D77" w:rsidP="0023231C"/>
          <w:p w14:paraId="70E64264" w14:textId="70EB78C4" w:rsidR="00E01D77" w:rsidRDefault="00E01D77" w:rsidP="0023231C">
            <w:r>
              <w:t xml:space="preserve">In § 37c Absatz 2 EEG 2021 gibt es eine Länderöffnungsklausel, die es den Ländern erlaubt, weitere </w:t>
            </w:r>
            <w:r w:rsidR="00DD3EA6">
              <w:t>F</w:t>
            </w:r>
            <w:r>
              <w:t xml:space="preserve">lächen, die als Acker- und Grünland genutzt werden und in einem benachteiligten Gebiet liegen, in die EEG </w:t>
            </w:r>
            <w:proofErr w:type="spellStart"/>
            <w:r>
              <w:t>bezuschu</w:t>
            </w:r>
            <w:r w:rsidR="00B60E47">
              <w:t>ss</w:t>
            </w:r>
            <w:r>
              <w:t>baren</w:t>
            </w:r>
            <w:proofErr w:type="spellEnd"/>
            <w:r>
              <w:t xml:space="preserve"> Flächen einbezogen werden können, siehe dazu LEE NRW.</w:t>
            </w:r>
            <w:r>
              <w:rPr>
                <w:rStyle w:val="Funotenzeichen"/>
              </w:rPr>
              <w:footnoteReference w:id="517"/>
            </w:r>
            <w:r>
              <w:t xml:space="preserve"> Dies wurde von </w:t>
            </w:r>
            <w:r w:rsidRPr="000246C3">
              <w:t>Baden-Württemberg, Bayern, Hessen, Niedersachsen, Rheinland-Pfalz,</w:t>
            </w:r>
            <w:r>
              <w:t xml:space="preserve"> </w:t>
            </w:r>
            <w:r w:rsidRPr="000246C3">
              <w:t>Saarland, Sachsen und Sachsen-Anhalt</w:t>
            </w:r>
            <w:r>
              <w:t xml:space="preserve"> und NRW umgesetzt (nicht aktuell, Stand: 10.06.2022). </w:t>
            </w:r>
            <w:r w:rsidRPr="00721464">
              <w:rPr>
                <w:u w:val="single"/>
              </w:rPr>
              <w:t>Problem ist aber, dass diese Flächen zwar ‚freigegeben‘ werden, aber insgesamt wiederum gedeckelt wurden</w:t>
            </w:r>
            <w:r>
              <w:t xml:space="preserve">, </w:t>
            </w:r>
            <w:r w:rsidRPr="00DD3EA6">
              <w:rPr>
                <w:b/>
                <w:bCs/>
                <w:u w:val="single"/>
              </w:rPr>
              <w:t xml:space="preserve">in NRW </w:t>
            </w:r>
            <w:r w:rsidR="00DD3EA6" w:rsidRPr="00DD3EA6">
              <w:rPr>
                <w:b/>
                <w:bCs/>
                <w:u w:val="single"/>
              </w:rPr>
              <w:t>wurde diese Art von Zubau</w:t>
            </w:r>
            <w:r w:rsidRPr="00DD3EA6">
              <w:rPr>
                <w:b/>
                <w:bCs/>
                <w:u w:val="single"/>
              </w:rPr>
              <w:t xml:space="preserve"> auf 150 MW Leistung </w:t>
            </w:r>
            <w:r w:rsidR="00DD3EA6" w:rsidRPr="00DD3EA6">
              <w:rPr>
                <w:b/>
                <w:bCs/>
                <w:u w:val="single"/>
              </w:rPr>
              <w:t>gedeckelt</w:t>
            </w:r>
            <w:r w:rsidR="00DD3EA6">
              <w:rPr>
                <w:u w:val="single"/>
              </w:rPr>
              <w:t xml:space="preserve"> </w:t>
            </w:r>
            <w:r w:rsidRPr="00E01D77">
              <w:rPr>
                <w:u w:val="single"/>
              </w:rPr>
              <w:t xml:space="preserve">(das sind nur 3 * der Solarpark Flughafen Barth, mit 68,7 </w:t>
            </w:r>
            <w:proofErr w:type="spellStart"/>
            <w:r w:rsidRPr="00E01D77">
              <w:rPr>
                <w:u w:val="single"/>
              </w:rPr>
              <w:t>MWp</w:t>
            </w:r>
            <w:proofErr w:type="spellEnd"/>
            <w:r w:rsidRPr="00E01D77">
              <w:rPr>
                <w:rStyle w:val="Funotenzeichen"/>
                <w:u w:val="single"/>
              </w:rPr>
              <w:footnoteReference w:id="518"/>
            </w:r>
            <w:r w:rsidRPr="00E01D77">
              <w:rPr>
                <w:u w:val="single"/>
              </w:rPr>
              <w:t>), eine</w:t>
            </w:r>
            <w:r w:rsidR="00DD3EA6">
              <w:rPr>
                <w:u w:val="single"/>
              </w:rPr>
              <w:t xml:space="preserve"> sehr niedrige</w:t>
            </w:r>
            <w:r w:rsidRPr="00E01D77">
              <w:rPr>
                <w:u w:val="single"/>
              </w:rPr>
              <w:t xml:space="preserve"> Zahl</w:t>
            </w:r>
            <w:r w:rsidR="00DD3EA6">
              <w:rPr>
                <w:u w:val="single"/>
              </w:rPr>
              <w:t>, da kann man es auch gleich aufgeben</w:t>
            </w:r>
            <w:r>
              <w:rPr>
                <w:u w:val="single"/>
              </w:rPr>
              <w:t>.</w:t>
            </w:r>
            <w:r>
              <w:t xml:space="preserve"> Diese Zahl nennt auch LEE NRW als zu niedrig.</w:t>
            </w:r>
            <w:r>
              <w:rPr>
                <w:rStyle w:val="Funotenzeichen"/>
              </w:rPr>
              <w:t xml:space="preserve"> </w:t>
            </w:r>
            <w:r>
              <w:rPr>
                <w:rStyle w:val="Funotenzeichen"/>
              </w:rPr>
              <w:footnoteReference w:id="519"/>
            </w:r>
            <w:r w:rsidR="00721464">
              <w:t xml:space="preserve"> </w:t>
            </w:r>
            <w:r w:rsidR="00721464">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tc>
      </w:tr>
      <w:bookmarkEnd w:id="29"/>
    </w:tbl>
    <w:p w14:paraId="43188856" w14:textId="77777777" w:rsidR="00E01D77" w:rsidRDefault="00E01D77" w:rsidP="00112190"/>
    <w:p w14:paraId="3D0BE93D" w14:textId="58985CDC" w:rsidR="00F8402B" w:rsidRDefault="00D706CE" w:rsidP="00103DBB">
      <w:r w:rsidRPr="00E12FB3">
        <w:rPr>
          <w:u w:val="single"/>
        </w:rPr>
        <w:t>E-Autos</w:t>
      </w:r>
      <w:r>
        <w:t xml:space="preserve">. </w:t>
      </w:r>
      <w:r w:rsidR="00112190">
        <w:t>Das Ziel bis 2030 15 Millionen E-Autos auf Deutschlands Straßen fahren zu lassen, f</w:t>
      </w:r>
      <w:r w:rsidR="00CC561C">
        <w:t>a</w:t>
      </w:r>
      <w:r w:rsidR="00112190">
        <w:t>nd sich im Koalitionsvertrag der Ampel</w:t>
      </w:r>
      <w:r w:rsidR="00CC561C">
        <w:t>-Koalition</w:t>
      </w:r>
      <w:r w:rsidR="00112190">
        <w:t>: „Rahmenbedingungen und Fördermaßnahmen werden wir darauf ausrichten, dass Deutschland Leitmarkt für Elektromobilität mit mindestens 15 Mill. Pkw im Jahr 2030 ist“</w:t>
      </w:r>
      <w:r w:rsidR="00112190">
        <w:rPr>
          <w:rStyle w:val="Funotenzeichen"/>
        </w:rPr>
        <w:footnoteReference w:id="520"/>
      </w:r>
      <w:r w:rsidR="00112190">
        <w:t>, die EU-</w:t>
      </w:r>
      <w:r w:rsidR="00670C38">
        <w:t>Verordnung</w:t>
      </w:r>
      <w:r w:rsidR="00112190">
        <w:t xml:space="preserve"> s</w:t>
      </w:r>
      <w:r w:rsidR="00670C38">
        <w:t>ieht</w:t>
      </w:r>
      <w:r w:rsidR="00112190">
        <w:t xml:space="preserve"> ab 2035 vor, dass Autos zu 100 % emissionsfrei sein müssen</w:t>
      </w:r>
      <w:r w:rsidR="00A95B6A">
        <w:t>, es werden zudem</w:t>
      </w:r>
      <w:r w:rsidR="00112190">
        <w:t xml:space="preserve"> E-Fue</w:t>
      </w:r>
      <w:r w:rsidR="00704E74">
        <w:t>ls</w:t>
      </w:r>
      <w:r w:rsidR="00112190">
        <w:t xml:space="preserve"> noch erlaubt.</w:t>
      </w:r>
      <w:r w:rsidR="00112190">
        <w:rPr>
          <w:rStyle w:val="Funotenzeichen"/>
        </w:rPr>
        <w:footnoteReference w:id="521"/>
      </w:r>
      <w:r w:rsidR="00112190">
        <w:t xml:space="preserve"> </w:t>
      </w:r>
    </w:p>
    <w:p w14:paraId="4317CB76" w14:textId="77777777" w:rsidR="00F8402B" w:rsidRDefault="00F8402B" w:rsidP="00112190"/>
    <w:p w14:paraId="4E994032" w14:textId="4B49E955" w:rsidR="00670C38" w:rsidRDefault="00A95B6A" w:rsidP="00112190">
      <w:r>
        <w:t xml:space="preserve">Dies </w:t>
      </w:r>
      <w:r w:rsidR="00F8402B">
        <w:t xml:space="preserve">mit den E-Fuels </w:t>
      </w:r>
      <w:r>
        <w:t>hatte Deutschland bzw. die FDP und einzelne CDU</w:t>
      </w:r>
      <w:r w:rsidR="00721464">
        <w:t>-</w:t>
      </w:r>
      <w:r>
        <w:t xml:space="preserve">Abgeordnete durchgesetzt, zuvor hatten alle im Europäischen Parlament eigentlich einem </w:t>
      </w:r>
      <w:proofErr w:type="spellStart"/>
      <w:r>
        <w:t>Verbrennerverbot</w:t>
      </w:r>
      <w:proofErr w:type="spellEnd"/>
      <w:r>
        <w:t xml:space="preserve"> zugestimmt, aber Polen hatte eine Klage angedroht.</w:t>
      </w:r>
      <w:r>
        <w:rPr>
          <w:rStyle w:val="Funotenzeichen"/>
        </w:rPr>
        <w:footnoteReference w:id="522"/>
      </w:r>
      <w:r>
        <w:t xml:space="preserve"> </w:t>
      </w:r>
      <w:r w:rsidR="00103DBB">
        <w:t>Daraufhin wurde in Verordnung</w:t>
      </w:r>
      <w:r w:rsidR="00670C38">
        <w:t xml:space="preserve"> der Erwägungsgrund</w:t>
      </w:r>
      <w:r w:rsidR="00103DBB">
        <w:t xml:space="preserve"> (11) eingefügt: „Nach Konsultation der Interessenträger wird die Kommission – in Übereinstimmung mit dem Unionsrecht, außerhalb des Geltungsbereichs der Flottenzielwerte und in Übereinstimmung mit dem Ziel der Klimaneutralität der Union – einen Vorschlag für die Zulassung nach 2035 von Fahrzeugen, die ausschließlich mit CO2-neutralen Kraftstoffen betrieben werden, vorlegen.“</w:t>
      </w:r>
      <w:r w:rsidR="00670C38">
        <w:t xml:space="preserve"> (siehe die </w:t>
      </w:r>
      <w:proofErr w:type="gramStart"/>
      <w:r w:rsidR="00670C38">
        <w:t>EU Verordnung</w:t>
      </w:r>
      <w:proofErr w:type="gramEnd"/>
      <w:r w:rsidR="00670C38">
        <w:t>).</w:t>
      </w:r>
      <w:r w:rsidR="00103DBB">
        <w:rPr>
          <w:rStyle w:val="Funotenzeichen"/>
        </w:rPr>
        <w:footnoteReference w:id="523"/>
      </w:r>
      <w:r w:rsidR="00103DBB">
        <w:t xml:space="preserve"> </w:t>
      </w:r>
      <w:r w:rsidR="00670C38">
        <w:t xml:space="preserve">Italien und Polen haben sich kritisch zu dieser Verordnung geäußert, Italien hat </w:t>
      </w:r>
      <w:r w:rsidR="00670C38">
        <w:lastRenderedPageBreak/>
        <w:t>z.B. festgehalten, dass dieses Ziel nur erreichbar ist, wenn kostengünstige E-Autos verfügbar sind und es hat auf einen Follow-</w:t>
      </w:r>
      <w:proofErr w:type="spellStart"/>
      <w:r w:rsidR="00670C38">
        <w:t>up</w:t>
      </w:r>
      <w:proofErr w:type="spellEnd"/>
      <w:r w:rsidR="00670C38">
        <w:t xml:space="preserve"> zum Erwägungsgrund (11) gedrängt.</w:t>
      </w:r>
      <w:r w:rsidR="00670C38">
        <w:rPr>
          <w:rStyle w:val="Funotenzeichen"/>
        </w:rPr>
        <w:footnoteReference w:id="524"/>
      </w:r>
      <w:r w:rsidR="00670C38">
        <w:t xml:space="preserve"> </w:t>
      </w:r>
    </w:p>
    <w:p w14:paraId="5793D9C4" w14:textId="77777777" w:rsidR="00103DBB" w:rsidRDefault="00103DBB" w:rsidP="00112190"/>
    <w:p w14:paraId="53134344" w14:textId="61083FA7" w:rsidR="00947E1A" w:rsidRDefault="008B0944" w:rsidP="00112190">
      <w:r>
        <w:rPr>
          <w:u w:val="single"/>
        </w:rPr>
        <w:t>Ob das</w:t>
      </w:r>
      <w:r w:rsidR="00F8402B" w:rsidRPr="0010353F">
        <w:rPr>
          <w:u w:val="single"/>
        </w:rPr>
        <w:t xml:space="preserve"> </w:t>
      </w:r>
      <w:proofErr w:type="spellStart"/>
      <w:r w:rsidR="00F8402B" w:rsidRPr="0010353F">
        <w:rPr>
          <w:u w:val="single"/>
        </w:rPr>
        <w:t>Verbrennerverbo</w:t>
      </w:r>
      <w:r>
        <w:rPr>
          <w:u w:val="single"/>
        </w:rPr>
        <w:t>t</w:t>
      </w:r>
      <w:proofErr w:type="spellEnd"/>
      <w:r>
        <w:rPr>
          <w:u w:val="single"/>
        </w:rPr>
        <w:t xml:space="preserve"> auch für E-Fuels gilt ist</w:t>
      </w:r>
      <w:r w:rsidR="00F8402B" w:rsidRPr="0010353F">
        <w:rPr>
          <w:u w:val="single"/>
        </w:rPr>
        <w:t xml:space="preserve"> </w:t>
      </w:r>
      <w:r w:rsidR="00B60E47">
        <w:rPr>
          <w:u w:val="single"/>
        </w:rPr>
        <w:t xml:space="preserve">mir </w:t>
      </w:r>
      <w:r w:rsidR="00F8402B" w:rsidRPr="0010353F">
        <w:rPr>
          <w:u w:val="single"/>
        </w:rPr>
        <w:t>unklar</w:t>
      </w:r>
      <w:r w:rsidR="00F8402B">
        <w:t>,</w:t>
      </w:r>
      <w:r w:rsidR="00023EAD">
        <w:t xml:space="preserve"> in der FAZ </w:t>
      </w:r>
      <w:r w:rsidR="00C23BEB">
        <w:t xml:space="preserve">und vom ADAC </w:t>
      </w:r>
      <w:r w:rsidR="00023EAD">
        <w:t>wird die</w:t>
      </w:r>
      <w:r w:rsidR="00F8402B">
        <w:t xml:space="preserve"> bestehende Rechtslage</w:t>
      </w:r>
      <w:r w:rsidR="00023EAD">
        <w:t xml:space="preserve"> etwa so interpretiert, </w:t>
      </w:r>
      <w:r w:rsidR="00023EAD" w:rsidRPr="00A25A33">
        <w:rPr>
          <w:u w:val="single"/>
        </w:rPr>
        <w:t xml:space="preserve">dass E-Fuels nur für Bestandsfahrzeuge erlaubt sind, ein neues </w:t>
      </w:r>
      <w:proofErr w:type="spellStart"/>
      <w:r w:rsidR="00023EAD" w:rsidRPr="00A25A33">
        <w:rPr>
          <w:u w:val="single"/>
        </w:rPr>
        <w:t>Verbrennerauto</w:t>
      </w:r>
      <w:proofErr w:type="spellEnd"/>
      <w:r w:rsidR="00023EAD" w:rsidRPr="00A25A33">
        <w:rPr>
          <w:u w:val="single"/>
        </w:rPr>
        <w:t xml:space="preserve">, </w:t>
      </w:r>
      <w:r w:rsidR="004C2A40" w:rsidRPr="00A25A33">
        <w:rPr>
          <w:u w:val="single"/>
        </w:rPr>
        <w:t>selbst dann</w:t>
      </w:r>
      <w:r w:rsidR="002733AB">
        <w:rPr>
          <w:u w:val="single"/>
        </w:rPr>
        <w:t>,</w:t>
      </w:r>
      <w:r w:rsidR="004C2A40" w:rsidRPr="00A25A33">
        <w:rPr>
          <w:u w:val="single"/>
        </w:rPr>
        <w:t xml:space="preserve"> wenn es</w:t>
      </w:r>
      <w:r w:rsidR="00023EAD" w:rsidRPr="00A25A33">
        <w:rPr>
          <w:u w:val="single"/>
        </w:rPr>
        <w:t xml:space="preserve"> mit E-Fuels fährt,</w:t>
      </w:r>
      <w:r w:rsidR="00EF7BDF" w:rsidRPr="00A25A33">
        <w:rPr>
          <w:u w:val="single"/>
        </w:rPr>
        <w:t xml:space="preserve"> würde n</w:t>
      </w:r>
      <w:r w:rsidR="00023EAD" w:rsidRPr="00A25A33">
        <w:rPr>
          <w:u w:val="single"/>
        </w:rPr>
        <w:t>ach 2035 nicht zulassen</w:t>
      </w:r>
      <w:r w:rsidR="00EF7BDF" w:rsidRPr="00A25A33">
        <w:rPr>
          <w:u w:val="single"/>
        </w:rPr>
        <w:t xml:space="preserve"> werden</w:t>
      </w:r>
      <w:r w:rsidR="00023EAD">
        <w:t>.</w:t>
      </w:r>
      <w:r w:rsidR="00023EAD">
        <w:rPr>
          <w:rStyle w:val="Funotenzeichen"/>
        </w:rPr>
        <w:footnoteReference w:id="525"/>
      </w:r>
    </w:p>
    <w:p w14:paraId="48B0AD58" w14:textId="77777777" w:rsidR="00023EAD" w:rsidRDefault="00023EAD" w:rsidP="00023EAD"/>
    <w:tbl>
      <w:tblPr>
        <w:tblStyle w:val="Tabellenraster"/>
        <w:tblW w:w="0" w:type="auto"/>
        <w:tblLook w:val="04A0" w:firstRow="1" w:lastRow="0" w:firstColumn="1" w:lastColumn="0" w:noHBand="0" w:noVBand="1"/>
      </w:tblPr>
      <w:tblGrid>
        <w:gridCol w:w="9062"/>
      </w:tblGrid>
      <w:tr w:rsidR="00023EAD" w14:paraId="677BE474" w14:textId="77777777" w:rsidTr="00822CED">
        <w:tc>
          <w:tcPr>
            <w:tcW w:w="9062" w:type="dxa"/>
          </w:tcPr>
          <w:p w14:paraId="470B42AF" w14:textId="2BE728C7" w:rsidR="00A35204" w:rsidRDefault="00023EAD" w:rsidP="00822CED">
            <w:proofErr w:type="spellStart"/>
            <w:r>
              <w:t>Verbrennerverbot</w:t>
            </w:r>
            <w:proofErr w:type="spellEnd"/>
            <w:r>
              <w:t xml:space="preserve"> / Europawahl</w:t>
            </w:r>
            <w:r w:rsidR="000B7922">
              <w:t xml:space="preserve"> / Flottenobergrenzen</w:t>
            </w:r>
            <w:r>
              <w:t xml:space="preserve">. Im Zuge der Europawahl hat EU-Kommissions-Präsidentin Ursula von der Leyen versprochen das </w:t>
            </w:r>
            <w:proofErr w:type="spellStart"/>
            <w:r>
              <w:t>Verbrennerverbot</w:t>
            </w:r>
            <w:proofErr w:type="spellEnd"/>
            <w:r>
              <w:t xml:space="preserve"> </w:t>
            </w:r>
            <w:r w:rsidR="00F8402B">
              <w:t xml:space="preserve">zu </w:t>
            </w:r>
            <w:r>
              <w:t xml:space="preserve">prüfen. Sie weist darauf hin, dass 2026 </w:t>
            </w:r>
            <w:r w:rsidR="00103DBB">
              <w:t xml:space="preserve">sowieso </w:t>
            </w:r>
            <w:r>
              <w:t xml:space="preserve">eine Bestandsaufnahme und Überprüfung des Gesetzes </w:t>
            </w:r>
            <w:r w:rsidR="00103DBB">
              <w:t>ansteht</w:t>
            </w:r>
            <w:r>
              <w:t>.</w:t>
            </w:r>
            <w:r>
              <w:rPr>
                <w:rStyle w:val="Funotenzeichen"/>
              </w:rPr>
              <w:footnoteReference w:id="526"/>
            </w:r>
            <w:r>
              <w:t xml:space="preserve"> Ebenso gibt es Anla</w:t>
            </w:r>
            <w:r w:rsidR="00DF7FA5">
              <w:t>ss</w:t>
            </w:r>
            <w:r>
              <w:t xml:space="preserve"> darüber zu sprechen, wenn es in der EU um das Thema Flottenobergrenzen </w:t>
            </w:r>
            <w:r w:rsidR="007907C6">
              <w:t xml:space="preserve">bzw. Flottengrenzwerte </w:t>
            </w:r>
            <w:r>
              <w:t>geht.</w:t>
            </w:r>
            <w:r>
              <w:rPr>
                <w:rStyle w:val="Funotenzeichen"/>
              </w:rPr>
              <w:t xml:space="preserve"> </w:t>
            </w:r>
            <w:r>
              <w:rPr>
                <w:rStyle w:val="Funotenzeichen"/>
              </w:rPr>
              <w:footnoteReference w:id="527"/>
            </w:r>
            <w:r>
              <w:t xml:space="preserve"> </w:t>
            </w:r>
            <w:r w:rsidR="00AC724C">
              <w:t>Aktuell</w:t>
            </w:r>
            <w:r>
              <w:t xml:space="preserve"> setzt sich in Deutschland die CDU und die FDP für eine Aufhebung des </w:t>
            </w:r>
            <w:proofErr w:type="spellStart"/>
            <w:r>
              <w:t>Verbrennerverbots</w:t>
            </w:r>
            <w:proofErr w:type="spellEnd"/>
            <w:r>
              <w:t xml:space="preserve"> ein d.h. aber nur in dem Rahmen, dass Verbrennungsmotoren, die mit E-Fuels laufen, nach 2035 noch zugelassen werden. Mercedes und VW können sich dies ebenso vorstellen. Ebenso soll ein Markthochlauf von E-Fuels geplant werden. Auch Italien setzt sich dafür ein. Frankreich setzt mit Renault und Stellantis auf E-Autos, so ein ausführlicher FAZ Artikel vom 12.06.2024.</w:t>
            </w:r>
            <w:r>
              <w:rPr>
                <w:rStyle w:val="Funotenzeichen"/>
              </w:rPr>
              <w:footnoteReference w:id="528"/>
            </w:r>
            <w:r>
              <w:t xml:space="preserve"> </w:t>
            </w:r>
            <w:r w:rsidR="00C23BEB">
              <w:t xml:space="preserve">Der ADAC schreibt am 04.06.2024, dass bis Herbst 2024 eine neue Fahrzeugkategorie </w:t>
            </w:r>
            <w:r w:rsidR="008B0944">
              <w:t>‚</w:t>
            </w:r>
            <w:r w:rsidR="00C23BEB">
              <w:t>e-</w:t>
            </w:r>
            <w:proofErr w:type="spellStart"/>
            <w:r w:rsidR="00C23BEB">
              <w:t>fuels</w:t>
            </w:r>
            <w:proofErr w:type="spellEnd"/>
            <w:r w:rsidR="00C23BEB">
              <w:t xml:space="preserve"> </w:t>
            </w:r>
            <w:proofErr w:type="spellStart"/>
            <w:r w:rsidR="00C23BEB">
              <w:t>only</w:t>
            </w:r>
            <w:proofErr w:type="spellEnd"/>
            <w:r w:rsidR="008B0944">
              <w:t>‘</w:t>
            </w:r>
            <w:r w:rsidR="00C23BEB">
              <w:t xml:space="preserve"> geschaffen werden soll, die über 2035 hinaus mit Verbrennungsmotor zugelassen werden darf, die ggf. mit einem Sensor ausgestattet wird, wobei das Auto bei Benzin im Tank nicht mehr anspringt, aber bei E-Fuels funktioniert.</w:t>
            </w:r>
            <w:r w:rsidR="00C23BEB">
              <w:rPr>
                <w:rStyle w:val="Funotenzeichen"/>
              </w:rPr>
              <w:footnoteReference w:id="529"/>
            </w:r>
            <w:r w:rsidR="00C23BEB">
              <w:t xml:space="preserve"> </w:t>
            </w:r>
            <w:r w:rsidR="007907C6">
              <w:t>Volker Wissing setzt</w:t>
            </w:r>
            <w:r w:rsidR="008B0944">
              <w:t>e</w:t>
            </w:r>
            <w:r w:rsidR="007907C6">
              <w:t xml:space="preserve"> sich auch für weniger strenge CO2 Flottengrenzwerte bei Nutzfahrzeugen ein, auch hier sieht die EU, wie bei Autos 2026, eine Absenkung von CO2-Emissionen für die Flotte insgesamt vor, dies würde die Hersteller zwingen E-Modelle oder Brennstoffmodelle anzubieten, obwohl es gar keine ausreichende Ladeinfrastruktur oder Wasserstofftankstellen gibt.</w:t>
            </w:r>
            <w:r w:rsidR="007907C6">
              <w:rPr>
                <w:rStyle w:val="Funotenzeichen"/>
              </w:rPr>
              <w:footnoteReference w:id="530"/>
            </w:r>
            <w:r w:rsidR="00AF4035">
              <w:t xml:space="preserve"> Die FDP schlägt Steuerfreiheit für E-Fuels-Autos vor, damit E-Autos mit Steuerfreiheit keinen Vorteil hätten und es technologieneutral bleibt.</w:t>
            </w:r>
            <w:r w:rsidR="00AF4035">
              <w:rPr>
                <w:rStyle w:val="Funotenzeichen"/>
              </w:rPr>
              <w:footnoteReference w:id="531"/>
            </w:r>
            <w:r w:rsidR="00AC724C">
              <w:t xml:space="preserve"> Bisher gibt sich die EU Kommission aber störrisch, sie will an den Flottengrenzwerten festhalten</w:t>
            </w:r>
            <w:r w:rsidR="004850E7">
              <w:t>, Frankreich und andere europäische Länder wollen Flexibilitäten ermöglichen. Stellantis und BMW wollen die Beibehaltung, weil sie sich zutrauen die Regeln zu erfüllen.</w:t>
            </w:r>
            <w:r w:rsidR="004850E7">
              <w:rPr>
                <w:rStyle w:val="Funotenzeichen"/>
              </w:rPr>
              <w:footnoteReference w:id="532"/>
            </w:r>
            <w:r w:rsidR="00EE473C">
              <w:t xml:space="preserve"> </w:t>
            </w:r>
          </w:p>
          <w:p w14:paraId="1A63D0AD" w14:textId="77777777" w:rsidR="00A35204" w:rsidRDefault="00A35204" w:rsidP="00822CED"/>
          <w:p w14:paraId="6638BA8E" w14:textId="7C8E93E3" w:rsidR="00023EAD" w:rsidRDefault="00EE473C" w:rsidP="00822CED">
            <w:r>
              <w:t xml:space="preserve">Angesichts der VW Krise wird </w:t>
            </w:r>
            <w:r w:rsidR="00A35204">
              <w:t xml:space="preserve">von Franziska Giffey, Martin Dulig, Olaf </w:t>
            </w:r>
            <w:proofErr w:type="spellStart"/>
            <w:r w:rsidR="00A35204">
              <w:t>Lies</w:t>
            </w:r>
            <w:proofErr w:type="spellEnd"/>
            <w:r w:rsidR="00A35204">
              <w:t xml:space="preserve">, </w:t>
            </w:r>
            <w:proofErr w:type="spellStart"/>
            <w:r w:rsidR="00A35204">
              <w:t>Kawed</w:t>
            </w:r>
            <w:proofErr w:type="spellEnd"/>
            <w:r w:rsidR="00A35204">
              <w:t xml:space="preserve"> Mansoori (SPD) gefordert: E-Mobilität fördern, mit mehr Ladestationen, Wiedereinführung einer Kaufprämie, Forschungsförderung u.a. für Akkus; niedrigere Strompreise, durch Wegnehmen der Netzentgelte aus dem Strompreis (freie Finanzierung durch den Staat des Netzausbaus); Veränderung der EU-Flottenziele z.B. keine Strafen für Überschreiten der Grenzwerte, da dies z.B. etablierte Firmen </w:t>
            </w:r>
            <w:r w:rsidR="00A35204">
              <w:lastRenderedPageBreak/>
              <w:t>gegenüber Firmen, die nur Elektroautos herstellen, benachteiligt; bei den Flottengrenzwerten keine starren Stufen, sondern eine Kurve. Der Durchschnittswert für die kommenden fünf Jahre solle bei 98 g/km liegen, der erst einmal in kleinen Schritten und dann später in größeren Schritten gesenkt wird. Der Klimawandel sollte weiter bekämpft werden.</w:t>
            </w:r>
            <w:r w:rsidR="00A35204">
              <w:rPr>
                <w:rStyle w:val="Funotenzeichen"/>
              </w:rPr>
              <w:footnoteReference w:id="533"/>
            </w:r>
            <w:r w:rsidR="00A35204">
              <w:t xml:space="preserve">  </w:t>
            </w:r>
          </w:p>
          <w:p w14:paraId="76ABD010" w14:textId="77777777" w:rsidR="00F8402B" w:rsidRDefault="00F8402B" w:rsidP="00822CED"/>
          <w:p w14:paraId="1378A5FE" w14:textId="77777777" w:rsidR="00F8402B" w:rsidRDefault="00F8402B" w:rsidP="00822CED">
            <w:r>
              <w:t xml:space="preserve">Im Zug der Debatte vor der Wahl zum Europaparlament am 09.06.2024 gab es Vorschläge, z.B. von Seiten der FDP, dass E-Fuels mehr Beachtung verdienen. E-Fuels waren lange verpönt, da ihre Erzeugung energieintensiv ist und Elektroautos als die energieeffizientere Alternative erscheinen. Allerdings sind E-Fuels schon für Flugzeuge für die nähere Zukunft wichtig, und, so Verkehrsminister </w:t>
            </w:r>
            <w:r w:rsidR="007907C6">
              <w:t>Volker</w:t>
            </w:r>
            <w:r>
              <w:t xml:space="preserve"> Wissing, könnten sie auch im Verkehr eingesetzt werden und so weiter Verbrennungsmotoren ermöglichen. In einem internationalen E-Fuels Dialog hat er sich am 04.06.2024 mit Japan und Litauen getroffen. Vertreter Japans argumentieren, dass E-Fuels gut transport- und lagerfähig sind und auch im globalen Süden Potentiale erneuerbarer Energien erschließen können. In einer ‚Berliner Erklärung‘ wurde festgestellt, dass es sinnvoll wäre, Anreize für die Entwicklung der E-Fuels zu setzen und Unternehmen zu Investitionen anzuregen sowie Regulierungen in diesem Bereich anzugleichen, auch für die Förderung, sodass internationale Projekte entstehen können.</w:t>
            </w:r>
            <w:r>
              <w:rPr>
                <w:rStyle w:val="Funotenzeichen"/>
              </w:rPr>
              <w:footnoteReference w:id="534"/>
            </w:r>
            <w:r>
              <w:t xml:space="preserve"> Auch der Volkswagen Chef Oliver Blume kann sich vorstellen, dass mit E-Fuels betriebene Autos, neben Elektroautos, weiter existieren.</w:t>
            </w:r>
            <w:r>
              <w:rPr>
                <w:rStyle w:val="Funotenzeichen"/>
              </w:rPr>
              <w:footnoteReference w:id="535"/>
            </w:r>
            <w:r>
              <w:t xml:space="preserve"> Siehe auch das Interview mit Arnd Franz vom Autozulieferer Mahle.</w:t>
            </w:r>
            <w:r>
              <w:rPr>
                <w:rStyle w:val="Funotenzeichen"/>
              </w:rPr>
              <w:footnoteReference w:id="536"/>
            </w:r>
            <w:r w:rsidR="007907C6">
              <w:t xml:space="preserve"> </w:t>
            </w:r>
          </w:p>
          <w:p w14:paraId="7D9B09F6" w14:textId="77777777" w:rsidR="00B67F43" w:rsidRDefault="00B67F43" w:rsidP="00822CED"/>
          <w:p w14:paraId="51D847B2" w14:textId="35B46F2F" w:rsidR="00D434D4" w:rsidRDefault="00B67F43" w:rsidP="00822CED">
            <w:r>
              <w:t xml:space="preserve">Nun hat die Europäische Kommission vorgeschlagen, siehe dieser </w:t>
            </w:r>
            <w:proofErr w:type="gramStart"/>
            <w:r>
              <w:t>FAZ Artikel</w:t>
            </w:r>
            <w:proofErr w:type="gramEnd"/>
            <w:r w:rsidR="00A25A33">
              <w:t xml:space="preserve"> vom 02.04.2025</w:t>
            </w:r>
            <w:r>
              <w:rPr>
                <w:rStyle w:val="Funotenzeichen"/>
              </w:rPr>
              <w:footnoteReference w:id="537"/>
            </w:r>
            <w:r>
              <w:t>, eine</w:t>
            </w:r>
            <w:r w:rsidR="00DF7FA5">
              <w:t>n</w:t>
            </w:r>
            <w:r>
              <w:t xml:space="preserve"> 3 Jahre Zeithorizont bei eine</w:t>
            </w:r>
            <w:r w:rsidR="002839D9">
              <w:t>m</w:t>
            </w:r>
            <w:r>
              <w:t xml:space="preserve"> Verstoß gegen die Flottenobergrenzen zu eröffnen. Im ersten Jahr könne man gegen die Flottenobergrenzen verstoßen, wenn man dafür in den beiden Jahren danach die Grenzwerte übererfülle bzw. es wird ein 3-Jahres-Durchschnittwert errechnet, wer dann noch über den Grenzwerken liegt, muss Strafe zahlen. Hintergrund der Flottengrenzwerte ist, dass vom 1. Januar 2025 an 93,6 Gramm pro Kilometer CO2-Ausstoß als Durchschnittwert für alle Fahrzeuge in der EU gilt (zuvor noch 115 Gramm, wurde nach </w:t>
            </w:r>
            <w:proofErr w:type="gramStart"/>
            <w:r>
              <w:t>WLTP Me</w:t>
            </w:r>
            <w:r w:rsidR="00DF7FA5">
              <w:t>ss</w:t>
            </w:r>
            <w:r>
              <w:t>verfahren</w:t>
            </w:r>
            <w:proofErr w:type="gramEnd"/>
            <w:r>
              <w:t xml:space="preserve"> abgesenkt). Die Hersteller haben individuelle Flottenobergrenzen. Eigentlich würde diese</w:t>
            </w:r>
            <w:r w:rsidR="002839D9">
              <w:t>s</w:t>
            </w:r>
            <w:r>
              <w:t xml:space="preserve"> Jahr eine Strafe von 95 Euro für jedes Gramm zu viel emittierten CO2 erhoben werden.</w:t>
            </w:r>
            <w:r w:rsidR="00D434D4">
              <w:rPr>
                <w:rStyle w:val="Funotenzeichen"/>
              </w:rPr>
              <w:t xml:space="preserve"> </w:t>
            </w:r>
            <w:r w:rsidR="00D434D4">
              <w:rPr>
                <w:rStyle w:val="Funotenzeichen"/>
              </w:rPr>
              <w:footnoteReference w:id="538"/>
            </w:r>
          </w:p>
          <w:p w14:paraId="3E0DB9DF" w14:textId="77777777" w:rsidR="00D434D4" w:rsidRDefault="00D434D4" w:rsidP="00822CED"/>
          <w:p w14:paraId="24491BBF" w14:textId="6550EED6" w:rsidR="002839D9" w:rsidRDefault="002839D9" w:rsidP="00822CED">
            <w:r>
              <w:t xml:space="preserve">Am 17.12.2025 wurde gemeldet, dass nun bis 2035 nicht mehr 100 % CO2 im Vergleich zu 2021 reduziert werden muss, sondern 90 %. Dies eröffnet die Möglichkeit sog. Plug-in Hybride Autos mit </w:t>
            </w:r>
            <w:proofErr w:type="spellStart"/>
            <w:r>
              <w:t>Verbrennermotor</w:t>
            </w:r>
            <w:proofErr w:type="spellEnd"/>
            <w:r>
              <w:t xml:space="preserve"> und E-Autos mit Range Extender weiter zuzulassen.</w:t>
            </w:r>
            <w:r>
              <w:rPr>
                <w:rStyle w:val="Funotenzeichen"/>
              </w:rPr>
              <w:footnoteReference w:id="539"/>
            </w:r>
          </w:p>
          <w:p w14:paraId="3BF6104E" w14:textId="77777777" w:rsidR="002839D9" w:rsidRDefault="002839D9" w:rsidP="00822CED"/>
          <w:p w14:paraId="3CF6EA00" w14:textId="054F13EF" w:rsidR="00B67F43" w:rsidRDefault="00D434D4" w:rsidP="00822CED">
            <w:r>
              <w:t>Jedenfalls läuft es in der EU besser als in England, dort haben strafbewerte Elektroquoten für Irritation gesorgt, die Hersteller müssen 2024 22 % und 2025 28 % Elektroautos verkaufen, sonst drohen 18.000 Pfund Strafe pro nicht verkauftes E-Auto.</w:t>
            </w:r>
            <w:r w:rsidR="00CD7F86">
              <w:rPr>
                <w:rStyle w:val="Funotenzeichen"/>
              </w:rPr>
              <w:footnoteReference w:id="540"/>
            </w:r>
            <w:r>
              <w:t xml:space="preserve"> </w:t>
            </w:r>
            <w:r w:rsidR="00CD7F86">
              <w:t xml:space="preserve">Stellantis hat daraufhin seine </w:t>
            </w:r>
            <w:proofErr w:type="spellStart"/>
            <w:r w:rsidR="00CD7F86">
              <w:t>Transporterproduktion</w:t>
            </w:r>
            <w:proofErr w:type="spellEnd"/>
            <w:r w:rsidR="00CD7F86">
              <w:t xml:space="preserve"> in Luton eingestellt, will dafür sein E-Van-Werk in Liverpool ausbauen.</w:t>
            </w:r>
            <w:r w:rsidR="00CD7F86">
              <w:rPr>
                <w:rStyle w:val="Funotenzeichen"/>
              </w:rPr>
              <w:footnoteReference w:id="541"/>
            </w:r>
          </w:p>
        </w:tc>
      </w:tr>
    </w:tbl>
    <w:p w14:paraId="7B56B6D3" w14:textId="77777777" w:rsidR="00023EAD" w:rsidRDefault="00023EAD" w:rsidP="00112190"/>
    <w:p w14:paraId="06A693B4" w14:textId="1188DAF7" w:rsidR="006242DC" w:rsidRDefault="006242DC" w:rsidP="006242DC">
      <w:bookmarkStart w:id="32" w:name="_Hlk180618757"/>
      <w:bookmarkStart w:id="33" w:name="_Hlk182943823"/>
      <w:bookmarkStart w:id="34" w:name="_Hlk177335400"/>
      <w:r>
        <w:t>Was sind überhaupt E-Fuels? E-Kerosin kann man aus biogenen Rohstoffen, wie Frittenfett, Ölabfällen und sonstigen Abfällen herstellen oder ein einem Synthesegas Fischer Tropsch Prozess und es gibt auch einen Alkohol</w:t>
      </w:r>
      <w:r w:rsidR="00DF7FA5">
        <w:t>-</w:t>
      </w:r>
      <w:proofErr w:type="spellStart"/>
      <w:r>
        <w:t>to</w:t>
      </w:r>
      <w:proofErr w:type="spellEnd"/>
      <w:r w:rsidR="00DF7FA5">
        <w:t>-</w:t>
      </w:r>
      <w:r>
        <w:t>Jet Fuel (AJT) Prozess. Andere E-Fuels lassen sich nicht als E-Kerosin verwenden, etwa E-Methanol</w:t>
      </w:r>
      <w:r w:rsidR="007E19F4">
        <w:t>.</w:t>
      </w:r>
      <w:r w:rsidR="004C2A40">
        <w:rPr>
          <w:rStyle w:val="Funotenzeichen"/>
        </w:rPr>
        <w:footnoteReference w:id="542"/>
      </w:r>
      <w:r>
        <w:t xml:space="preserve"> </w:t>
      </w:r>
    </w:p>
    <w:p w14:paraId="677C2E70" w14:textId="77777777" w:rsidR="007E19F4" w:rsidRDefault="007E19F4" w:rsidP="006242DC"/>
    <w:p w14:paraId="08C52A91" w14:textId="696B6A80" w:rsidR="00540E95" w:rsidRDefault="007E19F4" w:rsidP="006242DC">
      <w:r>
        <w:t xml:space="preserve">E-Methanol </w:t>
      </w:r>
      <w:r w:rsidR="00721464">
        <w:t xml:space="preserve">(aus grünem Wasserstoff und CO2 bzw. daraus hergestelltem Synthesegas erzeugbar) </w:t>
      </w:r>
      <w:r w:rsidR="00B60E47">
        <w:t>wird (direkt, ohne Umwandlung) als Kraftstoff verwendet</w:t>
      </w:r>
      <w:r>
        <w:t xml:space="preserve">. Dies wird etwa gerade </w:t>
      </w:r>
      <w:r w:rsidR="00721464">
        <w:t xml:space="preserve">z.B. </w:t>
      </w:r>
      <w:r>
        <w:t>in Freiberg in Sachsen erforscht, auf Betreiben von Verkehrsminister Volker Wissing. Das Projekt wird mit 15 Mill. Euro gefördert, vom Bundesministerium für Digitales und Verkehr (BMDV).</w:t>
      </w:r>
      <w:r>
        <w:rPr>
          <w:rStyle w:val="Funotenzeichen"/>
        </w:rPr>
        <w:footnoteReference w:id="543"/>
      </w:r>
      <w:r>
        <w:t xml:space="preserve"> </w:t>
      </w:r>
    </w:p>
    <w:p w14:paraId="5A5FA95C" w14:textId="77777777" w:rsidR="00540E95" w:rsidRDefault="00540E95" w:rsidP="006242DC"/>
    <w:p w14:paraId="205D8B8E" w14:textId="67386B2B" w:rsidR="007E19F4" w:rsidRDefault="007E19F4" w:rsidP="006242DC">
      <w:r>
        <w:t xml:space="preserve">Vom BMDV ist eine Webseite zum Thema E-Fuels etabliert worden, dort gibt es eine Übersicht über alle 21 geförderten Projekte und auch ein SAF-Monitor, </w:t>
      </w:r>
      <w:r w:rsidR="00540E95">
        <w:t xml:space="preserve">der weltweit alle Projekte aufzählt, die aus biogenen Rohstoffen (Frittenfett) Kerosin oder aus synthetischen Quellen Kerosin herstellen (USA 43 Projekte, Deutschland 28, UK 16, Niederlande 12, Frankreich 9, Kanada 8, Schweden 8, Japan 7, Spanien 7, Dänemark 6 … dabei sind auch Projekte, die erst in Planung sind). </w:t>
      </w:r>
      <w:r>
        <w:rPr>
          <w:rStyle w:val="Funotenzeichen"/>
        </w:rPr>
        <w:footnoteReference w:id="544"/>
      </w:r>
    </w:p>
    <w:p w14:paraId="6B7B12CF" w14:textId="77777777" w:rsidR="006242DC" w:rsidRDefault="006242DC" w:rsidP="006242DC"/>
    <w:p w14:paraId="3F7D26E6" w14:textId="442293F5" w:rsidR="006242DC" w:rsidRDefault="006242DC" w:rsidP="006242DC">
      <w:r>
        <w:t>Der Sy</w:t>
      </w:r>
      <w:r w:rsidR="00C62CF0">
        <w:t>nthesegas</w:t>
      </w:r>
      <w:r>
        <w:t xml:space="preserve"> Fischer</w:t>
      </w:r>
      <w:r w:rsidR="00A25A33">
        <w:t>-</w:t>
      </w:r>
      <w:r>
        <w:t>Tropsch</w:t>
      </w:r>
      <w:r w:rsidR="00A25A33">
        <w:t>-</w:t>
      </w:r>
      <w:r>
        <w:t>Prozess ist dagegen für alles einsetzbar</w:t>
      </w:r>
      <w:r w:rsidR="00E53E97">
        <w:t>, damit kann Benzin, Diesel und Kerosin hergestellt werden und auch Naphtha als Ausgangsstoff für den Ethylen-Cracker.</w:t>
      </w:r>
      <w:r>
        <w:t xml:space="preserve"> </w:t>
      </w:r>
      <w:r w:rsidR="008202E1">
        <w:t xml:space="preserve">Hierfür braucht man CO2 (aus CO2-Abscheideanlagen an Punktquellen bei Zement, Müllverbrennung, aus Biogasanlagen oder aus </w:t>
      </w:r>
      <w:proofErr w:type="spellStart"/>
      <w:r w:rsidR="008202E1">
        <w:t>Direct</w:t>
      </w:r>
      <w:proofErr w:type="spellEnd"/>
      <w:r w:rsidR="008202E1">
        <w:t xml:space="preserve"> Air Capture</w:t>
      </w:r>
      <w:r w:rsidR="00E53E97">
        <w:t>)</w:t>
      </w:r>
      <w:r w:rsidR="008202E1">
        <w:t xml:space="preserve">. </w:t>
      </w:r>
      <w:r w:rsidR="0015581F">
        <w:t xml:space="preserve">Dann lassen sich u.a. durch Destillation Produkte mit </w:t>
      </w:r>
      <w:r w:rsidR="00721464">
        <w:t>Kohlenstoffk</w:t>
      </w:r>
      <w:r w:rsidR="0015581F">
        <w:t xml:space="preserve">ettenlängen </w:t>
      </w:r>
      <w:r w:rsidR="00C62CF0">
        <w:t>für Kerosin, Diesel oder Benzin</w:t>
      </w:r>
      <w:r w:rsidR="0015581F">
        <w:t xml:space="preserve"> gewinnen</w:t>
      </w:r>
      <w:r w:rsidR="00C62CF0">
        <w:t>, je nach</w:t>
      </w:r>
      <w:r w:rsidR="00E53E97">
        <w:t xml:space="preserve"> den benutzten </w:t>
      </w:r>
      <w:r w:rsidR="00C62CF0">
        <w:t>Betriebsparametern und Katalysatoren.</w:t>
      </w:r>
      <w:r w:rsidR="00C62CF0">
        <w:rPr>
          <w:rStyle w:val="Funotenzeichen"/>
        </w:rPr>
        <w:footnoteReference w:id="545"/>
      </w:r>
      <w:r w:rsidR="00C62CF0">
        <w:t xml:space="preserve"> </w:t>
      </w:r>
      <w:r w:rsidR="006F636F">
        <w:t xml:space="preserve">Kerosin und Diesel können aus </w:t>
      </w:r>
      <w:r w:rsidR="00E53E97">
        <w:t xml:space="preserve">den </w:t>
      </w:r>
      <w:r w:rsidR="006F636F">
        <w:t>Al</w:t>
      </w:r>
      <w:r w:rsidR="00E53E97">
        <w:t>k</w:t>
      </w:r>
      <w:r w:rsidR="006F636F">
        <w:t xml:space="preserve">anen von Nonan bis </w:t>
      </w:r>
      <w:proofErr w:type="spellStart"/>
      <w:r w:rsidR="006F636F">
        <w:t>Hexadecan</w:t>
      </w:r>
      <w:proofErr w:type="spellEnd"/>
      <w:r w:rsidR="006F636F">
        <w:t xml:space="preserve"> gebildet werden, dies sind Flüssigkeiten mit höherer Viskosität, dies ist aber im Dieselmotor oder in der Turbine eines Flugzeugs kein Problem.</w:t>
      </w:r>
      <w:r w:rsidR="006F636F">
        <w:rPr>
          <w:rStyle w:val="Funotenzeichen"/>
        </w:rPr>
        <w:footnoteReference w:id="546"/>
      </w:r>
      <w:r w:rsidR="006F636F">
        <w:t xml:space="preserve"> </w:t>
      </w:r>
      <w:r w:rsidR="00DF7FA5">
        <w:t>Siehe auch die Fu</w:t>
      </w:r>
      <w:r w:rsidR="00A25A33">
        <w:t>ß</w:t>
      </w:r>
      <w:r w:rsidR="00DF7FA5">
        <w:t xml:space="preserve">note und </w:t>
      </w:r>
      <w:r w:rsidR="00C62CF0">
        <w:t>d</w:t>
      </w:r>
      <w:r w:rsidR="00DF7FA5">
        <w:t>ieses</w:t>
      </w:r>
      <w:r w:rsidR="00C62CF0">
        <w:t xml:space="preserve"> </w:t>
      </w:r>
      <w:proofErr w:type="spellStart"/>
      <w:r w:rsidR="00C62CF0">
        <w:t>Youtube</w:t>
      </w:r>
      <w:proofErr w:type="spellEnd"/>
      <w:r w:rsidR="00C62CF0">
        <w:t xml:space="preserve"> Video.</w:t>
      </w:r>
      <w:r w:rsidR="00C62CF0">
        <w:rPr>
          <w:rStyle w:val="Funotenzeichen"/>
        </w:rPr>
        <w:footnoteReference w:id="547"/>
      </w:r>
    </w:p>
    <w:p w14:paraId="3A3AB814" w14:textId="77777777" w:rsidR="009F0611" w:rsidRDefault="009F0611" w:rsidP="006242DC"/>
    <w:p w14:paraId="2C7B178C" w14:textId="18104930" w:rsidR="009F0611" w:rsidRDefault="009F0611" w:rsidP="006242DC">
      <w:r>
        <w:t>Atmosfair hat eine ganz kleine Fischer-Tropsch-Anlagen für Kerosin aufgebaut,</w:t>
      </w:r>
      <w:r w:rsidRPr="009F0611">
        <w:t xml:space="preserve"> </w:t>
      </w:r>
      <w:r>
        <w:t>in Werlte im Emsland.</w:t>
      </w:r>
      <w:r>
        <w:rPr>
          <w:rStyle w:val="Funotenzeichen"/>
        </w:rPr>
        <w:footnoteReference w:id="548"/>
      </w:r>
      <w:r>
        <w:t xml:space="preserve">  Hierbei wird CO2 direkt der Atmosphäre entzogen, aus einer Biogasanlage wird CO2 aus Pflanzen erzeugt, dies wird in der Fischer-Tropsch-Synthese bei 150 bis 300 Grad mit Wasserstoff kombiniert, wodurch langkettige Kohlenwasserstoffe entstehen, die in einer Raffinerie (nicht vor Ort) zu Kerosin verarbeitet werden. Wasserstoff entsteht durch einen Elektrolyseur, gebaut von Siemens Energy.</w:t>
      </w:r>
      <w:r>
        <w:rPr>
          <w:rStyle w:val="Funotenzeichen"/>
        </w:rPr>
        <w:footnoteReference w:id="549"/>
      </w:r>
      <w:r>
        <w:t xml:space="preserve"> In dem </w:t>
      </w:r>
      <w:proofErr w:type="gramStart"/>
      <w:r>
        <w:t>FAZ Artikel</w:t>
      </w:r>
      <w:proofErr w:type="gramEnd"/>
      <w:r>
        <w:rPr>
          <w:rStyle w:val="Funotenzeichen"/>
        </w:rPr>
        <w:footnoteReference w:id="550"/>
      </w:r>
      <w:r>
        <w:t>, aus dem auch im folgenden Abschnitt Informationen entnommen werden, wird gemeldet, dass die Atmosfair Anlage 250 Tonnen E-Kerosin im Jahr herstellen kann, die deutsche Luftfahrt dagegen 10 Millionen Tonnen im Jahr tankt. Angela Merkel hatte als Sonderquote im Bundesimmissionsschutzgesetz festgeschrieben, dass 2026 0,5 % synthetische Kraftstoffe zum fossilen Kerosin beizumischen sind, dies wurde im Koalitionsvertrag von CDU und SPD gestrichen.</w:t>
      </w:r>
      <w:r>
        <w:rPr>
          <w:rStyle w:val="Funotenzeichen"/>
        </w:rPr>
        <w:footnoteReference w:id="551"/>
      </w:r>
      <w:r w:rsidR="00D41AD6">
        <w:t xml:space="preserve"> Im Koalitionsvertrag wird auch festgehalten, dass die Hälfte der nationalen Einnahmen aus dem ETS 1 für den Luftverkehr zu Förderung des </w:t>
      </w:r>
      <w:proofErr w:type="gramStart"/>
      <w:r w:rsidR="00D41AD6">
        <w:t>SAF Aufbaus</w:t>
      </w:r>
      <w:proofErr w:type="gramEnd"/>
      <w:r w:rsidR="00D41AD6">
        <w:t xml:space="preserve"> genutzt werden sollen.</w:t>
      </w:r>
      <w:r w:rsidR="00D41AD6">
        <w:rPr>
          <w:rStyle w:val="Funotenzeichen"/>
        </w:rPr>
        <w:footnoteReference w:id="552"/>
      </w:r>
    </w:p>
    <w:p w14:paraId="3F1EB8E9" w14:textId="77777777" w:rsidR="009F0611" w:rsidRDefault="009F0611" w:rsidP="006242DC"/>
    <w:p w14:paraId="1B0C143D" w14:textId="7C0A6897" w:rsidR="009F0611" w:rsidRDefault="009F0611" w:rsidP="006242DC">
      <w:r>
        <w:t>Ab 2025 werden aber nun erstmal alternative SAF-Treibstoffe aus Bioabfällen und Altfetten zugemischt.</w:t>
      </w:r>
      <w:r>
        <w:rPr>
          <w:rStyle w:val="Funotenzeichen"/>
        </w:rPr>
        <w:footnoteReference w:id="553"/>
      </w:r>
      <w:r>
        <w:t xml:space="preserve"> Dies beruht auf der EU </w:t>
      </w:r>
      <w:proofErr w:type="spellStart"/>
      <w:r>
        <w:t>ReFuelAviation</w:t>
      </w:r>
      <w:proofErr w:type="spellEnd"/>
      <w:r>
        <w:t xml:space="preserve"> Verordnung. In der </w:t>
      </w:r>
      <w:proofErr w:type="spellStart"/>
      <w:r>
        <w:t>ReFuelAviation</w:t>
      </w:r>
      <w:proofErr w:type="spellEnd"/>
      <w:r>
        <w:t xml:space="preserve"> Initiative ist die Rede von 2 % SAF 2025, 6 % 2030, 70 % 2050. 2030 muss 1,2 % zusätzlich synthetischer Kraftstoff enthalten sein, dies steigt auf 35 % 2050. (35 % plus 70 % = 105 %?).</w:t>
      </w:r>
      <w:r>
        <w:rPr>
          <w:rStyle w:val="Funotenzeichen"/>
        </w:rPr>
        <w:footnoteReference w:id="554"/>
      </w:r>
      <w:r>
        <w:t xml:space="preserve"> Hier ist der Link zur EU-Verordnung 2023/2405, 18 Oktober 2023.</w:t>
      </w:r>
      <w:r>
        <w:rPr>
          <w:rStyle w:val="Funotenzeichen"/>
        </w:rPr>
        <w:footnoteReference w:id="555"/>
      </w:r>
      <w:r>
        <w:t xml:space="preserve"> Siehe zu weiteren Informationen, auch einer Förderung von Anlagen, die SAF und andere Treibstoffe bereitstellen, hier.</w:t>
      </w:r>
      <w:r>
        <w:rPr>
          <w:rStyle w:val="Funotenzeichen"/>
        </w:rPr>
        <w:footnoteReference w:id="556"/>
      </w:r>
    </w:p>
    <w:p w14:paraId="086F0784" w14:textId="77777777" w:rsidR="00700AFC" w:rsidRDefault="00700AFC" w:rsidP="00112190">
      <w:bookmarkStart w:id="35" w:name="_Hlk182943874"/>
      <w:bookmarkEnd w:id="32"/>
    </w:p>
    <w:p w14:paraId="1D6713AD" w14:textId="295B3021" w:rsidR="009F0611" w:rsidRDefault="009F0611" w:rsidP="009F0611">
      <w:bookmarkStart w:id="36" w:name="_Hlk195268735"/>
      <w:r>
        <w:t>Die Luftfahrtindustrie scheint aber auch auf das CORSIA</w:t>
      </w:r>
      <w:r>
        <w:rPr>
          <w:rStyle w:val="Funotenzeichen"/>
        </w:rPr>
        <w:footnoteReference w:id="557"/>
      </w:r>
      <w:r>
        <w:t xml:space="preserve"> zu </w:t>
      </w:r>
      <w:r w:rsidR="00A25A33">
        <w:t>hoffen</w:t>
      </w:r>
      <w:r>
        <w:t>, denn dies ermöglicht den Kauf von Emissionsrechten bzw. ‚</w:t>
      </w:r>
      <w:proofErr w:type="spellStart"/>
      <w:r>
        <w:t>carbon</w:t>
      </w:r>
      <w:proofErr w:type="spellEnd"/>
      <w:r>
        <w:t xml:space="preserve"> </w:t>
      </w:r>
      <w:proofErr w:type="spellStart"/>
      <w:r>
        <w:t>credits</w:t>
      </w:r>
      <w:proofErr w:type="spellEnd"/>
      <w:r>
        <w:t xml:space="preserve">‘ im Rahmen des Pariser Klimaabkommens nach Art. 6.4. …  hier scheint nur das Problem zu bestehen, dass es nicht genügend Klimaschutzprojekte gibt, deren Emissionsminderungen man auf diesem Markt dann kaufen kann … </w:t>
      </w:r>
    </w:p>
    <w:bookmarkEnd w:id="36"/>
    <w:p w14:paraId="2615AD6B" w14:textId="77777777" w:rsidR="009F0611" w:rsidRDefault="009F0611" w:rsidP="00112190"/>
    <w:p w14:paraId="74FA8D59" w14:textId="16F74EBA" w:rsidR="00D41AD6" w:rsidRDefault="00D41AD6" w:rsidP="00112190">
      <w:r>
        <w:t>Siehe Teil 2 zu einer ausführliche</w:t>
      </w:r>
      <w:r w:rsidR="00245DDD">
        <w:t>ren</w:t>
      </w:r>
      <w:r>
        <w:t xml:space="preserve"> Darlegung der Sachlage, hier wird gezeigt, dass sowohl Fischer-Tropsch-Kerosin, aufgrund der hohen Kosten und SAF, aufgrund begrenzter biogener Ausgangsstoffe </w:t>
      </w:r>
      <w:r w:rsidR="00CC561C">
        <w:t xml:space="preserve">jedenfalls für den </w:t>
      </w:r>
      <w:r w:rsidR="006A1359">
        <w:t>Luft</w:t>
      </w:r>
      <w:r w:rsidR="00CC561C">
        <w:t xml:space="preserve">verkehr </w:t>
      </w:r>
      <w:r>
        <w:t xml:space="preserve">eine Sackgasse ist. Der </w:t>
      </w:r>
      <w:r w:rsidR="006A1359">
        <w:t>Luft</w:t>
      </w:r>
      <w:r>
        <w:t>verkehr mag die Vorgaben der EU bis 2030 einhalten können, a</w:t>
      </w:r>
      <w:r w:rsidR="00A41BB6">
        <w:t xml:space="preserve">ber </w:t>
      </w:r>
      <w:proofErr w:type="gramStart"/>
      <w:r w:rsidR="00A41BB6">
        <w:t>die höhere Mengen</w:t>
      </w:r>
      <w:proofErr w:type="gramEnd"/>
      <w:r w:rsidR="00A41BB6">
        <w:t xml:space="preserve"> </w:t>
      </w:r>
      <w:r w:rsidR="008B0944">
        <w:t xml:space="preserve">von biogenem SAF und </w:t>
      </w:r>
      <w:proofErr w:type="spellStart"/>
      <w:r w:rsidR="008B0944">
        <w:t>synthetic</w:t>
      </w:r>
      <w:proofErr w:type="spellEnd"/>
      <w:r w:rsidR="008B0944">
        <w:t xml:space="preserve"> </w:t>
      </w:r>
      <w:proofErr w:type="spellStart"/>
      <w:r w:rsidR="008B0944">
        <w:t>fuels</w:t>
      </w:r>
      <w:proofErr w:type="spellEnd"/>
      <w:r w:rsidR="008B0944">
        <w:t xml:space="preserve"> sind schwer </w:t>
      </w:r>
      <w:r w:rsidR="008B0944">
        <w:lastRenderedPageBreak/>
        <w:t>herzustellen und w</w:t>
      </w:r>
      <w:r w:rsidR="00245DDD">
        <w:t>ürden</w:t>
      </w:r>
      <w:r w:rsidR="00A41BB6">
        <w:t xml:space="preserve"> im Luftverkehr zu hohen Kostensteigerungen führen. </w:t>
      </w:r>
      <w:r w:rsidR="006A1359">
        <w:t>Der Luftverkehr muss entweder mit Kerosin weiterfliegen oder in Zukunft auf alternative Antriebe wie Brennstoffzellen setzen, siehe z.B. hier Wikipedia Wasserstoffflugzeug.</w:t>
      </w:r>
      <w:r w:rsidR="006A1359">
        <w:rPr>
          <w:rStyle w:val="Funotenzeichen"/>
        </w:rPr>
        <w:footnoteReference w:id="558"/>
      </w:r>
      <w:r w:rsidR="006A1359">
        <w:t xml:space="preserve"> </w:t>
      </w:r>
    </w:p>
    <w:p w14:paraId="3C5FF526" w14:textId="77777777" w:rsidR="00D41AD6" w:rsidRDefault="00D41AD6" w:rsidP="00112190"/>
    <w:tbl>
      <w:tblPr>
        <w:tblStyle w:val="Tabellenraster"/>
        <w:tblW w:w="0" w:type="auto"/>
        <w:tblLook w:val="04A0" w:firstRow="1" w:lastRow="0" w:firstColumn="1" w:lastColumn="0" w:noHBand="0" w:noVBand="1"/>
      </w:tblPr>
      <w:tblGrid>
        <w:gridCol w:w="9062"/>
      </w:tblGrid>
      <w:tr w:rsidR="00700AFC" w14:paraId="7DE58834" w14:textId="77777777" w:rsidTr="007068BF">
        <w:tc>
          <w:tcPr>
            <w:tcW w:w="9062" w:type="dxa"/>
          </w:tcPr>
          <w:bookmarkEnd w:id="33"/>
          <w:p w14:paraId="7B9D3F75" w14:textId="02377556" w:rsidR="00756CFE" w:rsidRDefault="00700AFC" w:rsidP="007068BF">
            <w:r>
              <w:t>E-Fuels Bierdeckelrechnung</w:t>
            </w:r>
            <w:r w:rsidR="00AF11A2">
              <w:t>, wie viel Strom brächte man, wenn alle Autos in Deutschland E-Fuels aus Strom tanken?</w:t>
            </w:r>
            <w:r>
              <w:t xml:space="preserve"> </w:t>
            </w:r>
            <w:r w:rsidRPr="00144929">
              <w:t>E-Fuels benötigen in der Herstellung 16 bis 27 kWh Strom für 1 Liter E-Fuel</w:t>
            </w:r>
            <w:r w:rsidR="00AF4035">
              <w:t>, so eine Angabe im Internet</w:t>
            </w:r>
            <w:r w:rsidRPr="00144929">
              <w:t>.</w:t>
            </w:r>
            <w:r>
              <w:rPr>
                <w:rStyle w:val="Funotenzeichen"/>
              </w:rPr>
              <w:footnoteReference w:id="559"/>
            </w:r>
            <w:r w:rsidRPr="00144929">
              <w:t xml:space="preserve"> </w:t>
            </w:r>
          </w:p>
          <w:p w14:paraId="3A6FD656" w14:textId="77777777" w:rsidR="00D46F09" w:rsidRDefault="00D46F09" w:rsidP="007068BF"/>
          <w:p w14:paraId="123F09FA" w14:textId="6302C06F" w:rsidR="00AF11A2" w:rsidRDefault="00700AFC" w:rsidP="007068BF">
            <w:r>
              <w:t>2023 hat Deutschland 51,2 Mill. Tonnen Kraftstoff verbraucht, 60,5 % Diesel, 32,3 % Benzin, 6,3 % biogene Kraftstoffe. 2,6 Mill. Tonnen Biodiesel wurde beigemischt.</w:t>
            </w:r>
            <w:r>
              <w:rPr>
                <w:rStyle w:val="Funotenzeichen"/>
              </w:rPr>
              <w:footnoteReference w:id="560"/>
            </w:r>
            <w:r>
              <w:t xml:space="preserve">  1 Tonne Diesel sind 1190,5 Liter, 1 Tonne Benzin sind 1333,33 Liter.</w:t>
            </w:r>
            <w:r>
              <w:rPr>
                <w:rStyle w:val="Funotenzeichen"/>
              </w:rPr>
              <w:footnoteReference w:id="561"/>
            </w:r>
            <w:r>
              <w:t xml:space="preserve"> 30,9 Mill. Tonnen Diesel * 1190,5 Liter = 36.786.450.000 Liter. * 20 kWh = 735.729.000.000 kWh Strom, das sind 735729 Gigawattstunden bzw. 735 Terawattstunden. </w:t>
            </w:r>
            <w:r w:rsidR="00846256">
              <w:t>Dies ist m</w:t>
            </w:r>
            <w:r>
              <w:t xml:space="preserve">ehr als der derzeitige gesamte Stromverbrauch Deutschlands, allein für Diesel. Benzin: 15,8 Mill. Tonnen. 15.800.000 * 1333,33 = 21,066.614.000 Liter * 20 kWh = 421.332.280.000 kWh, also 421 Terawattstunden. Insgesamt: </w:t>
            </w:r>
            <w:r w:rsidRPr="00421B77">
              <w:rPr>
                <w:b/>
                <w:bCs/>
              </w:rPr>
              <w:t>1156 Terawattstunden</w:t>
            </w:r>
            <w:r>
              <w:t xml:space="preserve">. Dies ist das Doppelte des derzeitigen Stromverbrauchs Deutschlands, der bei </w:t>
            </w:r>
            <w:r w:rsidRPr="00421B77">
              <w:rPr>
                <w:u w:val="single"/>
              </w:rPr>
              <w:t>520 Terawattstunden</w:t>
            </w:r>
            <w:r>
              <w:t xml:space="preserve"> liegt.</w:t>
            </w:r>
            <w:r>
              <w:rPr>
                <w:rStyle w:val="Funotenzeichen"/>
              </w:rPr>
              <w:footnoteReference w:id="562"/>
            </w:r>
            <w:r>
              <w:t xml:space="preserve"> </w:t>
            </w:r>
          </w:p>
          <w:p w14:paraId="0628C053" w14:textId="77777777" w:rsidR="00AF11A2" w:rsidRDefault="00AF11A2" w:rsidP="007068BF"/>
          <w:p w14:paraId="58C0F78C" w14:textId="6424B836" w:rsidR="006C6397" w:rsidRDefault="00846256" w:rsidP="007068BF">
            <w:r>
              <w:t>Dies hört sich erst einmal schockierend an,</w:t>
            </w:r>
            <w:r w:rsidR="00D41AD6">
              <w:t xml:space="preserve"> </w:t>
            </w:r>
            <w:r w:rsidR="00D41AD6" w:rsidRPr="00D41AD6">
              <w:rPr>
                <w:u w:val="single"/>
              </w:rPr>
              <w:t>wenn allerdings</w:t>
            </w:r>
            <w:r w:rsidRPr="00D41AD6">
              <w:rPr>
                <w:u w:val="single"/>
              </w:rPr>
              <w:t xml:space="preserve"> E-Autos </w:t>
            </w:r>
            <w:r w:rsidR="00D41AD6" w:rsidRPr="00D41AD6">
              <w:rPr>
                <w:u w:val="single"/>
              </w:rPr>
              <w:t xml:space="preserve">einen </w:t>
            </w:r>
            <w:r w:rsidRPr="00D41AD6">
              <w:rPr>
                <w:u w:val="single"/>
              </w:rPr>
              <w:t xml:space="preserve">hohen Prozentanteil am Fahrzeugbestand erreichen, </w:t>
            </w:r>
            <w:r w:rsidR="00D41AD6" w:rsidRPr="00D41AD6">
              <w:rPr>
                <w:u w:val="single"/>
              </w:rPr>
              <w:t>dann könnte m</w:t>
            </w:r>
            <w:r w:rsidR="00CC561C">
              <w:rPr>
                <w:u w:val="single"/>
              </w:rPr>
              <w:t>an einen kl</w:t>
            </w:r>
            <w:r w:rsidR="00D41AD6" w:rsidRPr="00D41AD6">
              <w:rPr>
                <w:u w:val="single"/>
              </w:rPr>
              <w:t>einen Teil der Autos weiter mit</w:t>
            </w:r>
            <w:r w:rsidR="00CC561C">
              <w:rPr>
                <w:u w:val="single"/>
              </w:rPr>
              <w:t xml:space="preserve"> E-Fuel</w:t>
            </w:r>
            <w:r w:rsidR="00D41AD6" w:rsidRPr="00D41AD6">
              <w:rPr>
                <w:u w:val="single"/>
              </w:rPr>
              <w:t xml:space="preserve"> Verbrennern zu betreiben.</w:t>
            </w:r>
            <w:r w:rsidR="00D41AD6">
              <w:t xml:space="preserve"> Dafür muss man dann eben Solarstrom nutzen, wenn dieser einmal im Überfluss im Sommer zur Verfügung steht. </w:t>
            </w:r>
            <w:r w:rsidR="00CC561C">
              <w:t xml:space="preserve">Vielleicht gibt es ab 2040 eine E-Fuel Verbrenner Renaissance und es sind wieder Verbrennungsmotoren </w:t>
            </w:r>
            <w:proofErr w:type="gramStart"/>
            <w:r w:rsidR="00CC561C">
              <w:t>gefragt.</w:t>
            </w:r>
            <w:r w:rsidR="00D41AD6">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roofErr w:type="gramEnd"/>
          </w:p>
        </w:tc>
      </w:tr>
      <w:bookmarkEnd w:id="34"/>
    </w:tbl>
    <w:p w14:paraId="7354EDFE" w14:textId="77777777" w:rsidR="00AF11A2" w:rsidRDefault="00AF11A2" w:rsidP="00112190"/>
    <w:tbl>
      <w:tblPr>
        <w:tblStyle w:val="Tabellenraster"/>
        <w:tblW w:w="0" w:type="auto"/>
        <w:tblLook w:val="04A0" w:firstRow="1" w:lastRow="0" w:firstColumn="1" w:lastColumn="0" w:noHBand="0" w:noVBand="1"/>
      </w:tblPr>
      <w:tblGrid>
        <w:gridCol w:w="9062"/>
      </w:tblGrid>
      <w:tr w:rsidR="006C6397" w:rsidRPr="006C6397" w14:paraId="38FC5BCC" w14:textId="77777777">
        <w:tc>
          <w:tcPr>
            <w:tcW w:w="9062" w:type="dxa"/>
          </w:tcPr>
          <w:p w14:paraId="3B0B3BA7" w14:textId="3A12CE18" w:rsidR="006C6397" w:rsidRPr="006C6397" w:rsidRDefault="006C6397" w:rsidP="00112190">
            <w:r w:rsidRPr="006C6397">
              <w:t xml:space="preserve">Schlagabtausch International Council on Clean Transportation (ICCT) und Monika Griefhahn und der </w:t>
            </w:r>
            <w:r>
              <w:t>E-Fuels Alliance. Das ICCT hatte gefordert, alle Diesel Pkw mit einem Alter von mehr als 15 Jahre mit einer Prämie zu verschrotten, dies würde 11 Mill. Tonnen CO2 einsparen, die Kosten wären aber hoch: 35 Mrd. (es ist unklar, ob damit E-Autos gekauft werden müssen). Die E-Fuels Alliance hält dagegen, dass ein neues Elektroauto einen CO2-Rucksack von 10 Tonnen CO2 habe, damit könnte ein Diesel 110.000 km fahren. Fahrtüchtige Fahrzeuge sollten nicht verschrottet werden. Wenn man E-Fuels zu 5 % beimischen würde, könne man in Europa 60 Mill. Tonnen CO2 sparen, E-Fuels würden zudem nicht 2,90 Euro, wie der ICCT sagt, sondern weniger als 2 Euro kosten</w:t>
            </w:r>
            <w:r w:rsidR="00A41310">
              <w:t>, siehe zu diesem Abschnitt diesen FAZ-Artikel.</w:t>
            </w:r>
            <w:r w:rsidR="00A41310">
              <w:rPr>
                <w:rStyle w:val="Funotenzeichen"/>
              </w:rPr>
              <w:footnoteReference w:id="563"/>
            </w:r>
            <w:r>
              <w:t xml:space="preserve">  </w:t>
            </w:r>
            <w:r w:rsidR="00A41310">
              <w:t xml:space="preserve">– diese Informationen muss man aber in Ruhe </w:t>
            </w:r>
            <w:proofErr w:type="spellStart"/>
            <w:r w:rsidR="00A41310">
              <w:t>einorden</w:t>
            </w:r>
            <w:proofErr w:type="spellEnd"/>
            <w:r w:rsidR="00A41310">
              <w:t xml:space="preserve">, </w:t>
            </w:r>
            <w:proofErr w:type="spellStart"/>
            <w:r w:rsidR="00A41310">
              <w:t>dass</w:t>
            </w:r>
            <w:proofErr w:type="spellEnd"/>
            <w:r w:rsidR="00A41310">
              <w:t xml:space="preserve"> kann hier nicht geschehen: E-Fuels sind / werden sicher teurer als 2 Euro. Die Emissionen im Verkehr in der EU sind stark angestiegen und betragen derzeit 1000 Mill. Tonnen CO2, also 1 Mrd. Tonnen CO2</w:t>
            </w:r>
            <w:r w:rsidR="00893675">
              <w:rPr>
                <w:rStyle w:val="Funotenzeichen"/>
              </w:rPr>
              <w:footnoteReference w:id="564"/>
            </w:r>
            <w:r w:rsidR="00A41310">
              <w:t>, von den weltweit 53 Mrd. Tonnen CO2. Davon 60 Mill. zu sparen, ist recht wenig, und dies würde bei einer 5 % Beimischung eine riesige Mengen E-Fuels benötigen, bei einem Motorbenzinverbrauch von 68,8 Mill. Tonnen pro Jahr</w:t>
            </w:r>
            <w:r w:rsidR="00893675">
              <w:t>, 3.440.000 Tonnen E-Fuels</w:t>
            </w:r>
            <w:r w:rsidR="00A41310">
              <w:t>.</w:t>
            </w:r>
            <w:r w:rsidR="00A41310">
              <w:rPr>
                <w:rStyle w:val="Funotenzeichen"/>
              </w:rPr>
              <w:footnoteReference w:id="565"/>
            </w:r>
            <w:r w:rsidR="00A41310">
              <w:t xml:space="preserve">   </w:t>
            </w:r>
          </w:p>
        </w:tc>
      </w:tr>
    </w:tbl>
    <w:p w14:paraId="52522C3B" w14:textId="77777777" w:rsidR="006C6397" w:rsidRPr="006C6397" w:rsidRDefault="006C6397" w:rsidP="00112190"/>
    <w:bookmarkEnd w:id="35"/>
    <w:p w14:paraId="5A8ABA8F" w14:textId="044DE3EA" w:rsidR="00112190" w:rsidRDefault="00D706CE" w:rsidP="00112190">
      <w:r w:rsidRPr="007D72F9">
        <w:rPr>
          <w:u w:val="single"/>
        </w:rPr>
        <w:lastRenderedPageBreak/>
        <w:t>Emissionshandelssystem ETS in Deutschland</w:t>
      </w:r>
      <w:r>
        <w:t xml:space="preserve">. </w:t>
      </w:r>
      <w:r w:rsidR="00112190">
        <w:t xml:space="preserve">Seit 2003 gibt es in der EU das Emissionshandelssystem ETS für Industrieunternehmen, an dem Deutschland von Beginn an teilnimmt, im Jahr 2027 soll das ETS 2 für Verkehr und Gebäude in der EU starten. Siehe dazu ausführlich unter dem Punkt EU. </w:t>
      </w:r>
    </w:p>
    <w:p w14:paraId="1723DF43" w14:textId="77777777" w:rsidR="00112190" w:rsidRDefault="00112190" w:rsidP="00112190"/>
    <w:p w14:paraId="5638C29D" w14:textId="413DFD9E" w:rsidR="00112190" w:rsidRDefault="00112190" w:rsidP="00112190">
      <w:r>
        <w:t>Deutschland hat, um das ETS 2 umzusetzen, ein nationales Emissionshandelssystem (</w:t>
      </w:r>
      <w:proofErr w:type="spellStart"/>
      <w:r>
        <w:t>nEHS</w:t>
      </w:r>
      <w:proofErr w:type="spellEnd"/>
      <w:r>
        <w:t>) beschlossen, für Verkehr und Gebäude, sonstige Industrie, Landwirtschaft und Abfall, welche bislang nicht unter das EU-Emissionshandelssystem fallen.</w:t>
      </w:r>
      <w:r>
        <w:rPr>
          <w:rStyle w:val="Funotenzeichen"/>
        </w:rPr>
        <w:footnoteReference w:id="566"/>
      </w:r>
      <w:r>
        <w:t xml:space="preserve"> Im Brennstoffemissionshandelsgesetz (BEHG) wird vom 1. Januar 2021 an auf nationaler Ebene erstmals ein CO2-Preis fällig. Der anfängliche CO2-Preis ist festgelegt und beträgt 25 Euro pro Tonne, am 1. Januar 2024 steigt er auf 45 Euro und bis 2025 soll er auf 55 Euro pro Tonne steigen. Danach beginnt ein Auktionssystem, bei dem Emissionsrechte zwischen </w:t>
      </w:r>
      <w:r w:rsidR="00D46F09">
        <w:t xml:space="preserve">einem Mindestpreis </w:t>
      </w:r>
      <w:r>
        <w:t xml:space="preserve">55 und </w:t>
      </w:r>
      <w:r w:rsidR="00D46F09">
        <w:t xml:space="preserve">Höchstpreis von </w:t>
      </w:r>
      <w:r>
        <w:t>65 Euro versteigert werden. Ziel ist es, dass Verbraucher weniger CO2-intensive Aktivitäten durchführen.</w:t>
      </w:r>
      <w:r>
        <w:rPr>
          <w:rStyle w:val="Funotenzeichen"/>
        </w:rPr>
        <w:footnoteReference w:id="567"/>
      </w:r>
      <w:r>
        <w:t xml:space="preserve"> </w:t>
      </w:r>
      <w:r w:rsidR="00D46F09">
        <w:t>Im Gegenzug bzw. als Ausgleich wurde u.a. die steuerliche Entfernungspauschale angehoben.</w:t>
      </w:r>
      <w:r w:rsidR="00D46F09">
        <w:rPr>
          <w:rStyle w:val="Funotenzeichen"/>
        </w:rPr>
        <w:footnoteReference w:id="568"/>
      </w:r>
      <w:r w:rsidR="00D46F09">
        <w:t xml:space="preserve"> </w:t>
      </w:r>
      <w:r>
        <w:t xml:space="preserve">Ab 2027 soll dann das EU Emissionshandelssystem ETS 2 direkt dafür zuständig werden, siehe den Punkt EU. </w:t>
      </w:r>
    </w:p>
    <w:p w14:paraId="32730FA0" w14:textId="77777777" w:rsidR="00D46F09" w:rsidRDefault="00D46F09" w:rsidP="00D46F09"/>
    <w:p w14:paraId="1082ED15" w14:textId="537EA071" w:rsidR="00DB1BF2" w:rsidRDefault="00D46F09" w:rsidP="00112190">
      <w:r>
        <w:t xml:space="preserve">In Deutschland ist am 6. März 2025 das Treibhausgas-Emissionshandelsgesetz (Brennstoffemissionshandelsgesetz?) geändert worden, um es an die neuen Regeln der EU Emissionshandelsrichtlinie </w:t>
      </w:r>
      <w:r w:rsidRPr="00EC1854">
        <w:t>Richtlinie 2003/87/EG</w:t>
      </w:r>
      <w:r>
        <w:t xml:space="preserve"> anzupassen, durch das TEHG-Europarechtsanpassungsgesetz 2024.</w:t>
      </w:r>
      <w:r>
        <w:rPr>
          <w:rStyle w:val="Funotenzeichen"/>
        </w:rPr>
        <w:footnoteReference w:id="569"/>
      </w:r>
      <w:r>
        <w:t xml:space="preserve"> </w:t>
      </w:r>
    </w:p>
    <w:p w14:paraId="4062BE3A" w14:textId="77777777" w:rsidR="00DB1BF2" w:rsidRDefault="00DB1BF2" w:rsidP="00112190"/>
    <w:p w14:paraId="2115A713" w14:textId="77777777" w:rsidR="00DB1BF2" w:rsidRDefault="00DB1BF2" w:rsidP="00DB1BF2">
      <w:r>
        <w:t xml:space="preserve">Das </w:t>
      </w:r>
      <w:r w:rsidRPr="007B6CDD">
        <w:rPr>
          <w:u w:val="single"/>
        </w:rPr>
        <w:t>Strompreisbremsengesetz</w:t>
      </w:r>
      <w:r>
        <w:t xml:space="preserve"> (</w:t>
      </w:r>
      <w:proofErr w:type="spellStart"/>
      <w:r>
        <w:t>StromPBG</w:t>
      </w:r>
      <w:proofErr w:type="spellEnd"/>
      <w:r>
        <w:t>) enthielt eine Gewinnabschöpfungskomponenten, Betreiber von Stromerzeugungsanlagen wurden dazu verpflichtet, Abschöpfungsbeträge an den Netzbetreiber zu zahlen, diese Abschöpfungsbeträge finanzierten den im Jahr 2023 auf 40 Cent / kWh und 13 kWh gedeckelten Strompreis.</w:t>
      </w:r>
      <w:r>
        <w:rPr>
          <w:rStyle w:val="Funotenzeichen"/>
        </w:rPr>
        <w:footnoteReference w:id="570"/>
      </w:r>
    </w:p>
    <w:p w14:paraId="5765DC60" w14:textId="77777777" w:rsidR="00DB1BF2" w:rsidRDefault="00DB1BF2" w:rsidP="00112190"/>
    <w:p w14:paraId="36472B59" w14:textId="03BD1088" w:rsidR="00112190" w:rsidRDefault="00112190" w:rsidP="00112190">
      <w:r>
        <w:t xml:space="preserve">Aktuell zahlt der Verbraucher, </w:t>
      </w:r>
      <w:r w:rsidR="00BA20C4">
        <w:t xml:space="preserve">so eine Berechnung von Agora Energiewende, </w:t>
      </w:r>
      <w:r>
        <w:t>bei für 2024 gültigen CO2-Preis von 45 Euro pro Tonne für ein Liter Benzin 12,8 Cent brutto, für Diesel 14,3 Cent, für Heizöl 14,3 Cent und für eine kW</w:t>
      </w:r>
      <w:r w:rsidR="0055219E">
        <w:t>h</w:t>
      </w:r>
      <w:r>
        <w:t xml:space="preserve"> Erdgas 0,97 Cent. Befürchtet wird, dass sich ab 2027 der Preis für Benzin und Erdgas dann sich verteuern wird, geschätzt wird 38 Cent für Benzin und 3 Cent für Gas. Wenn es zuvor gelingen würde, Klimaschutzmaßnahmen umzusetzen, würde die Preise ab 2027 nicht so stark ansteigen, so Agora Energiewende Direktor Simon Müller.</w:t>
      </w:r>
      <w:r>
        <w:rPr>
          <w:rStyle w:val="Funotenzeichen"/>
        </w:rPr>
        <w:footnoteReference w:id="571"/>
      </w:r>
    </w:p>
    <w:p w14:paraId="4145564D" w14:textId="77777777" w:rsidR="00093702" w:rsidRDefault="00093702" w:rsidP="00112190"/>
    <w:p w14:paraId="2C99EF5F" w14:textId="09AE6DD2" w:rsidR="00093702" w:rsidRDefault="00093702" w:rsidP="00112190">
      <w:r>
        <w:t xml:space="preserve">Diesen CO2-Preis zahlt aber nicht der Verbraucher direkt, sondern für Benzin und Diesel etwa die Mineralölkonzerne oder die Stadtwerke bzw. die Energieversorger die Abgaben für Erdgas bzw. wiederum die Mineralölkonzerne für Öl für Ölheizungen, die sog. Inverkehrbringer. </w:t>
      </w:r>
    </w:p>
    <w:p w14:paraId="6356CC8C" w14:textId="77777777" w:rsidR="00112190" w:rsidRDefault="00112190" w:rsidP="00112190"/>
    <w:tbl>
      <w:tblPr>
        <w:tblStyle w:val="Tabellenraster"/>
        <w:tblW w:w="0" w:type="auto"/>
        <w:tblLook w:val="04A0" w:firstRow="1" w:lastRow="0" w:firstColumn="1" w:lastColumn="0" w:noHBand="0" w:noVBand="1"/>
      </w:tblPr>
      <w:tblGrid>
        <w:gridCol w:w="9062"/>
      </w:tblGrid>
      <w:tr w:rsidR="00901534" w14:paraId="54E63CC5" w14:textId="77777777" w:rsidTr="00901534">
        <w:tc>
          <w:tcPr>
            <w:tcW w:w="9062" w:type="dxa"/>
          </w:tcPr>
          <w:p w14:paraId="0711E762" w14:textId="1939885A" w:rsidR="00901534" w:rsidRDefault="00901534" w:rsidP="00112190">
            <w:r>
              <w:t>Lkw-Maut, CO2-Aufschlag. Am 1. Dezember 2023 wurden eine Änderung der Lkw-Maut beschlossen, die die Höhe der Lkw-Maut an den CO2-Ausstoß koppelt, um den Umstieg auf klimaneutrale Antriebe zu beschleunigen. Nutzfahrzeuge würden 1/3 der CO2-Emissionen des Verkehrssektors produzieren.</w:t>
            </w:r>
            <w:r>
              <w:rPr>
                <w:rStyle w:val="Funotenzeichen"/>
              </w:rPr>
              <w:footnoteReference w:id="572"/>
            </w:r>
            <w:r>
              <w:t xml:space="preserve">  Dies dient der Umsetzung einer EU-Verordnung, der Eurovignetten-Richtlinie. Sie gilt für Lkw über 3,5 Tonnen. Der CO2-Aufschlag beträgt 200 Euro pro Tonne CO2. Die Mautsätze bestehen aus: Kosten für Infrastruktur, Luftverschmutzung, Lärmbelastung und nun CO2-Ausstoß.</w:t>
            </w:r>
            <w:r w:rsidR="00AB3781">
              <w:t xml:space="preserve"> Es werden Mehreinnahmen von 26,6 Mrd. Euro von 2024 bis 2027 für Lkw über 7,5 Tonnen (einbezogen ab 25. März 2025) und von 3,9 Mrd. für Lkw mit mehr als 3,5 Tonnen erwartet (einbezogen ab 25. März 2027), die für Infrastrukturausbau von Straßen und Schienen verwendet werden sollen.</w:t>
            </w:r>
            <w:r w:rsidR="00AB3781">
              <w:rPr>
                <w:rStyle w:val="Funotenzeichen"/>
              </w:rPr>
              <w:t xml:space="preserve"> </w:t>
            </w:r>
            <w:r w:rsidR="00AB3781">
              <w:rPr>
                <w:rStyle w:val="Funotenzeichen"/>
              </w:rPr>
              <w:footnoteReference w:id="573"/>
            </w:r>
            <w:r w:rsidR="00AB3781">
              <w:t xml:space="preserve"> Siehe hier für eine Emissionstabelle für Pkw und LKW, vom UBA.</w:t>
            </w:r>
            <w:r w:rsidR="00AB3781">
              <w:rPr>
                <w:rStyle w:val="Funotenzeichen"/>
              </w:rPr>
              <w:footnoteReference w:id="574"/>
            </w:r>
            <w:r w:rsidR="00AB3781">
              <w:t xml:space="preserve"> </w:t>
            </w:r>
            <w:r w:rsidR="00BE06C0">
              <w:t>Branchenverbände der Speditions- und Logistikbranche haben sich im Mai 2024 mit Vertretern der Bundesregierung getroffen und gefordert, dass dieses Geld die Anschaffung elektrisch oder mit Wasserstoff betriebener Lkw fördern soll, sowie den Ausbau von Ladeinfrastruktur.</w:t>
            </w:r>
            <w:r w:rsidR="00BE06C0">
              <w:rPr>
                <w:rStyle w:val="Funotenzeichen"/>
              </w:rPr>
              <w:footnoteReference w:id="575"/>
            </w:r>
            <w:r w:rsidR="004C2A40">
              <w:t xml:space="preserve"> E-LKW sind aber nun verfügbar und auch von den Kosten her vertretbar, siehe </w:t>
            </w:r>
            <w:r w:rsidR="00BB2662">
              <w:t>den Geladen Batteriepodcast mit Tobias Wagner, der einen E-LKW für die ostfriesische Spedition Nanno Janssen fährt.</w:t>
            </w:r>
            <w:r w:rsidR="00BB2662">
              <w:rPr>
                <w:rStyle w:val="Funotenzeichen"/>
              </w:rPr>
              <w:footnoteReference w:id="576"/>
            </w:r>
            <w:r w:rsidR="0011198C">
              <w:t xml:space="preserve"> Ein chinesischer E-LKW Hersteller ist Windrose Technologie</w:t>
            </w:r>
            <w:r w:rsidR="00DE06C3">
              <w:rPr>
                <w:rStyle w:val="Funotenzeichen"/>
              </w:rPr>
              <w:footnoteReference w:id="577"/>
            </w:r>
            <w:r w:rsidR="00DE06C3">
              <w:t>, der auch in Europa und der USA aktiv ist bzw. sein will.</w:t>
            </w:r>
            <w:r w:rsidR="00DE06C3">
              <w:rPr>
                <w:rStyle w:val="Funotenzeichen"/>
              </w:rPr>
              <w:footnoteReference w:id="578"/>
            </w:r>
          </w:p>
        </w:tc>
      </w:tr>
    </w:tbl>
    <w:p w14:paraId="1FC8AB7F" w14:textId="77777777" w:rsidR="00901534" w:rsidRDefault="00901534" w:rsidP="00112190"/>
    <w:p w14:paraId="1BF0CF69" w14:textId="74E60045" w:rsidR="0055219E" w:rsidRDefault="00D706CE" w:rsidP="00112190">
      <w:r w:rsidRPr="00F201EB">
        <w:rPr>
          <w:u w:val="single"/>
        </w:rPr>
        <w:t>Carbon Leakage (CL) Schutz der DEHST</w:t>
      </w:r>
      <w:r>
        <w:t>.</w:t>
      </w:r>
      <w:r w:rsidRPr="00D706CE">
        <w:t xml:space="preserve"> </w:t>
      </w:r>
      <w:r w:rsidR="00112190">
        <w:t xml:space="preserve">Ende 2020 wurde ein Entlastungspaket für mittelständische und energieintensive Branchen verhandelt, um zu verhindern, dass aufgrund des </w:t>
      </w:r>
      <w:r w:rsidR="00BB2662" w:rsidRPr="00BB2662">
        <w:t>Brennstoffemissionshandelsgesetz</w:t>
      </w:r>
      <w:r w:rsidR="00BB2662">
        <w:t xml:space="preserve"> </w:t>
      </w:r>
      <w:r w:rsidR="00112190">
        <w:t>BEHG Firmen zu stark belastet werden und ggf. sogar abwandern (Carbon Leakage). Die Firmen beklagen, dass nicht alle Firmen darunter fallen und drohen damit ins Ausland abzuwandern.</w:t>
      </w:r>
      <w:r w:rsidR="00112190">
        <w:rPr>
          <w:rStyle w:val="Funotenzeichen"/>
        </w:rPr>
        <w:footnoteReference w:id="579"/>
      </w:r>
      <w:r w:rsidR="00112190">
        <w:t xml:space="preserve"> Dieser Carbon Leakage (CL) Schutz, das von der Deutschen Emissionshandelsstelle </w:t>
      </w:r>
      <w:proofErr w:type="spellStart"/>
      <w:r w:rsidR="00112190">
        <w:t>DEHSt</w:t>
      </w:r>
      <w:proofErr w:type="spellEnd"/>
      <w:r w:rsidR="00112190">
        <w:t xml:space="preserve"> bereitgestellt wird, siehe diese Webseite</w:t>
      </w:r>
      <w:r w:rsidR="00112190">
        <w:rPr>
          <w:rStyle w:val="Funotenzeichen"/>
        </w:rPr>
        <w:footnoteReference w:id="580"/>
      </w:r>
      <w:r w:rsidR="00112190">
        <w:t xml:space="preserve"> wurde von der Generaldirektion Wettbewerb der EU am 10. August 2023 als Beihilfe nur für deutsche Firmen genehmigt, in der Höhe von 6,3 Mrd. Euro, für den Zeitraum von 2021 bis 2030.</w:t>
      </w:r>
      <w:r w:rsidR="00112190">
        <w:rPr>
          <w:rStyle w:val="Funotenzeichen"/>
        </w:rPr>
        <w:footnoteReference w:id="581"/>
      </w:r>
      <w:r w:rsidR="00112190">
        <w:t xml:space="preserve"> Es ermöglicht direkte Beihilfezahlungen an Unternehmen, bei denen ein Carbon Leakage Risiko besteht, siehe Bundesgesetzblatt 21. Juli 2021, Verordnung über Maßnahmen zur Vermeidung von Carbon-Leakage durch den nationalen Brennstoffemissionshandel.</w:t>
      </w:r>
      <w:r w:rsidR="00112190">
        <w:rPr>
          <w:rStyle w:val="Funotenzeichen"/>
        </w:rPr>
        <w:footnoteReference w:id="582"/>
      </w:r>
      <w:r w:rsidR="00112190">
        <w:t xml:space="preserve"> Dies kommt Industrie zugute, die auf der EU ETS Carbon Leakage Liste sind, bzw. es gibt auch eine Liste der </w:t>
      </w:r>
      <w:proofErr w:type="spellStart"/>
      <w:r w:rsidR="00112190">
        <w:t>DEHSt</w:t>
      </w:r>
      <w:proofErr w:type="spellEnd"/>
      <w:r w:rsidR="00112190">
        <w:t xml:space="preserve"> und man kann einen Sonderantrag </w:t>
      </w:r>
      <w:r w:rsidR="00112190">
        <w:lastRenderedPageBreak/>
        <w:t>stellen. Die Kompensation wird anhand von Treibstoff und Hitze-Werten berechnet, sie erfolgt zwischen 65 % und 95 % (</w:t>
      </w:r>
      <w:proofErr w:type="spellStart"/>
      <w:r w:rsidR="00112190">
        <w:t>Fallback</w:t>
      </w:r>
      <w:proofErr w:type="spellEnd"/>
      <w:r w:rsidR="00112190">
        <w:t xml:space="preserve"> Rate 60 %), und die Firmen müssen zu 50 % (und ab 2025 80 %) der Kompensationen in ein Energiemanagementsystem oder eine Dekarbonisierung ihrer Produktion investieren.</w:t>
      </w:r>
      <w:r w:rsidR="00112190">
        <w:rPr>
          <w:rStyle w:val="Funotenzeichen"/>
        </w:rPr>
        <w:footnoteReference w:id="583"/>
      </w:r>
      <w:r w:rsidR="00112190">
        <w:t xml:space="preserve"> Die Liste ist relativ umfangreich, es finden sich auch Kunststoffherstellung, Keramik, Textilveredelung, Spinnerei, pharmazeutische Grundstoffe, Freiformschmiedestücke, etwa Maschinenwellen und bestimmte Lebensmittelproduktionen, darunter von Tomatenmark, auf der Liste.</w:t>
      </w:r>
      <w:r w:rsidR="00112190">
        <w:rPr>
          <w:rStyle w:val="Funotenzeichen"/>
        </w:rPr>
        <w:footnoteReference w:id="584"/>
      </w:r>
      <w:r w:rsidR="0055219E">
        <w:t xml:space="preserve"> Es gibt weiterhin eine offene Härtefallregelung des </w:t>
      </w:r>
      <w:proofErr w:type="spellStart"/>
      <w:r w:rsidR="0055219E">
        <w:t>DEHSt</w:t>
      </w:r>
      <w:proofErr w:type="spellEnd"/>
      <w:r w:rsidR="0055219E">
        <w:t>, für Firmen, die eine unzumutbare Härte entsteht.</w:t>
      </w:r>
      <w:r w:rsidR="0055219E">
        <w:rPr>
          <w:rStyle w:val="Funotenzeichen"/>
        </w:rPr>
        <w:footnoteReference w:id="585"/>
      </w:r>
    </w:p>
    <w:p w14:paraId="4624383F" w14:textId="77777777" w:rsidR="00112190" w:rsidRDefault="00112190" w:rsidP="00112190"/>
    <w:p w14:paraId="7A4A324C" w14:textId="3C6D788B" w:rsidR="0049037F" w:rsidRDefault="00D706CE" w:rsidP="00112190">
      <w:r w:rsidRPr="00F201EB">
        <w:rPr>
          <w:u w:val="single"/>
        </w:rPr>
        <w:t xml:space="preserve">Strompreiskompensation </w:t>
      </w:r>
      <w:r w:rsidR="00663268">
        <w:rPr>
          <w:u w:val="single"/>
        </w:rPr>
        <w:t xml:space="preserve">SPK </w:t>
      </w:r>
      <w:r w:rsidRPr="00F201EB">
        <w:rPr>
          <w:u w:val="single"/>
        </w:rPr>
        <w:t>der DESt</w:t>
      </w:r>
      <w:r>
        <w:t xml:space="preserve">. </w:t>
      </w:r>
      <w:r w:rsidR="00112190">
        <w:t xml:space="preserve">Schon seit 2013 gibt es auch eine Strompreiskompensation für Firmen, siehe die </w:t>
      </w:r>
      <w:proofErr w:type="spellStart"/>
      <w:r w:rsidR="00112190">
        <w:t>DEHSt</w:t>
      </w:r>
      <w:proofErr w:type="spellEnd"/>
      <w:r w:rsidR="00112190">
        <w:t xml:space="preserve"> Webseite.</w:t>
      </w:r>
      <w:r w:rsidR="00112190">
        <w:rPr>
          <w:rStyle w:val="Funotenzeichen"/>
        </w:rPr>
        <w:footnoteReference w:id="586"/>
      </w:r>
      <w:r w:rsidR="00112190">
        <w:t xml:space="preserve"> Zitat: </w:t>
      </w:r>
      <w:r w:rsidR="00112190" w:rsidRPr="00D26476">
        <w:t>Seit der dritten Handelsperiode des EU-ETS (ab 2013) erhalten Anlagen für ihre Emissionen aus der Erzeugung von Strom keine kostenlose Zuteilung mehr. Die Stromerzeuger reichen die CO2-Kosten der Stromerzeugung an ihre Kunden weiter. Sie übertragen die tatsächlichen CO2-Kosten auf den Strompreis, unabhängig davon, ob sie die Emissionsberechtigungen kostenlos erhalten oder am Markt kaufen müssen. Von diesen indirekten CO2-Kosten sind insbesondere stromintensive Industrieunternehmen betroffen.</w:t>
      </w:r>
      <w:r w:rsidR="00112190">
        <w:t>“</w:t>
      </w:r>
      <w:r w:rsidR="00112190">
        <w:rPr>
          <w:rStyle w:val="Funotenzeichen"/>
        </w:rPr>
        <w:footnoteReference w:id="587"/>
      </w:r>
      <w:r w:rsidR="00112190">
        <w:t xml:space="preserve"> Kurz: die Energieversorger mit Kohle- und Gaskraftwerken etwa, haben, obwohl sie vielleicht gar keine Kosten hatten, die CO2-Kosten kalkulatorisch auf den Strompreis gelegt, und einen höheren Strompreis verlangt. Dafür eine Beihilfe zu zahlen</w:t>
      </w:r>
      <w:r w:rsidR="00C1683D">
        <w:t>,</w:t>
      </w:r>
      <w:r w:rsidR="00112190">
        <w:t xml:space="preserve"> wird auch von der EU Generaldirektion Wettbewerb ermöglicht, siehe die folgende, aktuelle Mitteilung von Leitlinien, 25.09.2020.</w:t>
      </w:r>
      <w:r w:rsidR="00112190">
        <w:rPr>
          <w:rStyle w:val="Funotenzeichen"/>
        </w:rPr>
        <w:footnoteReference w:id="588"/>
      </w:r>
      <w:r w:rsidR="00112190">
        <w:t xml:space="preserve"> Die deutsche Richtlinie findet sich hier.</w:t>
      </w:r>
      <w:r w:rsidR="00112190">
        <w:rPr>
          <w:rStyle w:val="Funotenzeichen"/>
        </w:rPr>
        <w:footnoteReference w:id="589"/>
      </w:r>
      <w:r w:rsidR="00112190">
        <w:t xml:space="preserve"> </w:t>
      </w:r>
      <w:r w:rsidR="00757CF2">
        <w:t xml:space="preserve">Eine wichtige Rolle hat dabei der Preis der EUA bzw. EU </w:t>
      </w:r>
      <w:proofErr w:type="spellStart"/>
      <w:r w:rsidR="00757CF2">
        <w:t>Allowances</w:t>
      </w:r>
      <w:proofErr w:type="spellEnd"/>
      <w:r w:rsidR="00C1683D">
        <w:t>.</w:t>
      </w:r>
      <w:r w:rsidR="00C1683D">
        <w:rPr>
          <w:rStyle w:val="Funotenzeichen"/>
        </w:rPr>
        <w:footnoteReference w:id="590"/>
      </w:r>
      <w:r w:rsidR="00C1683D">
        <w:t xml:space="preserve"> </w:t>
      </w:r>
      <w:r w:rsidR="00663268">
        <w:t>Bisher konnten diese Strompreiskompensationen aber vom Staat finanziert werden, für 2023 lag die Beihilfesumme bei 2,4 Mrd. Euro</w:t>
      </w:r>
      <w:r w:rsidR="00E85FDC">
        <w:t xml:space="preserve"> (Bericht veröffentlicht am 28.03.2025)</w:t>
      </w:r>
      <w:r w:rsidR="00663268">
        <w:t>.</w:t>
      </w:r>
      <w:r w:rsidR="00663268">
        <w:rPr>
          <w:rStyle w:val="Funotenzeichen"/>
        </w:rPr>
        <w:footnoteReference w:id="591"/>
      </w:r>
      <w:r w:rsidR="00663268">
        <w:t xml:space="preserve"> </w:t>
      </w:r>
      <w:r w:rsidR="00112190">
        <w:t xml:space="preserve">Die </w:t>
      </w:r>
      <w:r w:rsidR="00663268">
        <w:t xml:space="preserve">SPK </w:t>
      </w:r>
      <w:r w:rsidR="00112190">
        <w:t>Liste viel kürzer</w:t>
      </w:r>
      <w:r w:rsidR="00663268">
        <w:t xml:space="preserve"> als die Carbon Leakage Liste</w:t>
      </w:r>
      <w:r w:rsidR="00112190">
        <w:t xml:space="preserve">: es seien Unternehmen, die einen stromintensiven Produktionsprozess haben, starkem internationalen Wettbewerb ausgesetzt sind und bei denen ein Risiko von Carbon Leakage besteht, sie stehen in einem Transparenzbericht: Firmen im Bereich Eisen- und Stahl, </w:t>
      </w:r>
      <w:r w:rsidR="00112190">
        <w:lastRenderedPageBreak/>
        <w:t>Herstellung chemischer Grundstoffe, Papierverarbeitung, Gießereien, Mineralölverarbeiten, Herstellung von Glas.</w:t>
      </w:r>
      <w:r w:rsidR="00112190">
        <w:rPr>
          <w:rStyle w:val="Funotenzeichen"/>
        </w:rPr>
        <w:footnoteReference w:id="592"/>
      </w:r>
      <w:r w:rsidR="00112190">
        <w:t xml:space="preserve"> </w:t>
      </w:r>
    </w:p>
    <w:p w14:paraId="6D0D3D35" w14:textId="77777777" w:rsidR="004F487E" w:rsidRDefault="004F487E" w:rsidP="00112190"/>
    <w:p w14:paraId="7538B452" w14:textId="432F5C97" w:rsidR="004F487E" w:rsidRDefault="004F487E" w:rsidP="00112190">
      <w:r>
        <w:t>Immerhin 50 Mill. Euro Strompreiskompensation, fast der höchste Wert in der Liste</w:t>
      </w:r>
      <w:r>
        <w:rPr>
          <w:rStyle w:val="Funotenzeichen"/>
        </w:rPr>
        <w:footnoteReference w:id="593"/>
      </w:r>
      <w:r>
        <w:t xml:space="preserve">, bekommt Wacker Chemie, die u.a. </w:t>
      </w:r>
      <w:r w:rsidR="00A92951">
        <w:t xml:space="preserve">damit mit einem elektrisch betriebenen Lichtbogenofen </w:t>
      </w:r>
      <w:r>
        <w:t>Polysilizium als Grundstoff für Solarzellen herstellen, und dabei 6 TWh Strom pro Jahr verbrauchen, 1,2 % des gesamten deutschen Stromverbrauchs</w:t>
      </w:r>
      <w:r w:rsidR="00BA20C4">
        <w:t>.</w:t>
      </w:r>
      <w:r>
        <w:t xml:space="preserve"> </w:t>
      </w:r>
      <w:r w:rsidR="00BA20C4">
        <w:t xml:space="preserve">Wacker beliefert </w:t>
      </w:r>
      <w:r>
        <w:t>21 % des Weltmarktes</w:t>
      </w:r>
      <w:r>
        <w:rPr>
          <w:rStyle w:val="Funotenzeichen"/>
        </w:rPr>
        <w:footnoteReference w:id="594"/>
      </w:r>
      <w:r w:rsidR="00BA20C4">
        <w:t>, u.a. aber auch mit Fabriken in den USA.</w:t>
      </w:r>
      <w:r w:rsidR="00BA20C4">
        <w:rPr>
          <w:rStyle w:val="Funotenzeichen"/>
        </w:rPr>
        <w:footnoteReference w:id="595"/>
      </w:r>
      <w:r w:rsidR="00A14D9E">
        <w:t xml:space="preserve"> Am Beispiel Polysilizium erkennt man aber auch, dass diese energieintensive Industrie es offenbar gewohnt ist, niedrige Preise aushandeln zu können und dass sie sich deshalb z.B. in den USA in der Nähe von Wasserkraft-Kraftwerken ansiedelt.</w:t>
      </w:r>
      <w:r w:rsidR="00A14D9E">
        <w:rPr>
          <w:rStyle w:val="Funotenzeichen"/>
        </w:rPr>
        <w:footnoteReference w:id="596"/>
      </w:r>
      <w:r w:rsidR="00A14D9E">
        <w:t xml:space="preserve"> </w:t>
      </w:r>
      <w:r>
        <w:t xml:space="preserve">Beispiele </w:t>
      </w:r>
      <w:r w:rsidR="00F8402B">
        <w:t xml:space="preserve">zu Stahl und Gießereien </w:t>
      </w:r>
      <w:r w:rsidR="0094316B">
        <w:t>und deren Strompreiskompensation</w:t>
      </w:r>
      <w:r w:rsidR="00B60E47">
        <w:t xml:space="preserve"> gleich hier.</w:t>
      </w:r>
      <w:r w:rsidR="0025195A">
        <w:t xml:space="preserve"> Strompreiskompensationen werde nicht nur in Deutschland, sondern in mehreren anderen europäischen Ländern gezahlt.</w:t>
      </w:r>
      <w:r w:rsidR="0025195A">
        <w:rPr>
          <w:rStyle w:val="Funotenzeichen"/>
        </w:rPr>
        <w:footnoteReference w:id="597"/>
      </w:r>
      <w:r w:rsidR="000C33F3">
        <w:t xml:space="preserve"> Es gibt eine weitere Erleichterung für energieintensive Unternehmen, die § 19 Strom NEV Umlage, die für energieintensive Unternehmen eine reduzierte Netzumlage ermöglicht.</w:t>
      </w:r>
      <w:r w:rsidR="000C33F3">
        <w:rPr>
          <w:rStyle w:val="Funotenzeichen"/>
        </w:rPr>
        <w:footnoteReference w:id="598"/>
      </w:r>
    </w:p>
    <w:p w14:paraId="27A39BD1" w14:textId="77777777" w:rsidR="0049037F" w:rsidRDefault="0049037F" w:rsidP="00112190"/>
    <w:p w14:paraId="643652FF" w14:textId="5156B569" w:rsidR="003D0790" w:rsidRDefault="00F80BDB" w:rsidP="003D0790">
      <w:r w:rsidRPr="00F80BDB">
        <w:rPr>
          <w:u w:val="single"/>
        </w:rPr>
        <w:t>Strompreise</w:t>
      </w:r>
      <w:r w:rsidRPr="00DD3EA6">
        <w:t>.</w:t>
      </w:r>
      <w:r w:rsidRPr="00F80BDB">
        <w:rPr>
          <w:u w:val="single"/>
        </w:rPr>
        <w:t xml:space="preserve"> </w:t>
      </w:r>
      <w:r w:rsidR="00112190">
        <w:t xml:space="preserve">Tatsächlich liegen die deutschen Industriestromkosten relativ hoch in Europa, auf demselben Niveau sind nur Italien und Spanien, sie sind von 2008 bis 2022 von 9,59 Cent/KWh auf 19,25 Cent/KWh) gestiegen, </w:t>
      </w:r>
      <w:proofErr w:type="gramStart"/>
      <w:r w:rsidR="00112190">
        <w:t xml:space="preserve">andere </w:t>
      </w:r>
      <w:r w:rsidR="003F0865">
        <w:t xml:space="preserve">europäische </w:t>
      </w:r>
      <w:r w:rsidR="00112190">
        <w:t>Ländern</w:t>
      </w:r>
      <w:proofErr w:type="gramEnd"/>
      <w:r w:rsidR="00112190">
        <w:t xml:space="preserve"> liegen </w:t>
      </w:r>
      <w:proofErr w:type="gramStart"/>
      <w:r w:rsidR="00112190">
        <w:t>auf einem niedrige</w:t>
      </w:r>
      <w:r w:rsidR="003F0865">
        <w:t>rem</w:t>
      </w:r>
      <w:r w:rsidR="00112190">
        <w:t xml:space="preserve"> Niveau</w:t>
      </w:r>
      <w:proofErr w:type="gramEnd"/>
      <w:r w:rsidR="00112190">
        <w:t xml:space="preserve">. Kurz: die Stromrechnung deutscher Unternehmen hat sich bei 20.000 MWh Verbrauch von 2008 1,9 Mill. Euro auf 2022 3,8 Mill. Euro erhöht. Bestimmte Großverbraucher haben sicher noch andere Stromverträge, mit niedrigeren Kosten. Derzeit ist es so, dass der Industriestrompreis, besonders auch für Großverbraucher wieder absinkt, 1 </w:t>
      </w:r>
      <w:proofErr w:type="spellStart"/>
      <w:r w:rsidR="00112190">
        <w:t>Hj</w:t>
      </w:r>
      <w:proofErr w:type="spellEnd"/>
      <w:r w:rsidR="00112190">
        <w:t>. 2023 liegt er bei 16,86.</w:t>
      </w:r>
      <w:r w:rsidR="00112190">
        <w:rPr>
          <w:rStyle w:val="Funotenzeichen"/>
        </w:rPr>
        <w:footnoteReference w:id="599"/>
      </w:r>
      <w:r w:rsidR="00112190">
        <w:t xml:space="preserve"> </w:t>
      </w:r>
      <w:r w:rsidR="00C20B9B">
        <w:t xml:space="preserve">Bestätigt etwa in </w:t>
      </w:r>
      <w:proofErr w:type="gramStart"/>
      <w:r w:rsidR="00C20B9B">
        <w:t>VCI Chemieindustrie</w:t>
      </w:r>
      <w:proofErr w:type="gramEnd"/>
      <w:r w:rsidR="00C20B9B">
        <w:t xml:space="preserve"> in Zahlen 2024: 70.000 MWh 2020: 10,7 Cent, 2021: 12,5 Cent</w:t>
      </w:r>
      <w:r w:rsidR="00266C12">
        <w:t>, 2022: 17,6 Cent, 20213: 17,0 Cent, bei 2000 MWh bis 20.000 MWh: 2020: 15,2, 2021, 25,7, 2022 19,4, 2023 20,4 Cent.</w:t>
      </w:r>
      <w:r w:rsidR="00C20B9B">
        <w:rPr>
          <w:rStyle w:val="Funotenzeichen"/>
        </w:rPr>
        <w:footnoteReference w:id="600"/>
      </w:r>
      <w:r w:rsidR="00C20B9B">
        <w:t xml:space="preserve"> </w:t>
      </w:r>
      <w:r w:rsidR="003D0790">
        <w:t xml:space="preserve">In den USA liegt der Strompreis niedrig, </w:t>
      </w:r>
      <w:proofErr w:type="gramStart"/>
      <w:r w:rsidR="003D0790">
        <w:t>nach einen kurzen Anstieg</w:t>
      </w:r>
      <w:proofErr w:type="gramEnd"/>
      <w:r w:rsidR="003D0790">
        <w:t xml:space="preserve"> in den letzten Jahren, bei 4 Cent/kWh.</w:t>
      </w:r>
      <w:r w:rsidR="003D0790">
        <w:rPr>
          <w:rStyle w:val="Funotenzeichen"/>
        </w:rPr>
        <w:footnoteReference w:id="601"/>
      </w:r>
    </w:p>
    <w:p w14:paraId="45A6BE23" w14:textId="77777777" w:rsidR="00112190" w:rsidRDefault="00112190" w:rsidP="00112190"/>
    <w:p w14:paraId="28D91BB5" w14:textId="77777777" w:rsidR="00112190" w:rsidRDefault="00112190" w:rsidP="00112190">
      <w:r>
        <w:t>Siehe hier, mit einer kleinen Auswahl von Ländern:</w:t>
      </w:r>
    </w:p>
    <w:p w14:paraId="2C08C42C" w14:textId="77777777" w:rsidR="00112190" w:rsidRDefault="00112190" w:rsidP="00112190"/>
    <w:p w14:paraId="675AA885" w14:textId="77777777" w:rsidR="00112190" w:rsidRDefault="00112190" w:rsidP="00112190">
      <w:r>
        <w:lastRenderedPageBreak/>
        <w:t xml:space="preserve">Elektrischer Strom – Cent/KWh, </w:t>
      </w:r>
      <w:r w:rsidRPr="00A65F80">
        <w:t>(mit Verbrauchssteuern, Jahresverbrauch 2000 MWh bis 20.000 MWh</w:t>
      </w:r>
      <w:r>
        <w:t>), Quelle: Statistisches Bundesamt (verkürzt, weniger Staaten als im Original).</w:t>
      </w:r>
      <w:r>
        <w:rPr>
          <w:rStyle w:val="Funotenzeichen"/>
        </w:rPr>
        <w:footnoteReference w:id="602"/>
      </w:r>
    </w:p>
    <w:tbl>
      <w:tblPr>
        <w:tblStyle w:val="Tabellenraster"/>
        <w:tblW w:w="0" w:type="auto"/>
        <w:tblLook w:val="04A0" w:firstRow="1" w:lastRow="0" w:firstColumn="1" w:lastColumn="0" w:noHBand="0" w:noVBand="1"/>
      </w:tblPr>
      <w:tblGrid>
        <w:gridCol w:w="1284"/>
        <w:gridCol w:w="1332"/>
        <w:gridCol w:w="1292"/>
        <w:gridCol w:w="1287"/>
        <w:gridCol w:w="1289"/>
        <w:gridCol w:w="1286"/>
        <w:gridCol w:w="1292"/>
      </w:tblGrid>
      <w:tr w:rsidR="00112190" w14:paraId="0A6266D9" w14:textId="77777777" w:rsidTr="006B301B">
        <w:tc>
          <w:tcPr>
            <w:tcW w:w="1294" w:type="dxa"/>
          </w:tcPr>
          <w:p w14:paraId="1BFFDCAC" w14:textId="77777777" w:rsidR="00112190" w:rsidRDefault="00112190" w:rsidP="006B301B"/>
        </w:tc>
        <w:tc>
          <w:tcPr>
            <w:tcW w:w="1294" w:type="dxa"/>
          </w:tcPr>
          <w:p w14:paraId="41C16A9B" w14:textId="77777777" w:rsidR="00112190" w:rsidRDefault="00112190" w:rsidP="006B301B">
            <w:r>
              <w:t>Deutschland</w:t>
            </w:r>
          </w:p>
        </w:tc>
        <w:tc>
          <w:tcPr>
            <w:tcW w:w="1294" w:type="dxa"/>
          </w:tcPr>
          <w:p w14:paraId="34239806" w14:textId="77777777" w:rsidR="00112190" w:rsidRDefault="00112190" w:rsidP="006B301B">
            <w:r>
              <w:t>Frankreich</w:t>
            </w:r>
          </w:p>
        </w:tc>
        <w:tc>
          <w:tcPr>
            <w:tcW w:w="1295" w:type="dxa"/>
          </w:tcPr>
          <w:p w14:paraId="548BDE3E" w14:textId="77777777" w:rsidR="00112190" w:rsidRDefault="00112190" w:rsidP="006B301B">
            <w:r>
              <w:t>Italien</w:t>
            </w:r>
          </w:p>
        </w:tc>
        <w:tc>
          <w:tcPr>
            <w:tcW w:w="1295" w:type="dxa"/>
          </w:tcPr>
          <w:p w14:paraId="14D9D5FB" w14:textId="77777777" w:rsidR="00112190" w:rsidRDefault="00112190" w:rsidP="006B301B">
            <w:r>
              <w:t>Spanien</w:t>
            </w:r>
          </w:p>
        </w:tc>
        <w:tc>
          <w:tcPr>
            <w:tcW w:w="1295" w:type="dxa"/>
          </w:tcPr>
          <w:p w14:paraId="03F2AF6A" w14:textId="77777777" w:rsidR="00112190" w:rsidRDefault="00112190" w:rsidP="006B301B">
            <w:r>
              <w:t>Polen</w:t>
            </w:r>
          </w:p>
        </w:tc>
        <w:tc>
          <w:tcPr>
            <w:tcW w:w="1295" w:type="dxa"/>
          </w:tcPr>
          <w:p w14:paraId="104035F3" w14:textId="77777777" w:rsidR="00112190" w:rsidRDefault="00112190" w:rsidP="006B301B">
            <w:r>
              <w:t>Schweden</w:t>
            </w:r>
          </w:p>
        </w:tc>
      </w:tr>
      <w:tr w:rsidR="00112190" w14:paraId="558B68E0" w14:textId="77777777" w:rsidTr="006B301B">
        <w:tc>
          <w:tcPr>
            <w:tcW w:w="1294" w:type="dxa"/>
          </w:tcPr>
          <w:p w14:paraId="7C1055D1" w14:textId="77777777" w:rsidR="00112190" w:rsidRDefault="00112190" w:rsidP="006B301B">
            <w:r>
              <w:t>2008</w:t>
            </w:r>
          </w:p>
        </w:tc>
        <w:tc>
          <w:tcPr>
            <w:tcW w:w="1294" w:type="dxa"/>
          </w:tcPr>
          <w:p w14:paraId="19B91B9A" w14:textId="77777777" w:rsidR="00112190" w:rsidRDefault="00112190" w:rsidP="006B301B">
            <w:r>
              <w:t>9,59</w:t>
            </w:r>
          </w:p>
        </w:tc>
        <w:tc>
          <w:tcPr>
            <w:tcW w:w="1294" w:type="dxa"/>
          </w:tcPr>
          <w:p w14:paraId="6D64B357" w14:textId="77777777" w:rsidR="00112190" w:rsidRDefault="00112190" w:rsidP="006B301B">
            <w:r>
              <w:t>5,84</w:t>
            </w:r>
          </w:p>
        </w:tc>
        <w:tc>
          <w:tcPr>
            <w:tcW w:w="1295" w:type="dxa"/>
          </w:tcPr>
          <w:p w14:paraId="4B410CFC" w14:textId="77777777" w:rsidR="00112190" w:rsidRDefault="00112190" w:rsidP="006B301B">
            <w:r>
              <w:t>12,48</w:t>
            </w:r>
          </w:p>
        </w:tc>
        <w:tc>
          <w:tcPr>
            <w:tcW w:w="1295" w:type="dxa"/>
          </w:tcPr>
          <w:p w14:paraId="199C0D78" w14:textId="77777777" w:rsidR="00112190" w:rsidRDefault="00112190" w:rsidP="006B301B">
            <w:r>
              <w:t>8,38</w:t>
            </w:r>
          </w:p>
        </w:tc>
        <w:tc>
          <w:tcPr>
            <w:tcW w:w="1295" w:type="dxa"/>
          </w:tcPr>
          <w:p w14:paraId="12BD79FB" w14:textId="77777777" w:rsidR="00112190" w:rsidRDefault="00112190" w:rsidP="006B301B">
            <w:r>
              <w:t>8,34</w:t>
            </w:r>
          </w:p>
        </w:tc>
        <w:tc>
          <w:tcPr>
            <w:tcW w:w="1295" w:type="dxa"/>
          </w:tcPr>
          <w:p w14:paraId="09FD4D4E" w14:textId="77777777" w:rsidR="00112190" w:rsidRDefault="00112190" w:rsidP="006B301B">
            <w:r>
              <w:t>6,20</w:t>
            </w:r>
          </w:p>
        </w:tc>
      </w:tr>
      <w:tr w:rsidR="00112190" w14:paraId="17BC28B1" w14:textId="77777777" w:rsidTr="006B301B">
        <w:tc>
          <w:tcPr>
            <w:tcW w:w="1294" w:type="dxa"/>
          </w:tcPr>
          <w:p w14:paraId="60433469" w14:textId="77777777" w:rsidR="00112190" w:rsidRDefault="00112190" w:rsidP="006B301B">
            <w:r>
              <w:t>2021</w:t>
            </w:r>
          </w:p>
        </w:tc>
        <w:tc>
          <w:tcPr>
            <w:tcW w:w="1294" w:type="dxa"/>
          </w:tcPr>
          <w:p w14:paraId="0D3E9496" w14:textId="77777777" w:rsidR="00112190" w:rsidRDefault="00112190" w:rsidP="006B301B">
            <w:r>
              <w:t>16,42</w:t>
            </w:r>
          </w:p>
        </w:tc>
        <w:tc>
          <w:tcPr>
            <w:tcW w:w="1294" w:type="dxa"/>
          </w:tcPr>
          <w:p w14:paraId="34D6FC4F" w14:textId="77777777" w:rsidR="00112190" w:rsidRDefault="00112190" w:rsidP="006B301B">
            <w:r>
              <w:t>8,82</w:t>
            </w:r>
          </w:p>
        </w:tc>
        <w:tc>
          <w:tcPr>
            <w:tcW w:w="1295" w:type="dxa"/>
          </w:tcPr>
          <w:p w14:paraId="369A36EB" w14:textId="77777777" w:rsidR="00112190" w:rsidRDefault="00112190" w:rsidP="006B301B">
            <w:r>
              <w:t>16,07</w:t>
            </w:r>
          </w:p>
        </w:tc>
        <w:tc>
          <w:tcPr>
            <w:tcW w:w="1295" w:type="dxa"/>
          </w:tcPr>
          <w:p w14:paraId="5539B581" w14:textId="77777777" w:rsidR="00112190" w:rsidRDefault="00112190" w:rsidP="006B301B">
            <w:r>
              <w:t>15,28</w:t>
            </w:r>
          </w:p>
        </w:tc>
        <w:tc>
          <w:tcPr>
            <w:tcW w:w="1295" w:type="dxa"/>
          </w:tcPr>
          <w:p w14:paraId="21F4F16E" w14:textId="77777777" w:rsidR="00112190" w:rsidRDefault="00112190" w:rsidP="006B301B">
            <w:r>
              <w:t>9,92</w:t>
            </w:r>
          </w:p>
        </w:tc>
        <w:tc>
          <w:tcPr>
            <w:tcW w:w="1295" w:type="dxa"/>
          </w:tcPr>
          <w:p w14:paraId="4CDEBB16" w14:textId="77777777" w:rsidR="00112190" w:rsidRDefault="00112190" w:rsidP="006B301B">
            <w:r>
              <w:t>8,84</w:t>
            </w:r>
          </w:p>
        </w:tc>
      </w:tr>
      <w:tr w:rsidR="00112190" w14:paraId="4E1E76CE" w14:textId="77777777" w:rsidTr="006B301B">
        <w:tc>
          <w:tcPr>
            <w:tcW w:w="1294" w:type="dxa"/>
          </w:tcPr>
          <w:p w14:paraId="2871BEC8" w14:textId="77777777" w:rsidR="00112190" w:rsidRDefault="00112190" w:rsidP="006B301B">
            <w:r>
              <w:t>2022</w:t>
            </w:r>
          </w:p>
        </w:tc>
        <w:tc>
          <w:tcPr>
            <w:tcW w:w="1294" w:type="dxa"/>
          </w:tcPr>
          <w:p w14:paraId="2EB0C624" w14:textId="77777777" w:rsidR="00112190" w:rsidRDefault="00112190" w:rsidP="006B301B">
            <w:r>
              <w:t>19,25</w:t>
            </w:r>
          </w:p>
        </w:tc>
        <w:tc>
          <w:tcPr>
            <w:tcW w:w="1294" w:type="dxa"/>
          </w:tcPr>
          <w:p w14:paraId="4EAE117E" w14:textId="77777777" w:rsidR="00112190" w:rsidRDefault="00112190" w:rsidP="006B301B">
            <w:r>
              <w:t>12,58</w:t>
            </w:r>
          </w:p>
        </w:tc>
        <w:tc>
          <w:tcPr>
            <w:tcW w:w="1295" w:type="dxa"/>
          </w:tcPr>
          <w:p w14:paraId="06E1F461" w14:textId="77777777" w:rsidR="00112190" w:rsidRDefault="00112190" w:rsidP="006B301B">
            <w:r>
              <w:t>23,44</w:t>
            </w:r>
          </w:p>
        </w:tc>
        <w:tc>
          <w:tcPr>
            <w:tcW w:w="1295" w:type="dxa"/>
          </w:tcPr>
          <w:p w14:paraId="2568EC68" w14:textId="77777777" w:rsidR="00112190" w:rsidRDefault="00112190" w:rsidP="006B301B">
            <w:r>
              <w:t>19,02</w:t>
            </w:r>
          </w:p>
        </w:tc>
        <w:tc>
          <w:tcPr>
            <w:tcW w:w="1295" w:type="dxa"/>
          </w:tcPr>
          <w:p w14:paraId="454209FA" w14:textId="77777777" w:rsidR="00112190" w:rsidRDefault="00112190" w:rsidP="006B301B">
            <w:r>
              <w:t>14,62</w:t>
            </w:r>
          </w:p>
        </w:tc>
        <w:tc>
          <w:tcPr>
            <w:tcW w:w="1295" w:type="dxa"/>
          </w:tcPr>
          <w:p w14:paraId="11859E81" w14:textId="77777777" w:rsidR="00112190" w:rsidRDefault="00112190" w:rsidP="006B301B">
            <w:r>
              <w:t>9,78</w:t>
            </w:r>
          </w:p>
        </w:tc>
      </w:tr>
    </w:tbl>
    <w:p w14:paraId="01C0A2AB" w14:textId="77777777" w:rsidR="00112190" w:rsidRDefault="00112190" w:rsidP="00112190">
      <w:r>
        <w:t xml:space="preserve"> </w:t>
      </w:r>
    </w:p>
    <w:p w14:paraId="1D791986" w14:textId="6D443A0E" w:rsidR="00F7643F" w:rsidRDefault="00F7643F" w:rsidP="00112190">
      <w:r>
        <w:t>Für Europa ist auffällig, dass Polen, Italien und Spanien höhere Strompreise haben und Frankreich und Schweden niedriger liegen.</w:t>
      </w:r>
    </w:p>
    <w:p w14:paraId="09F53BA6" w14:textId="77777777" w:rsidR="00F7643F" w:rsidRDefault="00F7643F" w:rsidP="00112190"/>
    <w:p w14:paraId="7B484898" w14:textId="0E52B702" w:rsidR="00590A85" w:rsidRDefault="00590A85" w:rsidP="00590A85">
      <w:r>
        <w:t>Aktuelle Daten von Agora Energiewende Die Energiewende in Deutschland: Stand der Dinge 2024 geben diese Informationen: „Die Industriestrompreise lagen in Deutschland im Jahr 2024 je nach Beschaffungsstrategie und Abnahmefall für kleinere Industrieunternehmen bei etwa</w:t>
      </w:r>
    </w:p>
    <w:p w14:paraId="021D4708" w14:textId="3D6178FD" w:rsidR="00590A85" w:rsidRDefault="00590A85" w:rsidP="00590A85">
      <w:r>
        <w:t>16 ct/kWh. Für energieintensive Unternehmen ab einem Stromverbrauch von rund 1 TWh, die über die Strompreiskompensation einen subventionierten Strompreis erhalten, lag der Endkundenstrompreis bei 4 – 12 ct/kWh (siehe Kapitel 2.3). Zum Vergleich: Im Nachbarland Frankreich sind Teile des Industriestrombedarfs für energieintensive Unternehmen bis Ende 2025 durch das Tarifsystem ARENH bei 4,2 ct/kWh gedeckelt. Im weiteren internationalen Vergleich haben die USA, China, Kanada, Südkorea, Türkei und Mexiko Industriestrompreise von durchschnittlich</w:t>
      </w:r>
    </w:p>
    <w:p w14:paraId="2F6A2FAC" w14:textId="3C6A625F" w:rsidR="00590A85" w:rsidRDefault="00590A85" w:rsidP="00590A85">
      <w:r>
        <w:t>8–9 ct/kWh (vbw 2023).“</w:t>
      </w:r>
      <w:r w:rsidRPr="00590A85">
        <w:rPr>
          <w:rStyle w:val="Funotenzeichen"/>
        </w:rPr>
        <w:t xml:space="preserve"> </w:t>
      </w:r>
      <w:r>
        <w:rPr>
          <w:rStyle w:val="Funotenzeichen"/>
        </w:rPr>
        <w:footnoteReference w:id="603"/>
      </w:r>
    </w:p>
    <w:p w14:paraId="2E5106AE" w14:textId="77777777" w:rsidR="009F3C4F" w:rsidRDefault="009F3C4F" w:rsidP="00590A85"/>
    <w:p w14:paraId="61EFD25E" w14:textId="293139CF" w:rsidR="00467A19" w:rsidRDefault="00467A19" w:rsidP="00112190">
      <w:r>
        <w:t xml:space="preserve">Eine weitere Information besagt, dass Frankreich diesen Strompreis für die Industrie von 4,2 Cent je kWh </w:t>
      </w:r>
      <w:r w:rsidR="007A273B">
        <w:t xml:space="preserve">nur </w:t>
      </w:r>
      <w:r>
        <w:t xml:space="preserve">für 100 TWh bereithält, nicht mehr, wie viel dies </w:t>
      </w:r>
      <w:r w:rsidR="007A273B">
        <w:t>darüber hinaus</w:t>
      </w:r>
      <w:r>
        <w:t xml:space="preserve"> kostet, weiß man nicht</w:t>
      </w:r>
      <w:r w:rsidR="003952D7">
        <w:t>, siehe diesen FAZ-Artikel</w:t>
      </w:r>
      <w:r w:rsidR="003952D7">
        <w:rPr>
          <w:rStyle w:val="Funotenzeichen"/>
        </w:rPr>
        <w:footnoteReference w:id="604"/>
      </w:r>
      <w:r w:rsidR="003952D7">
        <w:t>, aus dem auch die weiteren Infos stammen:</w:t>
      </w:r>
      <w:r>
        <w:t xml:space="preserve"> Für Privathaushalte hat Frankreich den Preis nun auf 20,16 Cent gesenkt, 18 % </w:t>
      </w:r>
      <w:proofErr w:type="gramStart"/>
      <w:r>
        <w:t>seines Strom</w:t>
      </w:r>
      <w:proofErr w:type="gramEnd"/>
      <w:r>
        <w:t xml:space="preserve"> hat Frankreich nach Deutschland exportiert, insgesamt hat Frankreich mit dem Stromexport 5 Mrd. Euro verdient. Im Jahr 2024 hat Frankreich (nach seinem Verlust von 17,9 Mrd. 2023) nun einen Gewinn von 11,4 Mrd. erzielt (nach Zinsen und Steuern).</w:t>
      </w:r>
      <w:r w:rsidR="00525BB3">
        <w:t xml:space="preserve"> In Frankreich ist aber nicht alles ideal, bisher ist unklar, wie mindestens 6 neue Atomkraftwerke finanziert werden können.</w:t>
      </w:r>
      <w:r w:rsidR="00525BB3">
        <w:rPr>
          <w:rStyle w:val="Funotenzeichen"/>
        </w:rPr>
        <w:footnoteReference w:id="605"/>
      </w:r>
      <w:r>
        <w:t xml:space="preserve"> </w:t>
      </w:r>
    </w:p>
    <w:p w14:paraId="5FEA360B" w14:textId="4CAE9DFD" w:rsidR="00590A85" w:rsidRDefault="00467A19" w:rsidP="00112190">
      <w:r>
        <w:t xml:space="preserve"> </w:t>
      </w:r>
    </w:p>
    <w:p w14:paraId="7D4277E1" w14:textId="7E2BE8C8" w:rsidR="00FC2C84" w:rsidRDefault="00221EB5" w:rsidP="00112190">
      <w:r>
        <w:t>In Deutschland gibt es</w:t>
      </w:r>
      <w:r w:rsidR="003952D7">
        <w:t>, wie eben schon erwähnt,</w:t>
      </w:r>
      <w:r>
        <w:t xml:space="preserve"> schon seit längerem für energieintensive Unternehmen eine Strompreiskompensation mit der Begründung, dass auf den Strompreis Kosten für die CO2-Zertifikate des Emissionshandels umgelegt werden, der Strompreis dadurch steigt, und die energieintensive Industrie dadurch von der Abwanderung bedroht ist.</w:t>
      </w:r>
      <w:r>
        <w:rPr>
          <w:rStyle w:val="Funotenzeichen"/>
        </w:rPr>
        <w:footnoteReference w:id="606"/>
      </w:r>
      <w:r>
        <w:t xml:space="preserve"> </w:t>
      </w:r>
      <w:r w:rsidR="00203593">
        <w:t>Die Industrie</w:t>
      </w:r>
      <w:r>
        <w:t xml:space="preserve">, die eine </w:t>
      </w:r>
      <w:r w:rsidR="00203593">
        <w:t xml:space="preserve">Strompreiskompensation </w:t>
      </w:r>
      <w:r>
        <w:t xml:space="preserve">erhalten hat, </w:t>
      </w:r>
      <w:r w:rsidR="00203593">
        <w:t>hatte aber 2019 wohl nur Kosten von 3,9 Cent/kWh, während er von 2023 bis 2024 nur von 12,4 auf 8,6 Cent/kWh gesunken ist.</w:t>
      </w:r>
      <w:r w:rsidR="00203593" w:rsidRPr="00203593">
        <w:rPr>
          <w:rStyle w:val="Funotenzeichen"/>
        </w:rPr>
        <w:t xml:space="preserve"> </w:t>
      </w:r>
      <w:r w:rsidR="00203593">
        <w:rPr>
          <w:rStyle w:val="Funotenzeichen"/>
        </w:rPr>
        <w:footnoteReference w:id="607"/>
      </w:r>
      <w:r>
        <w:t xml:space="preserve"> </w:t>
      </w:r>
      <w:r w:rsidR="00FC2C84">
        <w:t xml:space="preserve">Siehe </w:t>
      </w:r>
      <w:r w:rsidR="00C523AF">
        <w:t xml:space="preserve">auch </w:t>
      </w:r>
      <w:r w:rsidR="00FC2C84">
        <w:t xml:space="preserve">die gute Darstellung </w:t>
      </w:r>
      <w:r w:rsidR="00FC2C84">
        <w:lastRenderedPageBreak/>
        <w:t>der Strompreisentwicklung</w:t>
      </w:r>
      <w:r w:rsidR="00C4398E">
        <w:t xml:space="preserve"> für 2024</w:t>
      </w:r>
      <w:r w:rsidR="00FC2C84">
        <w:t xml:space="preserve"> in Agora Energiewende, Stand der Dinge 2024, auf den Seiten 26-28, und S. 31-35, die hier nicht im Detail wiedergegeben werden können.</w:t>
      </w:r>
      <w:r w:rsidR="00FC2C84">
        <w:rPr>
          <w:rStyle w:val="Funotenzeichen"/>
        </w:rPr>
        <w:footnoteReference w:id="608"/>
      </w:r>
    </w:p>
    <w:p w14:paraId="2074813F" w14:textId="77777777" w:rsidR="00FC2C84" w:rsidRDefault="00FC2C84" w:rsidP="00112190"/>
    <w:p w14:paraId="73377EEC" w14:textId="3E746FF6" w:rsidR="000F26E2" w:rsidRDefault="000F26E2" w:rsidP="00112190">
      <w:r>
        <w:t xml:space="preserve">Dies wird bestätigt in der aktuellen BDI Studie Energiewende auf Kurs bringen, März 2025, in der festgehalten wird, dass die gestiegenen Erdgaspreise teils ein Problem sind, u.a. in Industrien, die nur kleinere Abschnitte im Produktionsprozess z.B. einen bestimmten Wärmebedarf, eben über Erdgas laufen lassen. </w:t>
      </w:r>
      <w:r w:rsidR="00743552">
        <w:t xml:space="preserve">Erdgas seit der Grund dafür, dass Produktionskosten energieintensiver Unternehmen teils um 3-6 % über Vorkrisenniveau </w:t>
      </w:r>
      <w:proofErr w:type="gramStart"/>
      <w:r w:rsidR="00743552">
        <w:t>liegt</w:t>
      </w:r>
      <w:proofErr w:type="gramEnd"/>
      <w:r w:rsidR="00743552">
        <w:t xml:space="preserve">. </w:t>
      </w:r>
      <w:r>
        <w:t xml:space="preserve">Strompreise </w:t>
      </w:r>
      <w:r w:rsidR="00743552">
        <w:t xml:space="preserve">seien immerhin wieder auf Vorkrisenniveau angelangt </w:t>
      </w:r>
      <w:r>
        <w:t>und außer für ganz bestimmte Unternehmen (Elektrostahl, Kupfer, Siliziumprodukte – Wacker Chemie … die keine ko</w:t>
      </w:r>
      <w:r w:rsidR="0092210B">
        <w:t xml:space="preserve">nstanten Stromverbrauch haben, </w:t>
      </w:r>
      <w:r>
        <w:t xml:space="preserve">die </w:t>
      </w:r>
      <w:r w:rsidR="0092210B">
        <w:t xml:space="preserve">die </w:t>
      </w:r>
      <w:r>
        <w:t xml:space="preserve">Strompreiskompensation bekommen, aber </w:t>
      </w:r>
      <w:r w:rsidR="0092210B">
        <w:t>nicht von den Übertragungsnetzentgelten ausgenommen sind, die durch gestiegene Redispatch Kosten stark angestiegen seien, dies Firmen würden zur Senkung der Netzentgelte nachts produzieren, hätten dadurch aber höhere Großhandelspreise</w:t>
      </w:r>
      <w:r w:rsidR="0092210B">
        <w:rPr>
          <w:rStyle w:val="Funotenzeichen"/>
        </w:rPr>
        <w:footnoteReference w:id="609"/>
      </w:r>
      <w:r w:rsidR="0092210B">
        <w:t xml:space="preserve"> </w:t>
      </w:r>
      <w:r>
        <w:t xml:space="preserve"> – hier</w:t>
      </w:r>
      <w:r w:rsidR="0092210B">
        <w:t>auf</w:t>
      </w:r>
      <w:r>
        <w:t xml:space="preserve"> könnte die Politik </w:t>
      </w:r>
      <w:r w:rsidR="0092210B">
        <w:t>einmal</w:t>
      </w:r>
      <w:r>
        <w:t xml:space="preserve"> unbürokratisch reagieren </w:t>
      </w:r>
      <w:r w:rsidR="0092210B">
        <w:t xml:space="preserve">… </w:t>
      </w:r>
      <w:r w:rsidR="00743552">
        <w:t>für eine Elektrifizierung der Wärmeversorgung seien die Strompreise zu hoch.</w:t>
      </w:r>
      <w:r w:rsidR="00743552">
        <w:rPr>
          <w:rStyle w:val="Funotenzeichen"/>
        </w:rPr>
        <w:footnoteReference w:id="610"/>
      </w:r>
    </w:p>
    <w:p w14:paraId="18AFF0CE" w14:textId="77777777" w:rsidR="000F26E2" w:rsidRDefault="000F26E2" w:rsidP="00112190"/>
    <w:p w14:paraId="562D27D4" w14:textId="3D33B4FA" w:rsidR="00112190" w:rsidRDefault="00112190" w:rsidP="00112190">
      <w:r>
        <w:t xml:space="preserve">Die Bundesregierung hat auf die Forderungen der Unternehmen nach einem geringeren Strompreis und einem Schutz vor Schwankungen an der europäischen Strombörse, z.B. am 9. November 2023 mit einem Strompreispaket reagiert, welches die Stromsteuer auf das europarechtliche Minimum reduziert. </w:t>
      </w:r>
      <w:r w:rsidR="00D706CE">
        <w:t>Weiterhin sollen d</w:t>
      </w:r>
      <w:r>
        <w:t>ie Übertragungsnetzentgelte stabilisiert werden. Ein Spitzenausgleich, der wohl vorher installiert war und sehr hohe Strompreise auf den europäischen Strombörsen ausgeglichen hat, soll aber wohl auslaufen.</w:t>
      </w:r>
      <w:r>
        <w:rPr>
          <w:rStyle w:val="Funotenzeichen"/>
        </w:rPr>
        <w:footnoteReference w:id="611"/>
      </w:r>
      <w:r>
        <w:t xml:space="preserve"> Für die Wirtschaft wurde die Stromsteuer von 2,00 Cent auf 0,05 Cent abgesenkt.</w:t>
      </w:r>
      <w:r>
        <w:rPr>
          <w:rStyle w:val="Funotenzeichen"/>
        </w:rPr>
        <w:footnoteReference w:id="612"/>
      </w:r>
      <w:r>
        <w:t xml:space="preserve"> Der Forderung nach einem Brückenstrompreis, i.S. eines heruntersubventionierten Strompreises, wurde nicht entsprochen.</w:t>
      </w:r>
      <w:r w:rsidRPr="00B406B0">
        <w:rPr>
          <w:rStyle w:val="Funotenzeichen"/>
        </w:rPr>
        <w:t xml:space="preserve"> </w:t>
      </w:r>
      <w:r>
        <w:rPr>
          <w:rStyle w:val="Funotenzeichen"/>
        </w:rPr>
        <w:footnoteReference w:id="613"/>
      </w:r>
      <w:r>
        <w:t xml:space="preserve"> </w:t>
      </w:r>
      <w:r w:rsidR="00D706CE">
        <w:t xml:space="preserve">Empirische Untersuchungen zeigen, dass im Mittel Stromkosten nur 1,6 % des Umsatzes ausmachen, für das verarbeitende Gewerbe 2,3 %, </w:t>
      </w:r>
      <w:r w:rsidR="00A92951">
        <w:t xml:space="preserve">einige </w:t>
      </w:r>
      <w:r w:rsidR="00D706CE">
        <w:t xml:space="preserve">Firmen </w:t>
      </w:r>
      <w:r w:rsidR="00A92951">
        <w:t xml:space="preserve">haben aber </w:t>
      </w:r>
      <w:r w:rsidR="00D706CE">
        <w:t>deutlich höhere Kosten.</w:t>
      </w:r>
      <w:r w:rsidR="00D706CE">
        <w:rPr>
          <w:rStyle w:val="Funotenzeichen"/>
        </w:rPr>
        <w:footnoteReference w:id="614"/>
      </w:r>
      <w:r w:rsidR="00D706CE">
        <w:t xml:space="preserve"> </w:t>
      </w:r>
      <w:r>
        <w:t xml:space="preserve">  </w:t>
      </w:r>
    </w:p>
    <w:p w14:paraId="39F65EBF" w14:textId="77777777" w:rsidR="00EF4DC4" w:rsidRDefault="00EF4DC4" w:rsidP="00112190"/>
    <w:p w14:paraId="5401C422" w14:textId="6498CCE8" w:rsidR="00794939" w:rsidRDefault="00794939" w:rsidP="00112190">
      <w:bookmarkStart w:id="37" w:name="_Hlk208770537"/>
      <w:r>
        <w:t>Bei den Übertragungsnetzentgelten hatte die Bundesregierung im Jahr 2023 einen Zuschuss aus dem Bundeshaushalt gezahlt, der Zuschuss für 2024 von 5,5 Mrd. Euro war durch das Urteil des BVerfG entfallen, dadurch mussten die Übertragungsnetzbetreiber die Netzentgelte verdoppeln, einen erneuten Zuschuss fordert die Wirtschaft, siehe diesen FAZ-Artikel.</w:t>
      </w:r>
      <w:r>
        <w:rPr>
          <w:rStyle w:val="Funotenzeichen"/>
        </w:rPr>
        <w:footnoteReference w:id="615"/>
      </w:r>
    </w:p>
    <w:bookmarkEnd w:id="37"/>
    <w:p w14:paraId="182C0807" w14:textId="77777777" w:rsidR="00794939" w:rsidRDefault="00794939" w:rsidP="00112190"/>
    <w:p w14:paraId="5AF48CF5" w14:textId="757A0338" w:rsidR="009F3C4F" w:rsidRDefault="009F3C4F" w:rsidP="00112190">
      <w:r>
        <w:t xml:space="preserve">Am 27.03.2024 wird verlautbart, dass eine neue Förderrichtlinie in Kraft getreten ist, bei der Strompreiskompensation, von der 340 stromintensive Unternehmen profitieren, wird der </w:t>
      </w:r>
      <w:r>
        <w:lastRenderedPageBreak/>
        <w:t>Selbstbehalt von 1 GWh weggelassen, davon profitieren kleinere Unternehmen, die ergänzende Beihilfe, der sog. Super-Cap</w:t>
      </w:r>
      <w:r>
        <w:rPr>
          <w:rStyle w:val="Funotenzeichen"/>
        </w:rPr>
        <w:footnoteReference w:id="616"/>
      </w:r>
      <w:r>
        <w:t xml:space="preserve"> unter Aufhebung des Sockelbetrags wird um 5 Jahre verlängert.</w:t>
      </w:r>
      <w:r>
        <w:rPr>
          <w:rStyle w:val="Funotenzeichen"/>
        </w:rPr>
        <w:footnoteReference w:id="617"/>
      </w:r>
    </w:p>
    <w:p w14:paraId="48B87835" w14:textId="77777777" w:rsidR="009F3C4F" w:rsidRDefault="009F3C4F" w:rsidP="00112190"/>
    <w:p w14:paraId="32F69A64" w14:textId="2593ECA9" w:rsidR="00A166C4" w:rsidRDefault="00A166C4" w:rsidP="00112190">
      <w:r>
        <w:t xml:space="preserve">Die CDU/SPD-Koalition haben im Koalitionsvertrag vom 9. April 2025 unter dem Punkt </w:t>
      </w:r>
      <w:r w:rsidR="00527805">
        <w:t>‚</w:t>
      </w:r>
      <w:r>
        <w:t>Energiepreis</w:t>
      </w:r>
      <w:r w:rsidR="00527805">
        <w:t>‘</w:t>
      </w:r>
      <w:r>
        <w:t xml:space="preserve"> beschlossen, die Stromsteuer auf das europäische Mindestmaß zu senken, Umlagen und Netzentgelte zu reduzieren. Netzentgelte sollen dauerhaft gedeckelt werden. Eine Strompreiskompensation soll dauerhaft verlängert und auch weitere Branchen aufgeweitet. Auch Rechenzentren. Weitere energieintensive Firmen sollen mit einem Industriestrompreis entlastet werden. Eine Ga</w:t>
      </w:r>
      <w:r w:rsidR="003952D7">
        <w:t>s</w:t>
      </w:r>
      <w:r>
        <w:t>speicherumlage für alle soll abgeschafft werden.</w:t>
      </w:r>
      <w:r>
        <w:rPr>
          <w:rStyle w:val="Funotenzeichen"/>
        </w:rPr>
        <w:footnoteReference w:id="618"/>
      </w:r>
      <w:r>
        <w:t xml:space="preserve"> </w:t>
      </w:r>
      <w:r w:rsidR="000C2467">
        <w:t>(die Stromsteuer hat 2023 für 6,6 Mrd. Einnahmen geführt</w:t>
      </w:r>
      <w:r w:rsidR="000C2467">
        <w:rPr>
          <w:rStyle w:val="Funotenzeichen"/>
        </w:rPr>
        <w:footnoteReference w:id="619"/>
      </w:r>
      <w:r w:rsidR="000C2467">
        <w:t>)</w:t>
      </w:r>
    </w:p>
    <w:p w14:paraId="0E7314BD" w14:textId="77777777" w:rsidR="00A166C4" w:rsidRDefault="00A166C4" w:rsidP="00112190"/>
    <w:p w14:paraId="4DE1F96B" w14:textId="7C5EA06B" w:rsidR="009C6B5B" w:rsidRDefault="009C6B5B" w:rsidP="00112190">
      <w:r>
        <w:t>Die Stromsteuer wegfallen zu lassen würde 5,9 Mrd. kosten, die Vergünstigungen für die Industrie kosten für 3,9 Mrd.</w:t>
      </w:r>
      <w:r>
        <w:rPr>
          <w:rStyle w:val="Funotenzeichen"/>
        </w:rPr>
        <w:footnoteReference w:id="620"/>
      </w:r>
    </w:p>
    <w:p w14:paraId="00EF4D3B" w14:textId="77777777" w:rsidR="009C6B5B" w:rsidRDefault="009C6B5B" w:rsidP="00112190"/>
    <w:p w14:paraId="163EFA5F" w14:textId="14EBB574" w:rsidR="005557BC" w:rsidRDefault="00F80BDB" w:rsidP="005557BC">
      <w:r>
        <w:t xml:space="preserve">Ein Vergleich mit </w:t>
      </w:r>
      <w:r w:rsidR="002733AB">
        <w:t xml:space="preserve">den </w:t>
      </w:r>
      <w:r w:rsidR="005557BC">
        <w:t>Strompreise</w:t>
      </w:r>
      <w:r w:rsidR="002733AB">
        <w:t>n</w:t>
      </w:r>
      <w:r w:rsidR="005557BC">
        <w:t xml:space="preserve"> in China macht aus meiner Sicht k</w:t>
      </w:r>
      <w:r>
        <w:t>einen</w:t>
      </w:r>
      <w:r w:rsidR="005557BC">
        <w:t xml:space="preserve"> Sinn. Es gibt </w:t>
      </w:r>
      <w:r>
        <w:t xml:space="preserve">zwar </w:t>
      </w:r>
      <w:r w:rsidR="005557BC">
        <w:t xml:space="preserve">Statistiken, aber letztlich sind die energieintensiven Verbraucher in der Lage Sonderpreise durchzusetzen, </w:t>
      </w:r>
      <w:r w:rsidR="00245DDD">
        <w:t>über die</w:t>
      </w:r>
      <w:r>
        <w:t xml:space="preserve"> keine öffentlichen Informationen verfügbar </w:t>
      </w:r>
      <w:r w:rsidR="005557BC">
        <w:t xml:space="preserve">sind.  </w:t>
      </w:r>
    </w:p>
    <w:p w14:paraId="0917CA75" w14:textId="77777777" w:rsidR="005557BC" w:rsidRDefault="005557BC" w:rsidP="005557BC"/>
    <w:p w14:paraId="1BA6FDF9" w14:textId="003CE1F4" w:rsidR="007D72F9" w:rsidRDefault="005557BC" w:rsidP="005557BC">
      <w:r w:rsidRPr="00D87501">
        <w:t>Strompreise Indien: die National Thermal Power Corporation, indischer Energieversorger mi</w:t>
      </w:r>
      <w:r>
        <w:t>t 14 Kohlekraftwerken mit 21395 MW und 7 Gas- und Ölkraftwerken mit 3955 MW, verlangt einen Kohlestrompreis von 3,20 Rupien, das sind 0,04 Euro pro Kilowattstunde.</w:t>
      </w:r>
      <w:r>
        <w:rPr>
          <w:rStyle w:val="Funotenzeichen"/>
        </w:rPr>
        <w:footnoteReference w:id="621"/>
      </w:r>
      <w:r>
        <w:t xml:space="preserve">  Indien ist aber dennoch kein Paradies für energieintensive Unternehmen, es hat zu</w:t>
      </w:r>
      <w:r w:rsidR="00F80BDB">
        <w:t xml:space="preserve"> </w:t>
      </w:r>
      <w:r>
        <w:t>wenig Kraftwerkskapazitäten.</w:t>
      </w:r>
      <w:r w:rsidR="00BB2662">
        <w:rPr>
          <w:rStyle w:val="Funotenzeichen"/>
        </w:rPr>
        <w:footnoteReference w:id="622"/>
      </w:r>
      <w:r>
        <w:t xml:space="preserve"> </w:t>
      </w:r>
    </w:p>
    <w:p w14:paraId="07139B71" w14:textId="77777777" w:rsidR="005557BC" w:rsidRDefault="005557BC" w:rsidP="00112190"/>
    <w:p w14:paraId="30F08C6D" w14:textId="13497174" w:rsidR="00112190" w:rsidRDefault="00112190" w:rsidP="00112190">
      <w:r>
        <w:t>Mittelständische und energieintensive Firmen haben sich seit 2013 zu einem Bündnis Faire Energiewende zusammengeschlossen, um ihre Interessen besser vertreten zu können.</w:t>
      </w:r>
      <w:r>
        <w:rPr>
          <w:rStyle w:val="Funotenzeichen"/>
        </w:rPr>
        <w:footnoteReference w:id="623"/>
      </w:r>
      <w:r>
        <w:t xml:space="preserve"> Das Bündnis Faire Energiewende stellt fest, dass die Energiewende nicht funktioniert, solange es noch nicht ausreichend grüne Energie zu bezahlbaren Preisen gibt“.</w:t>
      </w:r>
      <w:r>
        <w:rPr>
          <w:rStyle w:val="Funotenzeichen"/>
        </w:rPr>
        <w:footnoteReference w:id="624"/>
      </w:r>
      <w:r>
        <w:t xml:space="preserve"> Es beklagt zu hohe Energiekosten, darunter Stromkosten, in Deutschland.</w:t>
      </w:r>
      <w:r w:rsidRPr="0004041F">
        <w:rPr>
          <w:rStyle w:val="Funotenzeichen"/>
        </w:rPr>
        <w:t xml:space="preserve"> </w:t>
      </w:r>
      <w:r>
        <w:rPr>
          <w:rStyle w:val="Funotenzeichen"/>
        </w:rPr>
        <w:footnoteReference w:id="625"/>
      </w:r>
      <w:r>
        <w:t xml:space="preserve"> Ein weiterer Zusammenschluss ist die Stiftung </w:t>
      </w:r>
      <w:proofErr w:type="spellStart"/>
      <w:r>
        <w:t>KlimaWirtschaft</w:t>
      </w:r>
      <w:proofErr w:type="spellEnd"/>
      <w:r>
        <w:t>, sie hat eine positive Grundhaltung zu einer Transformation der Wirtschaft.</w:t>
      </w:r>
      <w:r>
        <w:rPr>
          <w:rStyle w:val="Funotenzeichen"/>
        </w:rPr>
        <w:footnoteReference w:id="626"/>
      </w:r>
      <w:r>
        <w:t xml:space="preserve"> Siehe </w:t>
      </w:r>
      <w:r>
        <w:lastRenderedPageBreak/>
        <w:t>zudem die Webseiten des BDI</w:t>
      </w:r>
      <w:r>
        <w:rPr>
          <w:rStyle w:val="Funotenzeichen"/>
        </w:rPr>
        <w:footnoteReference w:id="627"/>
      </w:r>
      <w:r>
        <w:t xml:space="preserve"> und der DIHK</w:t>
      </w:r>
      <w:r>
        <w:rPr>
          <w:rStyle w:val="Funotenzeichen"/>
        </w:rPr>
        <w:footnoteReference w:id="628"/>
      </w:r>
      <w:r>
        <w:t xml:space="preserve"> und auf europäischer Ebene der </w:t>
      </w:r>
      <w:proofErr w:type="spellStart"/>
      <w:r>
        <w:t>Association</w:t>
      </w:r>
      <w:proofErr w:type="spellEnd"/>
      <w:r>
        <w:t xml:space="preserve"> </w:t>
      </w:r>
      <w:proofErr w:type="spellStart"/>
      <w:r>
        <w:t>of</w:t>
      </w:r>
      <w:proofErr w:type="spellEnd"/>
      <w:r>
        <w:t xml:space="preserve"> European Chamber </w:t>
      </w:r>
      <w:proofErr w:type="spellStart"/>
      <w:r>
        <w:t>of</w:t>
      </w:r>
      <w:proofErr w:type="spellEnd"/>
      <w:r>
        <w:t xml:space="preserve"> Commerce and Industry bzw. Euro </w:t>
      </w:r>
      <w:proofErr w:type="spellStart"/>
      <w:r>
        <w:t>Chambres</w:t>
      </w:r>
      <w:proofErr w:type="spellEnd"/>
      <w:r>
        <w:t>.</w:t>
      </w:r>
      <w:r>
        <w:rPr>
          <w:rStyle w:val="Funotenzeichen"/>
        </w:rPr>
        <w:footnoteReference w:id="629"/>
      </w:r>
      <w:r>
        <w:t xml:space="preserve"> </w:t>
      </w:r>
    </w:p>
    <w:p w14:paraId="17480046" w14:textId="77777777" w:rsidR="00112190" w:rsidRDefault="00112190" w:rsidP="00112190"/>
    <w:p w14:paraId="0C3627EB" w14:textId="77777777" w:rsidR="003952D7" w:rsidRPr="00D87501" w:rsidRDefault="003952D7" w:rsidP="003952D7">
      <w:r>
        <w:t>Die deutsche Chemieindustrie wünscht sich trotz alledem einem Strompreis von 4 Cent pro Kilowattstunde, obwohl nicht nur die Elektrolyseure für den Wasserstoff, sondern auch die erneuerbaren Energien, die den Strom für die Elektrolyseure und die elektrische Hitzeerzeugung herstellen sollen, erst gebaut werden müssen.</w:t>
      </w:r>
      <w:r>
        <w:rPr>
          <w:rStyle w:val="Funotenzeichen"/>
        </w:rPr>
        <w:footnoteReference w:id="630"/>
      </w:r>
    </w:p>
    <w:p w14:paraId="50273C03" w14:textId="77777777" w:rsidR="003952D7" w:rsidRDefault="003952D7" w:rsidP="00112190"/>
    <w:tbl>
      <w:tblPr>
        <w:tblStyle w:val="Tabellenraster"/>
        <w:tblW w:w="0" w:type="auto"/>
        <w:tblLook w:val="04A0" w:firstRow="1" w:lastRow="0" w:firstColumn="1" w:lastColumn="0" w:noHBand="0" w:noVBand="1"/>
      </w:tblPr>
      <w:tblGrid>
        <w:gridCol w:w="9062"/>
      </w:tblGrid>
      <w:tr w:rsidR="007B6CDD" w14:paraId="75DFC91C" w14:textId="77777777">
        <w:tc>
          <w:tcPr>
            <w:tcW w:w="9062" w:type="dxa"/>
          </w:tcPr>
          <w:p w14:paraId="1536E444" w14:textId="611B65C5" w:rsidR="007B6CDD" w:rsidRDefault="007B6CDD" w:rsidP="00112190">
            <w:r>
              <w:t xml:space="preserve">Die neue Bundesregierung </w:t>
            </w:r>
            <w:r w:rsidR="00C16D9B">
              <w:t xml:space="preserve">mit Bundeswirtschaftsministerin </w:t>
            </w:r>
            <w:r>
              <w:t xml:space="preserve">Katherina Reiche </w:t>
            </w:r>
            <w:r w:rsidR="00C16D9B">
              <w:t xml:space="preserve">(CDU), will </w:t>
            </w:r>
            <w:r w:rsidR="00307412">
              <w:t xml:space="preserve">den Strompreis für Unternehmen und Verbraucher um 5 Cent senken, die Stromsteuer senken, die </w:t>
            </w:r>
            <w:r w:rsidR="00C16D9B">
              <w:t>Strompreiskompensation für Unternehmen ausweiten</w:t>
            </w:r>
            <w:r w:rsidR="00307412">
              <w:t>, auch für Rechenzentren, für besondere Fälle in der Industrie soll ein Industriestrompreis eingeführt werden</w:t>
            </w:r>
            <w:r w:rsidR="00C16D9B">
              <w:t xml:space="preserve">, </w:t>
            </w:r>
            <w:r w:rsidR="00307412">
              <w:t>siehe Koalitionsvertrag ‚Energiepreise‘</w:t>
            </w:r>
            <w:r w:rsidR="00307412">
              <w:rPr>
                <w:rStyle w:val="Funotenzeichen"/>
              </w:rPr>
              <w:footnoteReference w:id="631"/>
            </w:r>
            <w:r w:rsidR="00307412">
              <w:t xml:space="preserve">, siehe auch diesen </w:t>
            </w:r>
            <w:r w:rsidR="00C16D9B">
              <w:t>FAZ-Artikel.</w:t>
            </w:r>
            <w:r w:rsidR="00C16D9B">
              <w:rPr>
                <w:rStyle w:val="Funotenzeichen"/>
              </w:rPr>
              <w:footnoteReference w:id="632"/>
            </w:r>
            <w:r w:rsidR="00C16D9B">
              <w:t xml:space="preserve"> </w:t>
            </w:r>
          </w:p>
        </w:tc>
      </w:tr>
    </w:tbl>
    <w:p w14:paraId="62713193" w14:textId="77777777" w:rsidR="007B6CDD" w:rsidRDefault="007B6CDD" w:rsidP="00112190"/>
    <w:p w14:paraId="403F4CA1" w14:textId="7BCCC29B" w:rsidR="00112190" w:rsidRDefault="003952D7" w:rsidP="00112190">
      <w:r>
        <w:t>Damit</w:t>
      </w:r>
      <w:r w:rsidR="00112190">
        <w:t xml:space="preserve"> stellt sich natürlich die Frage nach dem Funktionieren </w:t>
      </w:r>
      <w:r>
        <w:t>des EEG-Gesetzes, dass den ganzen Aufbau der erneuerbaren Energien in Deutschland lenk</w:t>
      </w:r>
      <w:r w:rsidR="00A41BB6">
        <w:t xml:space="preserve">t, den anderen Komponenten des Strompreises </w:t>
      </w:r>
      <w:r>
        <w:t xml:space="preserve">und </w:t>
      </w:r>
      <w:r w:rsidR="00112190">
        <w:t>des Strommarktes in Deutschland und Europa generell</w:t>
      </w:r>
      <w:r>
        <w:t>:</w:t>
      </w:r>
    </w:p>
    <w:p w14:paraId="0E53D6AD" w14:textId="77777777" w:rsidR="004A1020" w:rsidRDefault="004A1020" w:rsidP="00112190"/>
    <w:p w14:paraId="365A046B" w14:textId="3C0C6293" w:rsidR="00112190" w:rsidRDefault="00112190" w:rsidP="00112190">
      <w:r>
        <w:t xml:space="preserve">Der Strompreis </w:t>
      </w:r>
      <w:r w:rsidR="00DB6931">
        <w:t xml:space="preserve">setzt sich </w:t>
      </w:r>
      <w:r>
        <w:t>aus Sicht der Haushalte aus mehreren Komponenten zusammen</w:t>
      </w:r>
      <w:r w:rsidR="00DB6931">
        <w:t>. H</w:t>
      </w:r>
      <w:r>
        <w:t>ier haben sich mehrere Änderungen ergeben, dass sieht man schon daran, dass für 2023 Kosten für das EEG nicht mehr enthalten sind, siehe weiter unten, dies sind 2023: 41 % für Kosten der Energiebeschaffung (der Preis für die Produktion von Strom in den Kraftwerken … als eine Basis für den Preis für den Strom auf dem Strommarkt), dann 12 % Vertrieb/Marge, der Profit der Stadtwerke, 4 % Konzessionskosten, die an die Kommune abgeführt werden, 4,5 % Stromsteuer an den Staat, 16 % Mehrwertsteuer, 3 % sonstige Umlagen und 20 % Netzentgelte</w:t>
      </w:r>
      <w:r>
        <w:rPr>
          <w:rStyle w:val="Funotenzeichen"/>
        </w:rPr>
        <w:footnoteReference w:id="633"/>
      </w:r>
      <w:r>
        <w:t>, womit den Netzbetreibern (Übertragungsnetzbetreiber und Verteilnetzbetreiber) der Betrieb, sonstige Kosten, auch die Redispatch-Kosten und eben auch der Ausbau der Stromnetze bezahlt werden soll</w:t>
      </w:r>
      <w:r w:rsidR="00DE07D4">
        <w:t>.</w:t>
      </w:r>
      <w:r>
        <w:t xml:space="preserve"> Beim Thema Netzentgelte wird deutlich, welche große Rolle der Bundesnetzagentur zukommt, die etwa die Netzentgelte und Verteilernetzgebühren festlegt und damit die Höhe des Strompreises mit beeinflusst, siehe weiter unten beim Thema Netzausbau. Zu den Netzentgelten gehören eine ganze Reihe von Kosten, darunter auch </w:t>
      </w:r>
      <w:r w:rsidR="0081232C">
        <w:t xml:space="preserve">Redispatch-Kosten, darunter </w:t>
      </w:r>
      <w:r>
        <w:t xml:space="preserve">die Kosten zur Vorhaltung von Netzreservekraftwerken </w:t>
      </w:r>
      <w:r w:rsidR="0081232C">
        <w:t>und Kapazitätsreserveanlagen</w:t>
      </w:r>
      <w:r>
        <w:rPr>
          <w:rStyle w:val="Funotenzeichen"/>
        </w:rPr>
        <w:footnoteReference w:id="634"/>
      </w:r>
      <w:r>
        <w:t xml:space="preserve">, zu denen es eine eigene Webseite bei der </w:t>
      </w:r>
      <w:r>
        <w:lastRenderedPageBreak/>
        <w:t>Bundesnetzagentur gibt, mit dem Titel ‚Netzengpassmanagement‘.</w:t>
      </w:r>
      <w:r>
        <w:rPr>
          <w:rStyle w:val="Funotenzeichen"/>
        </w:rPr>
        <w:footnoteReference w:id="635"/>
      </w:r>
      <w:r w:rsidR="0094316B">
        <w:t xml:space="preserve"> Dazu weiter unten mehr</w:t>
      </w:r>
      <w:r w:rsidR="00F7643F">
        <w:t xml:space="preserve"> beim Thema Netzausbau</w:t>
      </w:r>
      <w:r w:rsidR="0094316B">
        <w:t xml:space="preserve">. </w:t>
      </w:r>
    </w:p>
    <w:p w14:paraId="595F4A07" w14:textId="77777777" w:rsidR="00515485" w:rsidRDefault="00515485" w:rsidP="00112190"/>
    <w:p w14:paraId="5C071376" w14:textId="77777777" w:rsidR="00112190" w:rsidRDefault="00112190" w:rsidP="00112190">
      <w:r>
        <w:t>Nach einem Urteil des EuGH soll die Bundesnetzagentur unabhängiger von der Politik agieren, wie andere Netzagenturen in Europa auch.</w:t>
      </w:r>
      <w:r>
        <w:rPr>
          <w:rStyle w:val="Funotenzeichen"/>
        </w:rPr>
        <w:footnoteReference w:id="636"/>
      </w:r>
      <w:r>
        <w:t xml:space="preserve"> Die Bundesnetzagentur ist aber darauf bedacht, sich mit allen Akteuren in Ruhe abzusprechen.</w:t>
      </w:r>
      <w:r>
        <w:rPr>
          <w:rStyle w:val="Funotenzeichen"/>
        </w:rPr>
        <w:footnoteReference w:id="637"/>
      </w:r>
      <w:r>
        <w:t xml:space="preserve"> </w:t>
      </w:r>
    </w:p>
    <w:p w14:paraId="4E2F2709" w14:textId="77777777" w:rsidR="00515485" w:rsidRDefault="00515485" w:rsidP="00112190"/>
    <w:p w14:paraId="53E3A8C7" w14:textId="1678286A" w:rsidR="00194F62" w:rsidRDefault="00112190" w:rsidP="00112190">
      <w:r w:rsidRPr="00F201EB">
        <w:rPr>
          <w:u w:val="single"/>
        </w:rPr>
        <w:t>Das Erneuerbare Energien Gesetz (EEG)</w:t>
      </w:r>
      <w:r w:rsidR="0051556B">
        <w:rPr>
          <w:rStyle w:val="Funotenzeichen"/>
        </w:rPr>
        <w:footnoteReference w:id="638"/>
      </w:r>
      <w:r>
        <w:t xml:space="preserve"> ist das wichtigste Steuerungsinstrument für den Aufbau erneuerbarer Energien</w:t>
      </w:r>
      <w:r w:rsidR="00CE7639">
        <w:t>, es regelt und gibt finanzielle Anreize für den Aufbau erneuerbarer Energien in Deutschland</w:t>
      </w:r>
      <w:r>
        <w:t>.</w:t>
      </w:r>
      <w:r>
        <w:rPr>
          <w:rStyle w:val="Funotenzeichen"/>
        </w:rPr>
        <w:footnoteReference w:id="639"/>
      </w:r>
      <w:r>
        <w:t xml:space="preserve"> </w:t>
      </w:r>
      <w:r w:rsidRPr="002372B7">
        <w:t>D</w:t>
      </w:r>
      <w:r>
        <w:t>ie Geschichte des EEG ist</w:t>
      </w:r>
      <w:r w:rsidRPr="002372B7">
        <w:t xml:space="preserve"> komplex</w:t>
      </w:r>
      <w:r>
        <w:t>, da es oft geändert wurde</w:t>
      </w:r>
      <w:r w:rsidRPr="002372B7">
        <w:t xml:space="preserve">, </w:t>
      </w:r>
      <w:r>
        <w:t xml:space="preserve">dazu kamen </w:t>
      </w:r>
      <w:r w:rsidRPr="002372B7">
        <w:t>Rechtsstreitigkeiten in Deutschland und auf EU Ebene</w:t>
      </w:r>
      <w:r w:rsidR="00690C6C">
        <w:t>, deshalb ist der Wikipedia Eintrag zum EEG 87 Seiten lang</w:t>
      </w:r>
      <w:r>
        <w:rPr>
          <w:rStyle w:val="Funotenzeichen"/>
        </w:rPr>
        <w:footnoteReference w:id="640"/>
      </w:r>
      <w:r w:rsidR="00690C6C">
        <w:t>, der rechtswissenschaftliche Berliner Kommentar</w:t>
      </w:r>
      <w:r>
        <w:t xml:space="preserve"> </w:t>
      </w:r>
      <w:r w:rsidR="00690C6C">
        <w:t>zum Energierecht, Bd. 8, EEG – Erneuerbare Energien Gesetz 2021 – Windenergie-auf-See-Gesetz, von Säcker/Steffens</w:t>
      </w:r>
      <w:r w:rsidR="003C0380">
        <w:t xml:space="preserve"> (2022)</w:t>
      </w:r>
      <w:r w:rsidR="00690C6C">
        <w:t>, ist 3132 Seiten lang.</w:t>
      </w:r>
      <w:r w:rsidR="00690C6C">
        <w:rPr>
          <w:rStyle w:val="Funotenzeichen"/>
        </w:rPr>
        <w:footnoteReference w:id="641"/>
      </w:r>
      <w:r w:rsidR="00690C6C">
        <w:t xml:space="preserve"> </w:t>
      </w:r>
    </w:p>
    <w:p w14:paraId="18FDE139" w14:textId="77777777" w:rsidR="00194F62" w:rsidRDefault="00194F62" w:rsidP="00112190"/>
    <w:p w14:paraId="14A10566" w14:textId="3F8CA823" w:rsidR="00112190" w:rsidRDefault="00112190" w:rsidP="00112190">
      <w:r>
        <w:t>Der folgende Abschnitt paraphrasiert die gute Darstellung i</w:t>
      </w:r>
      <w:r w:rsidR="00194F62">
        <w:t>m BMWK Monitoringbericht</w:t>
      </w:r>
      <w:r>
        <w:t xml:space="preserve"> ‚Energie der Zukunft‘</w:t>
      </w:r>
      <w:r>
        <w:rPr>
          <w:rStyle w:val="Funotenzeichen"/>
        </w:rPr>
        <w:footnoteReference w:id="642"/>
      </w:r>
      <w:r>
        <w:t xml:space="preserve">: Das </w:t>
      </w:r>
      <w:proofErr w:type="gramStart"/>
      <w:r>
        <w:t>EEG Gesetz</w:t>
      </w:r>
      <w:proofErr w:type="gramEnd"/>
      <w:r>
        <w:t xml:space="preserve"> hat zuerst einmal durch eine Einspeisevergütung bzw. Umlage funktioniert, die seit 2014 Jahren ungefähr bei 6 Cent pro kWh liegt (zuvor, 2010 bei nur 2,05 Cent). Diese Umlage ist, in vielen Fällen, 20 Jahre gültig. Weil die erneuerbaren Energien ausgebaut wurden, stieg die Einspeisevergütung an, sie lag 2019 bei 16,3 Mrd. Euro. Sie gilt für Offshore- und Landwind und Solar, Wasserkraft, Geothermie und Biomasse. Die Einspeisevergütung wurde bis Juli 2022 auf den Strompreis umgelegt, sodass die Verbraucher sie gezahlt haben. Das EEG hat weiterhin durch Ausschreibungen den Ausbau der erneuerbaren Energien beschleunigt bzw. gesteuert. Seit EEG 2017 gibt es wettbewerbliche Ausschreibungen, bei denen man einen Zuschlag mit dem kostengünstigsten Angebot bekommen, z.B. wenn ich sage, ich möchte nur 3 Cent pro KWh EEG Umlage für meine Investition, dann erhalte ich eine Fläche, wenn niemand weniger bietet. Dies hat zu einem Bieterwettbewerb geführt. Dieser war allerdings unterschiedlich stark ausgeprägt. Im Jahr 2018 sollten im Bereich Landwind Bürgerenergiegesellschaften </w:t>
      </w:r>
      <w:proofErr w:type="spellStart"/>
      <w:r>
        <w:t>priviligiert</w:t>
      </w:r>
      <w:proofErr w:type="spellEnd"/>
      <w:r>
        <w:t xml:space="preserve"> werden, auch bei noch nicht genehmigten Projekten. Da aber offenkundig niemand daran Interesse hatte, nutzen dies nur große Consultant Firmen ohne lokalen Bezug und deren Projekte wurden nicht gebaut. Diese Möglichkeit wurde deshalb 2020 wieder abgeschafft. Dies führte zu 2019 zu einem Einbruch im Ausbau von Landwind. Wasserkraft, Geothermie und kleine und mittlere Solaranlagen erhielten weiter die feste, maximale Umlage. Um den Ausbau erneuerbarer Energien zu erhöhen, wurden in den letzten Jahren </w:t>
      </w:r>
      <w:r>
        <w:lastRenderedPageBreak/>
        <w:t>viel mehr Flächen bereitstellt. Das EEG arbeitet z.B. mit dem Wind See Gesetz zusammen, welches 2017 ein zentrales System von voruntersuchten und nicht voruntersuchten, staatlich bereitgestellten, Flächen etabliert hat, die im Rahmen des EEG von der Bundesnetzagentur in Bonn versteigert werden.</w:t>
      </w:r>
      <w:r w:rsidRPr="00035A5C">
        <w:rPr>
          <w:rStyle w:val="Funotenzeichen"/>
        </w:rPr>
        <w:t xml:space="preserve"> </w:t>
      </w:r>
      <w:r>
        <w:t xml:space="preserve"> Die Einführung der Versteigerungen hat zumindest dazu geführt, dass die Umlage insgesamt gesehen ganz leicht abgesunken ist, siehe die Tabellen auf S. 61. Es wird gehofft, dass dieser Trend sich in Zukunft fortsetzt</w:t>
      </w:r>
      <w:r>
        <w:rPr>
          <w:rStyle w:val="Funotenzeichen"/>
        </w:rPr>
        <w:footnoteReference w:id="643"/>
      </w:r>
      <w:r>
        <w:t xml:space="preserve">, allerdings soll der Ausbau absolut gesehen stark steigen, somit auch die </w:t>
      </w:r>
      <w:proofErr w:type="gramStart"/>
      <w:r>
        <w:t>EEG Umlage</w:t>
      </w:r>
      <w:proofErr w:type="gramEnd"/>
      <w:r>
        <w:t xml:space="preserve">, die ab Juli 2022 der Staat trägt, siehe dazu weiter unten das neue EEG 2023 Gesetz.  </w:t>
      </w:r>
    </w:p>
    <w:p w14:paraId="0058DBD9" w14:textId="77777777" w:rsidR="00112190" w:rsidRDefault="00112190" w:rsidP="00112190"/>
    <w:p w14:paraId="6BF6B360" w14:textId="77777777" w:rsidR="00112190" w:rsidRDefault="00112190" w:rsidP="00112190">
      <w:r>
        <w:t xml:space="preserve">Die Bundesnetzagentur führt somit die Ausschreibungen durch und nimmt teils Geld bei den Versteigerungen der Nutzungsrechte ein, aufgeteilt in: Solar Freifläche, Solar </w:t>
      </w:r>
      <w:proofErr w:type="spellStart"/>
      <w:r>
        <w:t>Aufdach</w:t>
      </w:r>
      <w:proofErr w:type="spellEnd"/>
      <w:r>
        <w:t xml:space="preserve">, Wind </w:t>
      </w:r>
      <w:proofErr w:type="spellStart"/>
      <w:r>
        <w:t>Onshore</w:t>
      </w:r>
      <w:proofErr w:type="spellEnd"/>
      <w:r>
        <w:t>, KWK-Anlagen, Biomasse, Biomethan, Innovationsausschreibung, Wind Offshore.</w:t>
      </w:r>
      <w:r>
        <w:rPr>
          <w:rStyle w:val="Funotenzeichen"/>
        </w:rPr>
        <w:footnoteReference w:id="644"/>
      </w:r>
      <w:r>
        <w:t xml:space="preserve"> Nur dann profitieren die Investoren von einer Förderung der Projekte über das EEG.</w:t>
      </w:r>
      <w:r>
        <w:rPr>
          <w:rStyle w:val="Funotenzeichen"/>
        </w:rPr>
        <w:footnoteReference w:id="645"/>
      </w:r>
      <w:r>
        <w:t xml:space="preserve"> Aus diesem Grund weiß die Bundesnetzagentur auch genau über den Ausbau der erneuerbaren Energien Bescheid und verfügt über genaue Daten über die Leistung und Jahresleistung in GWh, besonders im Bereich Windkraft, dazu und zu diesen Abschnitt siehe die Webseite der Bundesnetzagentur.</w:t>
      </w:r>
      <w:r>
        <w:rPr>
          <w:rStyle w:val="Funotenzeichen"/>
        </w:rPr>
        <w:footnoteReference w:id="646"/>
      </w:r>
      <w:r>
        <w:t xml:space="preserve"> </w:t>
      </w:r>
    </w:p>
    <w:p w14:paraId="724C55C5" w14:textId="77777777" w:rsidR="00112190" w:rsidRDefault="00112190" w:rsidP="00112190"/>
    <w:p w14:paraId="7583645E" w14:textId="3DD348EE" w:rsidR="00112190" w:rsidRDefault="00112190" w:rsidP="00112190">
      <w:r>
        <w:t xml:space="preserve">Für die Windparks in den ausgeschriebenen Flächen erhalten die Betreiber somit eine Vergütung in Form eines künstlich erhöhten Strompreises, nach § 50 EEG. Die 1467 Offshore Windkraftanlagen bekommen von der Bundesnetzagentur z.B. 3,7 Mrd. Euro jährlich ausgeschüttet, dies sind nach Bierdeckelrechnung 2,5 Mill. Euro pro Anlage und immerhin 50 Mill. </w:t>
      </w:r>
      <w:r w:rsidR="00B70BA5">
        <w:t xml:space="preserve">pro Anlage </w:t>
      </w:r>
      <w:r>
        <w:t>über eine Laufzeit von 20 Jahren</w:t>
      </w:r>
      <w:r w:rsidR="00B70BA5">
        <w:t xml:space="preserve"> und insgesamt 3,7 Mrd. mal 20 Jahre: 74 Mrd.</w:t>
      </w:r>
      <w:r>
        <w:rPr>
          <w:rStyle w:val="Funotenzeichen"/>
        </w:rPr>
        <w:footnoteReference w:id="647"/>
      </w:r>
    </w:p>
    <w:p w14:paraId="4CAE6973" w14:textId="77777777" w:rsidR="00112190" w:rsidRDefault="00112190" w:rsidP="00112190"/>
    <w:p w14:paraId="5A1051FE" w14:textId="77777777" w:rsidR="00112190" w:rsidRDefault="00112190" w:rsidP="00112190">
      <w:r>
        <w:t xml:space="preserve">Es ist aber auch möglich in Deutschland erneuerbare Energien aufzubauen, ohne an einer Ausschreibung teilzunehmen. Besonders viel ist im Photovoltaik-Bereich frei aufgebaut worden, geschätzt werden z.B. für Solaranlagen 2,2 GW bis zum Jahr 2023, hierfür liegen keine genauen Zahlen vor, siehe </w:t>
      </w:r>
      <w:r w:rsidRPr="009744FA">
        <w:t xml:space="preserve">Styles et al. </w:t>
      </w:r>
      <w:r>
        <w:t>(</w:t>
      </w:r>
      <w:r w:rsidRPr="009744FA">
        <w:t>2023</w:t>
      </w:r>
      <w:r>
        <w:t>).</w:t>
      </w:r>
      <w:r>
        <w:rPr>
          <w:rStyle w:val="Funotenzeichen"/>
        </w:rPr>
        <w:footnoteReference w:id="648"/>
      </w:r>
      <w:r>
        <w:t xml:space="preserve"> </w:t>
      </w:r>
    </w:p>
    <w:p w14:paraId="3F2668B9" w14:textId="77777777" w:rsidR="00112190" w:rsidRDefault="00112190" w:rsidP="00112190"/>
    <w:p w14:paraId="3F8C46D1" w14:textId="2AF1A6AA" w:rsidR="00112190" w:rsidRDefault="00112190" w:rsidP="00112190">
      <w:r>
        <w:t xml:space="preserve">Landwind </w:t>
      </w:r>
      <w:r w:rsidR="0094316B">
        <w:t xml:space="preserve">steht </w:t>
      </w:r>
      <w:r>
        <w:t>(heute noch) im Zentrum einer politischen Kontroverse, es wurde etwa deshalb beschlossen, dass Nachts nicht immer die roten Lichter blinken müssen</w:t>
      </w:r>
      <w:r w:rsidR="00F8402B">
        <w:t>.</w:t>
      </w:r>
      <w:r>
        <w:rPr>
          <w:rStyle w:val="Funotenzeichen"/>
        </w:rPr>
        <w:footnoteReference w:id="649"/>
      </w:r>
      <w:r w:rsidR="00F8402B">
        <w:t xml:space="preserve"> S</w:t>
      </w:r>
      <w:r>
        <w:t>iehe Prof. Michael Sterner zu</w:t>
      </w:r>
      <w:r w:rsidR="00F8402B">
        <w:t>r</w:t>
      </w:r>
      <w:r>
        <w:t xml:space="preserve"> Situation in Bayern in Geladen Batteriepodcast, 24.03.2024</w:t>
      </w:r>
      <w:r w:rsidR="0094316B">
        <w:t xml:space="preserve">, der davon berichtet, dass ein Windpark zur Versorgung einer Chemiefabrik von der Bevölkerung abgelehnt wurde, obwohl sie in </w:t>
      </w:r>
      <w:r w:rsidR="0094316B">
        <w:lastRenderedPageBreak/>
        <w:t>der Fabrik arbeitet</w:t>
      </w:r>
      <w:r>
        <w:t>.</w:t>
      </w:r>
      <w:r>
        <w:rPr>
          <w:rStyle w:val="Funotenzeichen"/>
        </w:rPr>
        <w:footnoteReference w:id="650"/>
      </w:r>
      <w:r>
        <w:t xml:space="preserve"> Um die Akzeptanz der Bevölkerung zu erhöhen, wird derzeit probiert, dass Gemeinden von Windkraftanlagen in der Nähe profitieren können. Dazu haben die Länder erste Schritte unternommen. In Brandenburg wurde etwa beschlossen, dass Betreiber neuer Anlagen pro Jahr 10.000 Euro Sonderabgabe zahlen sollen, auch in Mecklenburg gab es eine Regelung, die das Bundesverfassungsgericht erlaubt hat. Hessen will dagegen versuchen, ein bundeseinheitliches Gesetz zu entwickeln.</w:t>
      </w:r>
      <w:r>
        <w:rPr>
          <w:rStyle w:val="Funotenzeichen"/>
        </w:rPr>
        <w:footnoteReference w:id="651"/>
      </w:r>
      <w:r w:rsidR="007D72F9">
        <w:t xml:space="preserve"> </w:t>
      </w:r>
      <w:r w:rsidR="007D72F9">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03858FF4" w14:textId="77777777" w:rsidR="00112190" w:rsidRDefault="00112190" w:rsidP="00112190"/>
    <w:p w14:paraId="35F036D1" w14:textId="751ED5BF" w:rsidR="00112190" w:rsidRDefault="00112190" w:rsidP="00112190">
      <w:r>
        <w:t>Ein zweiter Schritt zu mehr Markt bzw. Flexibilität im EEG wurde dadurch gemacht, dass es seit dem EEG 2017 vermehrt Direktvermarktung gibt, dieser hier folgende Absatz ist paraphrasiert aus Wikipedia</w:t>
      </w:r>
      <w:r>
        <w:rPr>
          <w:rStyle w:val="Funotenzeichen"/>
        </w:rPr>
        <w:footnoteReference w:id="652"/>
      </w:r>
      <w:r>
        <w:t>: Man speist nicht beim lokalen Netzanbieter ein, sondern meldet sich bei der Pariser Strombörse EPEX SPOT SE</w:t>
      </w:r>
      <w:r>
        <w:rPr>
          <w:rStyle w:val="Funotenzeichen"/>
        </w:rPr>
        <w:footnoteReference w:id="653"/>
      </w:r>
      <w:r>
        <w:t xml:space="preserve"> und verkauft dort, einen Tag vorher, seinen Strom. Dies ist bei z.B. bei Biomasse, Wasser und Geothermie einfach, bei Wind und Photovoltaik schwieriger, weil das Wetter wechseln kann. Die Anlagen, die zur Direktvermarktung angemeldet sind, sind bis 2019 auf 177.000 Gigawattstunden gestiegen, dies sind 80 % der vom EEG vermarkteten Strommengen, die ca. 222.000 Gigawattstunden betrugen.</w:t>
      </w:r>
      <w:r>
        <w:rPr>
          <w:rStyle w:val="Funotenzeichen"/>
        </w:rPr>
        <w:footnoteReference w:id="654"/>
      </w:r>
      <w:r>
        <w:t xml:space="preserve"> Die Direktvermarktung bedeutet aber nicht, dass man auf eine staatliche Förderung verzichten muss, diese nennt sich nun Marktprämie, die wird monatlich anhand eines Referenzwertes berechnet, und es gibt noch eine Managementprämie (0,4 Cent/kWh für Wind und Sonne). Wenn der Marktpreis hoch ist, sinkt die staatliche Förderung, liegt der Marktpreis niedrig, muss der Staat mehr dazugeben. Kritisiert wird, dass dies zu hohen Gewinnen und hohen staatlichen Kosten führt, obwohl sich erneuerbare Energien sich von den Kosten her längst lohnen. Vorgeschlagen werden stattdessen </w:t>
      </w:r>
      <w:proofErr w:type="spellStart"/>
      <w:r>
        <w:t>Contracts</w:t>
      </w:r>
      <w:proofErr w:type="spellEnd"/>
      <w:r>
        <w:t xml:space="preserve"> </w:t>
      </w:r>
      <w:proofErr w:type="spellStart"/>
      <w:r>
        <w:t>of</w:t>
      </w:r>
      <w:proofErr w:type="spellEnd"/>
      <w:r>
        <w:t xml:space="preserve"> </w:t>
      </w:r>
      <w:proofErr w:type="spellStart"/>
      <w:r>
        <w:t>Difference</w:t>
      </w:r>
      <w:proofErr w:type="spellEnd"/>
      <w:r>
        <w:t>, bei denen ein Gebotspreis festgelegt wird und bei niedrigen Preise</w:t>
      </w:r>
      <w:r w:rsidR="002839D9">
        <w:t>n</w:t>
      </w:r>
      <w:r>
        <w:t xml:space="preserve"> zahlt der Staat die Differenz zum Gebotspreis, aber bei hohen Marktpreisen muss der Erzeuger seine höheren Gewinne abführen, er bekommt auch dann nur seinen Gebotspreis (siehe zu diesem Abschnitt Wikipedia Direktvermarktung erneuerbare Energie).</w:t>
      </w:r>
      <w:r>
        <w:rPr>
          <w:rStyle w:val="Funotenzeichen"/>
        </w:rPr>
        <w:footnoteReference w:id="655"/>
      </w:r>
      <w:r>
        <w:t xml:space="preserve"> </w:t>
      </w:r>
    </w:p>
    <w:p w14:paraId="5B73CC16" w14:textId="77777777" w:rsidR="00112190" w:rsidRDefault="00112190" w:rsidP="00112190"/>
    <w:p w14:paraId="391AED52" w14:textId="77777777" w:rsidR="0094316B" w:rsidRDefault="00112190" w:rsidP="00112190">
      <w:r>
        <w:t>Das EEG hat den Endverbrauchern Kosten auferlegt und damit wurde der frühe Ausbau von erneuerbaren Energien gefördert, es wird geschätzt, dass ein Haushalt mit 4000 kWh seit 2000 mit 3583 Euro brutto belastet wurden, wobei im Juli 2022 diese Praxis auslief und der Staat nun die Umlage direkt finanziert. Kritisiert wird auch, dass das EEG viel Solaranlagen gefördert hat, die nur relativ wenig zum Strom beitragen.</w:t>
      </w:r>
      <w:r>
        <w:rPr>
          <w:rStyle w:val="Funotenzeichen"/>
        </w:rPr>
        <w:footnoteReference w:id="656"/>
      </w:r>
      <w:r>
        <w:t xml:space="preserve"> </w:t>
      </w:r>
    </w:p>
    <w:p w14:paraId="381463FB" w14:textId="77777777" w:rsidR="0094316B" w:rsidRDefault="0094316B" w:rsidP="00112190"/>
    <w:p w14:paraId="046951DF" w14:textId="6C356C49" w:rsidR="00112190" w:rsidRDefault="00112190" w:rsidP="00112190">
      <w:r>
        <w:t xml:space="preserve">Interessant ist, dass es von ca. 2005 an eine Zeit gab, in der die deutschen Industrie von </w:t>
      </w:r>
      <w:r w:rsidR="00194F62">
        <w:t xml:space="preserve">sehr </w:t>
      </w:r>
      <w:r>
        <w:t xml:space="preserve">niedrigen Strompreisen, auch im Vergleich zu anderen </w:t>
      </w:r>
      <w:proofErr w:type="gramStart"/>
      <w:r>
        <w:t>EU Ländern</w:t>
      </w:r>
      <w:proofErr w:type="gramEnd"/>
      <w:r>
        <w:t>, profitierte</w:t>
      </w:r>
      <w:r w:rsidR="00194F62">
        <w:t>.</w:t>
      </w:r>
      <w:r>
        <w:t xml:space="preserve"> </w:t>
      </w:r>
      <w:r w:rsidR="00194F62">
        <w:t>D</w:t>
      </w:r>
      <w:r>
        <w:t xml:space="preserve">ie heutige Reaktion auf höhere Preise muss man offenbar auch vor diesem Hintergrund sehen. Dazu kommt, dass es für energieintensive Industrien Ausnahmen von der </w:t>
      </w:r>
      <w:proofErr w:type="gramStart"/>
      <w:r>
        <w:t>EEG Umlage</w:t>
      </w:r>
      <w:proofErr w:type="gramEnd"/>
      <w:r>
        <w:t xml:space="preserve"> gab. Die Industrie hat </w:t>
      </w:r>
      <w:r w:rsidR="00194F62">
        <w:t xml:space="preserve">weiterhin </w:t>
      </w:r>
      <w:r>
        <w:t xml:space="preserve">offenbar wenig </w:t>
      </w:r>
      <w:proofErr w:type="gramStart"/>
      <w:r>
        <w:t>EEG Umlage</w:t>
      </w:r>
      <w:proofErr w:type="gramEnd"/>
      <w:r>
        <w:t xml:space="preserve"> bezahlt, es gab Modelle von Rechtsanwaltskanzleien, mit denen sich </w:t>
      </w:r>
      <w:r>
        <w:lastRenderedPageBreak/>
        <w:t xml:space="preserve">Unternehmen von der </w:t>
      </w:r>
      <w:proofErr w:type="gramStart"/>
      <w:r>
        <w:t>EEG Umlage</w:t>
      </w:r>
      <w:proofErr w:type="gramEnd"/>
      <w:r>
        <w:t xml:space="preserve"> befreien konnten</w:t>
      </w:r>
      <w:r w:rsidRPr="00776AA5">
        <w:rPr>
          <w:rStyle w:val="Funotenzeichen"/>
        </w:rPr>
        <w:t xml:space="preserve"> </w:t>
      </w:r>
      <w:r>
        <w:t>(s</w:t>
      </w:r>
      <w:r w:rsidRPr="003A0AD8">
        <w:t>iehe zu diesem Abschnitt den Wikipedia Eintrag zum EE</w:t>
      </w:r>
      <w:r>
        <w:t>G)</w:t>
      </w:r>
      <w:r w:rsidRPr="003A0AD8">
        <w:t>.</w:t>
      </w:r>
      <w:r>
        <w:rPr>
          <w:rStyle w:val="Funotenzeichen"/>
        </w:rPr>
        <w:footnoteReference w:id="657"/>
      </w:r>
      <w:r>
        <w:t xml:space="preserve"> </w:t>
      </w:r>
      <w:r w:rsidR="007D72F9">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57767E60" w14:textId="77777777" w:rsidR="00112190" w:rsidRDefault="00112190" w:rsidP="00112190"/>
    <w:p w14:paraId="77DB02B6" w14:textId="77777777" w:rsidR="00112190" w:rsidRDefault="00112190" w:rsidP="00112190">
      <w:r>
        <w:t xml:space="preserve">Das neue EEG 2023 ist kein eigenständiges Gesetz, sondern ein Änderungskatalog, der auf dem EEG 2021 Gesetz basiert. Die </w:t>
      </w:r>
      <w:proofErr w:type="gramStart"/>
      <w:r>
        <w:t>EEG Umlage</w:t>
      </w:r>
      <w:proofErr w:type="gramEnd"/>
      <w:r>
        <w:t xml:space="preserve"> zahlt nun seit 2022 der Staat. Das </w:t>
      </w:r>
      <w:proofErr w:type="gramStart"/>
      <w:r>
        <w:t>EEG Gesetz</w:t>
      </w:r>
      <w:proofErr w:type="gramEnd"/>
      <w:r>
        <w:t xml:space="preserve"> regelt weiterhin Vergütungssätze für die Einspeisung von Strom aus erneuerbaren Energien, d.h. es werden z.B. immer noch auf staatliche Kosten private, ‚kleine‘ Solaranlagen, neuerdings auch sog. Mieterstrom etc. gefördert. Im EEG wird auch geregelt, dass Strom aus erneuerbaren Energien bevorzugt von Netzbetreibern aufgenommen werden muss und diese ihre Netze auch so ausbauen müssen, dass dies möglich ist (siehe hierzu Wikipedia EEG).</w:t>
      </w:r>
      <w:r>
        <w:rPr>
          <w:rStyle w:val="Funotenzeichen"/>
        </w:rPr>
        <w:footnoteReference w:id="658"/>
      </w:r>
      <w:r>
        <w:t xml:space="preserve"> </w:t>
      </w:r>
    </w:p>
    <w:p w14:paraId="2803F827" w14:textId="77777777" w:rsidR="00112190" w:rsidRDefault="00112190" w:rsidP="00112190"/>
    <w:p w14:paraId="3B53C9B5" w14:textId="786EEB2F" w:rsidR="00112190" w:rsidRDefault="00112190" w:rsidP="00112190">
      <w:r>
        <w:t xml:space="preserve">Dass der Staat die </w:t>
      </w:r>
      <w:proofErr w:type="gramStart"/>
      <w:r>
        <w:t>EEG Zahlungen</w:t>
      </w:r>
      <w:proofErr w:type="gramEnd"/>
      <w:r>
        <w:t xml:space="preserve"> nun übernimmt, wurde bereits am Anfang des Jahres 2024 deutlich. Weil Anfang des Jahres 2024 nun die Strompreise niedrig </w:t>
      </w:r>
      <w:proofErr w:type="gramStart"/>
      <w:r>
        <w:t>lagen</w:t>
      </w:r>
      <w:proofErr w:type="gramEnd"/>
      <w:r>
        <w:t>, mussten für die Betreiber von Wind- und Solaranlagen EEG-Ausgleichszahlungen fließen, im März ca. 1,7 Mrd., im April mehr als 2 Mrd. Euro. In den ersten vier Monaten waren es 5,3 Mrd. Euro</w:t>
      </w:r>
      <w:bookmarkStart w:id="40" w:name="_Hlk199519815"/>
      <w:r>
        <w:t>. Für das Gesamtjahr sind 10,6 Mrd. Euro eingeplant.</w:t>
      </w:r>
      <w:r>
        <w:rPr>
          <w:rStyle w:val="Funotenzeichen"/>
        </w:rPr>
        <w:footnoteReference w:id="659"/>
      </w:r>
      <w:r>
        <w:t xml:space="preserve">  </w:t>
      </w:r>
    </w:p>
    <w:bookmarkEnd w:id="40"/>
    <w:p w14:paraId="1731A103" w14:textId="77777777" w:rsidR="00194F62" w:rsidRDefault="00194F62" w:rsidP="00112190"/>
    <w:p w14:paraId="6A434EE6" w14:textId="3DCF1FAB" w:rsidR="00143890" w:rsidRDefault="00194F62" w:rsidP="00112190">
      <w:r>
        <w:t>Z</w:t>
      </w:r>
      <w:r w:rsidR="00143890">
        <w:t xml:space="preserve">ur Funktion des </w:t>
      </w:r>
      <w:r w:rsidR="00143890" w:rsidRPr="00F80BDB">
        <w:rPr>
          <w:u w:val="single"/>
        </w:rPr>
        <w:t>Strommarktes</w:t>
      </w:r>
      <w:r w:rsidR="00143890">
        <w:t>:</w:t>
      </w:r>
    </w:p>
    <w:p w14:paraId="677D39CC" w14:textId="77777777" w:rsidR="004A1020" w:rsidRDefault="004A1020" w:rsidP="004A1020"/>
    <w:tbl>
      <w:tblPr>
        <w:tblStyle w:val="Tabellenraster"/>
        <w:tblW w:w="0" w:type="auto"/>
        <w:tblLook w:val="04A0" w:firstRow="1" w:lastRow="0" w:firstColumn="1" w:lastColumn="0" w:noHBand="0" w:noVBand="1"/>
      </w:tblPr>
      <w:tblGrid>
        <w:gridCol w:w="9062"/>
      </w:tblGrid>
      <w:tr w:rsidR="004A1020" w14:paraId="0CBC2034" w14:textId="77777777" w:rsidTr="00CD5089">
        <w:tc>
          <w:tcPr>
            <w:tcW w:w="9062" w:type="dxa"/>
          </w:tcPr>
          <w:p w14:paraId="66BF9BDB" w14:textId="041211A5" w:rsidR="004A1020" w:rsidRDefault="004A1020" w:rsidP="00CD5089">
            <w:r>
              <w:t xml:space="preserve">Strommarkt, aus der Sicht von Dirk Middendorf, 31. Dezember 2023, veröffentlicht auf Indeed: „Der Strommarkt ist seit 1998 liberalisiert und nach einer gewissen, trägen Anfangsphase gibt es heute eine Vielzahl an Anbietern und Abnehmern. Der Preis bildet sich, wie bei allen Märkten, im Gleichgewicht von Angebot und Nachfrage, wird also nicht staatlich vorgegeben oder beeinflusst. Ein Teil des Energiehandels findet an Börsen statt, beispielsweise an der EEX (European Energy Exchange) in Leipzig. Dort wurden 2020 etwa 7.000 Terawattstunden Strom im Termin- und im Spotmarkt gehandelt. Der deutsche Gesamtbedarf beträgt jährlich etwa 500 Terawattstunden, auf dem Weg vom Erzeuger zum Endverbraucher wird jede Kilowattstunde also dutzendfach gehandelt. Das ist eine gute Nachricht, weil es zeigt, dass der Markt „liquide“ ist, in der Regel also Handelspartner zur Verfügung stehen. Je liquider ein Markt ist, desto mehr Aussagekraft haben seine Preissignale, weil diese die aktuellen Erwartungen vieler Marktteilnehmer beinhalten. An der EEX sind jedoch trotzdem nur 451 Teilnehmer akkreditiert (Stand Oktober 2023), obwohl es rund 1.200 Stromlieferanten in Deutschland gibt und darüber hinaus eine Vielzahl an Erzeugern und Großhändlern. Der weitaus größte Teil des Stroms, rund 75 % des gesamten Handelsvolumens, wird nämlich im Großhandel </w:t>
            </w:r>
            <w:proofErr w:type="spellStart"/>
            <w:r>
              <w:t>ge</w:t>
            </w:r>
            <w:proofErr w:type="spellEnd"/>
            <w:r>
              <w:t>- und verkauft, im sogenannten OTC-Geschäft. OTC steht für „</w:t>
            </w:r>
            <w:proofErr w:type="spellStart"/>
            <w:r>
              <w:t>over</w:t>
            </w:r>
            <w:proofErr w:type="spellEnd"/>
            <w:r>
              <w:t xml:space="preserve"> </w:t>
            </w:r>
            <w:proofErr w:type="spellStart"/>
            <w:r>
              <w:t>the</w:t>
            </w:r>
            <w:proofErr w:type="spellEnd"/>
            <w:r>
              <w:t xml:space="preserve"> </w:t>
            </w:r>
            <w:proofErr w:type="spellStart"/>
            <w:r>
              <w:t>counter</w:t>
            </w:r>
            <w:proofErr w:type="spellEnd"/>
            <w:r>
              <w:t>“, wörtlich also „über die Ladentheke“. Gemeint ist, dass zwei Handelspartner direkt einen Vertrag schließen, also ohne eine zwischengeschaltete Börse – allerdings häufig mit zwischengeschaltetem Broker. Der Preis wird in diesen Fällen bilateral ausgehandelt, kann sich also theoretisch vom Börsenstrompreis unterscheiden. In der Wirklichkeit werden sich aber keine nennenswerten Unterschiede ergeben, da sonst profitable Geschäfte möglich wären, indem man im OTC kauft und an der Börse verkauft oder umgekehrt (Arbitrage-Geschäfte). Börsenpreise und OTC-Preise beeinflussen sich damit gegenseitig und führen zu ähnlichen Preisspannen.“ (Auszug</w:t>
            </w:r>
            <w:r w:rsidR="001B3F49">
              <w:t xml:space="preserve"> aus dem Text von Dirk Middendorf</w:t>
            </w:r>
            <w:r>
              <w:t>)</w:t>
            </w:r>
            <w:r w:rsidR="00475085">
              <w:t>.</w:t>
            </w:r>
            <w:r>
              <w:rPr>
                <w:rStyle w:val="Funotenzeichen"/>
              </w:rPr>
              <w:footnoteReference w:id="660"/>
            </w:r>
            <w:r>
              <w:t xml:space="preserve"> </w:t>
            </w:r>
          </w:p>
          <w:p w14:paraId="097A25C9" w14:textId="77777777" w:rsidR="004A1020" w:rsidRDefault="004A1020" w:rsidP="00CD5089"/>
          <w:p w14:paraId="48A9FEDC" w14:textId="46AC0BC1" w:rsidR="003722B1" w:rsidRPr="003722B1" w:rsidRDefault="00D35A2D" w:rsidP="00CD5089">
            <w:pPr>
              <w:rPr>
                <w:color w:val="0000FF" w:themeColor="hyperlink"/>
                <w:u w:val="single"/>
              </w:rPr>
            </w:pPr>
            <w:r>
              <w:lastRenderedPageBreak/>
              <w:t xml:space="preserve">Aktuelle Strompreise finden sich in: </w:t>
            </w:r>
            <w:hyperlink r:id="rId8" w:history="1">
              <w:r w:rsidRPr="004559F9">
                <w:rPr>
                  <w:rStyle w:val="Hyperlink"/>
                </w:rPr>
                <w:t>https://transparency.entsoe.eu/</w:t>
              </w:r>
            </w:hyperlink>
          </w:p>
          <w:p w14:paraId="205B97C4" w14:textId="61488AEB" w:rsidR="003722B1" w:rsidRDefault="003722B1" w:rsidP="00CD5089">
            <w:r>
              <w:t xml:space="preserve">Siehe auch Infos des Fraunhofer Instituts: </w:t>
            </w:r>
            <w:hyperlink r:id="rId9" w:history="1">
              <w:r w:rsidRPr="00AA613D">
                <w:rPr>
                  <w:rStyle w:val="Hyperlink"/>
                </w:rPr>
                <w:t>https://www.energy-charts.info/</w:t>
              </w:r>
            </w:hyperlink>
          </w:p>
          <w:p w14:paraId="696E67A3" w14:textId="040E90F3" w:rsidR="003722B1" w:rsidRDefault="00DD3EA6" w:rsidP="00CD5089">
            <w:r>
              <w:t xml:space="preserve">Und von </w:t>
            </w:r>
            <w:proofErr w:type="spellStart"/>
            <w:r>
              <w:t>Smard</w:t>
            </w:r>
            <w:proofErr w:type="spellEnd"/>
            <w:r>
              <w:t xml:space="preserve">: </w:t>
            </w:r>
            <w:hyperlink r:id="rId10" w:history="1">
              <w:r w:rsidRPr="004804C4">
                <w:rPr>
                  <w:rStyle w:val="Hyperlink"/>
                </w:rPr>
                <w:t>https://www.smard.de/</w:t>
              </w:r>
            </w:hyperlink>
          </w:p>
          <w:p w14:paraId="15D5F325" w14:textId="77777777" w:rsidR="00DD3EA6" w:rsidRDefault="00DD3EA6" w:rsidP="00CD5089"/>
          <w:p w14:paraId="5DFCE565" w14:textId="74D9FA90" w:rsidR="00D35A2D" w:rsidRDefault="00194F62" w:rsidP="00CD5089">
            <w:r>
              <w:t xml:space="preserve">Siehe die Webseite der EEX: </w:t>
            </w:r>
            <w:hyperlink r:id="rId11" w:history="1">
              <w:r w:rsidRPr="004559F9">
                <w:rPr>
                  <w:rStyle w:val="Hyperlink"/>
                </w:rPr>
                <w:t>https://www.eex.com/</w:t>
              </w:r>
            </w:hyperlink>
            <w:r w:rsidR="00772D83">
              <w:t>; d</w:t>
            </w:r>
            <w:r w:rsidR="004559F9">
              <w:t>ie EPEX SPOT:</w:t>
            </w:r>
            <w:r w:rsidR="00772D83">
              <w:t xml:space="preserve"> </w:t>
            </w:r>
            <w:hyperlink r:id="rId12" w:history="1">
              <w:r w:rsidR="00772D83" w:rsidRPr="00E614BA">
                <w:rPr>
                  <w:rStyle w:val="Hyperlink"/>
                </w:rPr>
                <w:t>https://www.epexspot.com</w:t>
              </w:r>
            </w:hyperlink>
            <w:r w:rsidR="00772D83">
              <w:t xml:space="preserve">; u.a. aus Norwegen die Nord Pool Spot: </w:t>
            </w:r>
            <w:hyperlink r:id="rId13" w:history="1">
              <w:r w:rsidR="00772D83" w:rsidRPr="00E614BA">
                <w:rPr>
                  <w:rStyle w:val="Hyperlink"/>
                </w:rPr>
                <w:t>https://data.nordpoolgroup.com</w:t>
              </w:r>
            </w:hyperlink>
            <w:r w:rsidR="00772D83">
              <w:t xml:space="preserve">; im Norden auch aktiv der Nasdaq Commodities: </w:t>
            </w:r>
            <w:hyperlink r:id="rId14" w:history="1">
              <w:r w:rsidR="00772D83" w:rsidRPr="00E614BA">
                <w:rPr>
                  <w:rStyle w:val="Hyperlink"/>
                </w:rPr>
                <w:t>https://www.nasdaqomx.com</w:t>
              </w:r>
            </w:hyperlink>
            <w:r w:rsidR="00772D83">
              <w:t xml:space="preserve">; in Spanien Omie Polo: </w:t>
            </w:r>
            <w:hyperlink r:id="rId15" w:history="1">
              <w:r w:rsidR="00772D83" w:rsidRPr="00E614BA">
                <w:rPr>
                  <w:rStyle w:val="Hyperlink"/>
                </w:rPr>
                <w:t>https://www.omie.es/</w:t>
              </w:r>
            </w:hyperlink>
            <w:r w:rsidR="00772D83">
              <w:t xml:space="preserve">: Niederlande und England ICE </w:t>
            </w:r>
            <w:proofErr w:type="spellStart"/>
            <w:r w:rsidR="00772D83">
              <w:t>Endex</w:t>
            </w:r>
            <w:proofErr w:type="spellEnd"/>
            <w:r w:rsidR="00772D83">
              <w:t xml:space="preserve">: </w:t>
            </w:r>
            <w:r>
              <w:t xml:space="preserve"> </w:t>
            </w:r>
            <w:hyperlink r:id="rId16" w:history="1">
              <w:r w:rsidR="00772D83" w:rsidRPr="00E614BA">
                <w:rPr>
                  <w:rStyle w:val="Hyperlink"/>
                </w:rPr>
                <w:t>https://www.ice.com/endex</w:t>
              </w:r>
            </w:hyperlink>
            <w:r w:rsidR="00772D83">
              <w:t xml:space="preserve">; Österreich, Deutschland und Niederlande, Energy Exchange Austria Graz: </w:t>
            </w:r>
            <w:hyperlink r:id="rId17" w:history="1">
              <w:r w:rsidR="00772D83" w:rsidRPr="00E614BA">
                <w:rPr>
                  <w:rStyle w:val="Hyperlink"/>
                </w:rPr>
                <w:t>https://www.exaa.at/</w:t>
              </w:r>
            </w:hyperlink>
            <w:r w:rsidR="00772D83">
              <w:t xml:space="preserve"> weiterhin wird Strom an den Warenbörsen gehandelt, etwa die amerikanische Intercontinental Exchange Futures oder die London </w:t>
            </w:r>
            <w:proofErr w:type="spellStart"/>
            <w:r w:rsidR="00772D83">
              <w:t>Metal</w:t>
            </w:r>
            <w:proofErr w:type="spellEnd"/>
            <w:r w:rsidR="00772D83">
              <w:t xml:space="preserve"> Exchange.</w:t>
            </w:r>
            <w:r w:rsidR="00772D83">
              <w:rPr>
                <w:rStyle w:val="Funotenzeichen"/>
              </w:rPr>
              <w:footnoteReference w:id="661"/>
            </w:r>
          </w:p>
          <w:p w14:paraId="3F3CAB35" w14:textId="1A9F794F" w:rsidR="00194F62" w:rsidRDefault="004559F9" w:rsidP="00CD5089">
            <w:r>
              <w:t xml:space="preserve">Beim Stromhandel sind mittlerweile auch Banken, Anlagenbetreiber (die auch mit CO2-Zertifikaten </w:t>
            </w:r>
            <w:proofErr w:type="spellStart"/>
            <w:r>
              <w:t>handel</w:t>
            </w:r>
            <w:proofErr w:type="spellEnd"/>
            <w:r>
              <w:t xml:space="preserve">), Broker und ausländische Handelsgesellschaften aktiv, hier eine Liste der Großhandelsmarktteilnehmer, am 20.07.2024 finden sich hier 18190 Teilnehmer: </w:t>
            </w:r>
            <w:hyperlink r:id="rId18" w:history="1">
              <w:r w:rsidRPr="00E614BA">
                <w:rPr>
                  <w:rStyle w:val="Hyperlink"/>
                </w:rPr>
                <w:t>https://www.acer-remit.eu/portal/european-register</w:t>
              </w:r>
            </w:hyperlink>
          </w:p>
          <w:p w14:paraId="7660F993" w14:textId="3B1D531F" w:rsidR="004559F9" w:rsidRDefault="004559F9" w:rsidP="00CD5089">
            <w:r>
              <w:t xml:space="preserve">Hier </w:t>
            </w:r>
            <w:proofErr w:type="gramStart"/>
            <w:r>
              <w:t>ein Liste</w:t>
            </w:r>
            <w:proofErr w:type="gramEnd"/>
            <w:r>
              <w:t xml:space="preserve"> der organisierten Marktplätze, hier finden sich 66 Einträge: </w:t>
            </w:r>
            <w:hyperlink r:id="rId19" w:history="1">
              <w:r w:rsidRPr="00E614BA">
                <w:rPr>
                  <w:rStyle w:val="Hyperlink"/>
                </w:rPr>
                <w:t>https://www.acer-remit.eu/portal/organised-marketplaces</w:t>
              </w:r>
            </w:hyperlink>
          </w:p>
          <w:p w14:paraId="276A61D7" w14:textId="77777777" w:rsidR="00203593" w:rsidRDefault="00203593" w:rsidP="00CD5089"/>
          <w:p w14:paraId="772DB5CF" w14:textId="05519FC1" w:rsidR="004559F9" w:rsidRDefault="001026A0" w:rsidP="00CD5089">
            <w:r>
              <w:t>Bei Stromhandel gibt es verschiedene Vertragstypen, einen Spotmarkt und anonymen, längerfristig angelegten Terminmarkt, interessant ist, dass es auch Wetter-Derivate</w:t>
            </w:r>
            <w:r w:rsidR="003975AF">
              <w:t xml:space="preserve"> gibt, mit denen man sich </w:t>
            </w:r>
            <w:r>
              <w:t>gegen Wetterveränderungen</w:t>
            </w:r>
            <w:r w:rsidR="003975AF">
              <w:t>, sogar saisonal (milder Winter</w:t>
            </w:r>
            <w:r>
              <w:t>)</w:t>
            </w:r>
            <w:r w:rsidR="003975AF">
              <w:t>,</w:t>
            </w:r>
            <w:r>
              <w:t xml:space="preserve"> absichern kann.</w:t>
            </w:r>
            <w:r w:rsidR="003975AF">
              <w:rPr>
                <w:rStyle w:val="Funotenzeichen"/>
              </w:rPr>
              <w:t xml:space="preserve"> </w:t>
            </w:r>
            <w:r w:rsidR="003975AF">
              <w:rPr>
                <w:rStyle w:val="Funotenzeichen"/>
              </w:rPr>
              <w:footnoteReference w:id="662"/>
            </w:r>
            <w:r w:rsidR="004559F9">
              <w:t xml:space="preserve"> </w:t>
            </w:r>
            <w:r w:rsidR="003975AF">
              <w:t>Der Strommarkt untersteht einer Vielzahl von Regelwerken, mit Veröffentlichungspflichten und u.a. dem Verbot von Insiderhandel, u.a. dem REMIT.</w:t>
            </w:r>
            <w:r w:rsidR="003975AF">
              <w:rPr>
                <w:rStyle w:val="Funotenzeichen"/>
              </w:rPr>
              <w:footnoteReference w:id="663"/>
            </w:r>
          </w:p>
          <w:p w14:paraId="1C4F9EF3" w14:textId="5321B210" w:rsidR="00C523AF" w:rsidRDefault="00C523AF" w:rsidP="00CD5089"/>
          <w:p w14:paraId="3645AC57" w14:textId="638B17C8" w:rsidR="00C4398E" w:rsidRDefault="00C4398E" w:rsidP="00CD5089">
            <w:r>
              <w:t>Kurz: Die strukturelle Verfasstheit des Strommarkt, wie viel Akteure hier Einfluss nehmen, wie viel Strom über Langzeitverträge geliefert wird,</w:t>
            </w:r>
            <w:r w:rsidR="00891DD6">
              <w:t xml:space="preserve"> </w:t>
            </w:r>
            <w:r>
              <w:t xml:space="preserve">ist schon mal eine Sache, die täglichen oder sogar stündlichen Preise auf dem </w:t>
            </w:r>
            <w:r w:rsidR="00C15378">
              <w:t>Börsens</w:t>
            </w:r>
            <w:r>
              <w:t>trommarkt</w:t>
            </w:r>
            <w:r w:rsidR="00891DD6">
              <w:t xml:space="preserve">, wie viel Strom überhaupt auf den Strombörsen gehandelt wird eine andere Sache und </w:t>
            </w:r>
            <w:r>
              <w:t xml:space="preserve">der jährliche durchschnittliche </w:t>
            </w:r>
            <w:r w:rsidR="00C15378">
              <w:t>Börsens</w:t>
            </w:r>
            <w:r>
              <w:t>trompreis</w:t>
            </w:r>
            <w:r w:rsidR="00C15378">
              <w:t xml:space="preserve"> </w:t>
            </w:r>
            <w:r w:rsidR="00891DD6">
              <w:t>und</w:t>
            </w:r>
            <w:r>
              <w:t xml:space="preserve"> </w:t>
            </w:r>
            <w:r w:rsidR="00C15378">
              <w:t>das Niveau</w:t>
            </w:r>
            <w:r>
              <w:t xml:space="preserve"> des Strompreises</w:t>
            </w:r>
            <w:r w:rsidR="00C15378">
              <w:t xml:space="preserve">, der </w:t>
            </w:r>
            <w:r w:rsidR="00891DD6">
              <w:t xml:space="preserve">er </w:t>
            </w:r>
            <w:r w:rsidR="00C15378">
              <w:t>sich z.B. für das nächste</w:t>
            </w:r>
            <w:r w:rsidR="00891DD6">
              <w:t xml:space="preserve"> Jahr</w:t>
            </w:r>
            <w:r w:rsidR="00C15378">
              <w:t xml:space="preserve"> </w:t>
            </w:r>
            <w:r w:rsidR="00891DD6">
              <w:t xml:space="preserve">als von den Energieversorgern neu gesetzter Haushaltsstrompreis oder Industriestrompreis </w:t>
            </w:r>
            <w:r w:rsidR="00C15378">
              <w:t xml:space="preserve">herausbildet, wieder eine andere Sache. Wiederum eine andere Sache ist, wie Betreiber </w:t>
            </w:r>
            <w:r w:rsidR="00F81953">
              <w:t>erneuerbarer Energie</w:t>
            </w:r>
            <w:r w:rsidR="00C15378">
              <w:t>n</w:t>
            </w:r>
            <w:r w:rsidR="00F81953">
              <w:t xml:space="preserve"> </w:t>
            </w:r>
            <w:r w:rsidR="00C15378">
              <w:t xml:space="preserve">ihre Anlagen nutzen können, sie bekommen </w:t>
            </w:r>
            <w:proofErr w:type="gramStart"/>
            <w:r w:rsidR="00C15378">
              <w:t>EEG Umlagen</w:t>
            </w:r>
            <w:proofErr w:type="gramEnd"/>
            <w:r w:rsidR="00C15378">
              <w:t xml:space="preserve">, sie haben teils Langzeitabnahmeverträge und verkaufen ihren Strom teil an den Strombörsen. </w:t>
            </w:r>
            <w:r w:rsidR="00F81953">
              <w:t xml:space="preserve"> </w:t>
            </w:r>
          </w:p>
          <w:p w14:paraId="3003DA70" w14:textId="77777777" w:rsidR="00891DD6" w:rsidRDefault="00891DD6" w:rsidP="00CD5089"/>
          <w:p w14:paraId="4205FE68" w14:textId="7689036C" w:rsidR="002601E7" w:rsidRDefault="00F81953" w:rsidP="00CD5089">
            <w:r>
              <w:t>Von Agora Energiewende, Stand der Dinge, wird für</w:t>
            </w:r>
            <w:r w:rsidR="00C15378">
              <w:t xml:space="preserve"> in einem guten Überblich für</w:t>
            </w:r>
            <w:r>
              <w:t xml:space="preserve"> 2024 festgestellt, dass die Markterlöse für erneuerbare Energien und besonders bei Solar zurückgehen, auch weil Wind und Solar immer zugleich einspeisen (sog. </w:t>
            </w:r>
            <w:r w:rsidR="00245DDD">
              <w:t xml:space="preserve">Gleichzeitigkeitseffekt oder auch </w:t>
            </w:r>
            <w:r>
              <w:t xml:space="preserve">Kannibalisierung). Deshalb ist es besonders wichtig, dass hier Speicher dazukommen, die es ermöglichen etwa </w:t>
            </w:r>
            <w:proofErr w:type="gramStart"/>
            <w:r>
              <w:t>Nachts</w:t>
            </w:r>
            <w:proofErr w:type="gramEnd"/>
            <w:r>
              <w:t xml:space="preserve"> oder bei Verbrauchsspitzen auch Strom aus Solarenergie einzuspeisen, S. 32-33. Neu ist hier der Begriff der Hellbrise, definiert als hohe Einspeisung von Wind- und Solarstrom bei nicht ausreichend hoher Stromnachfrage, S. 34. Im Jahr 2024 gab es 514 Stunden bei 0 oder unter 0 Cent/kWh, dies verringerte den </w:t>
            </w:r>
            <w:r w:rsidR="00C15378">
              <w:t>durchschnittlichen Börsen</w:t>
            </w:r>
            <w:r>
              <w:t xml:space="preserve">strompreis um -5.5 </w:t>
            </w:r>
            <w:r w:rsidR="00C15378">
              <w:t xml:space="preserve">Euro/MWh auf 78,5 Euro/MWh (0,078 Cent/kWh), S. 34. Am 5.- bis 7. November 2024 und am 12 Dezember 2024 kam es zu einer sog. Dunkelflaute und der Strompreis stieg etwa um 17.00 am 6. November auf 820 Euro/MWh an, am 12. Dezember stieg er von 17 bis 18 Uhr auf 936 Euro/MWh an. Diese Knappheitspreise treten auf, wenn es weniger Wind und Sonne gibt, der Kraftwerkspark </w:t>
            </w:r>
            <w:r w:rsidR="00C15378">
              <w:lastRenderedPageBreak/>
              <w:t>gut ausgelastet ist und dann nur noch weniger Alternativen bereitstehen. Hier können Betreiber (</w:t>
            </w:r>
            <w:r w:rsidR="002601E7">
              <w:t xml:space="preserve">z.B. </w:t>
            </w:r>
            <w:r w:rsidR="00C15378">
              <w:t>RWE) Teile ihrer Kraftwerksleistung zurückhalten</w:t>
            </w:r>
            <w:r>
              <w:t xml:space="preserve"> </w:t>
            </w:r>
            <w:r w:rsidR="00C15378">
              <w:t xml:space="preserve">und erst einmal warten, bis die Marktpreise ansteigen und dann erst die Kohlekraftwerke </w:t>
            </w:r>
            <w:r w:rsidR="002601E7">
              <w:t xml:space="preserve">anfeuern und dann eben höhere Preise verlangen. Im Jahr 2024 gab es immerhin 108 Stunden mit Knappheitspreisen (die nicht verbindlich definiert sind, hier: ein stündlicher Preis über den Einsatzkosten einer Gasturbine plus Preisaufschlag), S. 34. Diese höheren Preise steigerten den durchschnittlichen Börsenstrompreis allerdings nur um 3,1 Euro/MWh, auf 78,5 Euro/MWh, siehe 34. </w:t>
            </w:r>
            <w:r>
              <w:t>Siehe Agora Energiewende, Stand der Dinge 2024, auf den Seiten 26-28, und S. 31-35</w:t>
            </w:r>
            <w:r w:rsidR="002601E7">
              <w:t>, sowie für Netzentgelte und Industriestrompreise S. 63-68</w:t>
            </w:r>
            <w:r>
              <w:t>, die hier nicht im Detail wiedergegeben werden können.</w:t>
            </w:r>
            <w:r>
              <w:rPr>
                <w:rStyle w:val="Funotenzeichen"/>
              </w:rPr>
              <w:footnoteReference w:id="664"/>
            </w:r>
          </w:p>
          <w:p w14:paraId="721F0714" w14:textId="77777777" w:rsidR="002601E7" w:rsidRDefault="002601E7" w:rsidP="00CD5089"/>
          <w:p w14:paraId="7D27724C" w14:textId="62BCAFBD" w:rsidR="002601E7" w:rsidRDefault="00891DD6" w:rsidP="00C4398E">
            <w:r>
              <w:t>Die Preisfindung auf den Strombörsen ist nicht ‚natürlich‘ bzw. auch keine einzige ‚unsichtbare Hand‘:</w:t>
            </w:r>
            <w:r w:rsidR="00C4398E">
              <w:t xml:space="preserve"> Es gibt unterschiedliche Preisfindungsmodelle, die durch die Regulierungsbehörden beeinflussbar sind</w:t>
            </w:r>
            <w:r w:rsidR="00CC561C">
              <w:t xml:space="preserve"> bzw. vorgegeben werden können</w:t>
            </w:r>
            <w:r w:rsidR="00C4398E">
              <w:t>. Derzeit gilt die Zuschlagsregeln auf Grundlage der Leistungspreisangebote, obwohl es hierbei auch zu sehr hohen Preisen gekommen ist.</w:t>
            </w:r>
            <w:r w:rsidR="00C4398E">
              <w:rPr>
                <w:rStyle w:val="Funotenzeichen"/>
              </w:rPr>
              <w:t xml:space="preserve"> </w:t>
            </w:r>
            <w:r w:rsidR="00C4398E">
              <w:rPr>
                <w:rStyle w:val="Funotenzeichen"/>
              </w:rPr>
              <w:footnoteReference w:id="665"/>
            </w:r>
            <w:r w:rsidR="00C4398E">
              <w:t xml:space="preserve"> Die Bundesnetzagentur ist über die Problematiken informiert und hat die Möglichkeit die Preisbildungsprozesse mit unterschiedlichen Modellen neu zu regulieren, hier gab es 2015 bereits eine komplexe Debatte.</w:t>
            </w:r>
            <w:r w:rsidR="00C4398E">
              <w:rPr>
                <w:rStyle w:val="Funotenzeichen"/>
              </w:rPr>
              <w:t xml:space="preserve"> </w:t>
            </w:r>
            <w:r w:rsidR="00C4398E">
              <w:rPr>
                <w:rStyle w:val="Funotenzeichen"/>
              </w:rPr>
              <w:footnoteReference w:id="666"/>
            </w:r>
            <w:r w:rsidR="00C4398E">
              <w:t xml:space="preserve"> Siehe auch Bundesnetzagentur Monitoringbericht 2023.</w:t>
            </w:r>
            <w:r w:rsidR="00C4398E">
              <w:rPr>
                <w:rStyle w:val="Funotenzeichen"/>
              </w:rPr>
              <w:footnoteReference w:id="667"/>
            </w:r>
            <w:r w:rsidR="00C4398E">
              <w:t xml:space="preserve">  Die Preisfindungsmodelle werden aus wirtschaftswissenschaftlicher Sicht diskutiert, siehe hier ein Beispiel auf Englisch.</w:t>
            </w:r>
            <w:r w:rsidR="00C4398E">
              <w:rPr>
                <w:rStyle w:val="Funotenzeichen"/>
              </w:rPr>
              <w:t xml:space="preserve"> </w:t>
            </w:r>
            <w:r w:rsidR="00C4398E">
              <w:rPr>
                <w:rStyle w:val="Funotenzeichen"/>
              </w:rPr>
              <w:footnoteReference w:id="668"/>
            </w:r>
            <w:r w:rsidR="00C4398E">
              <w:t xml:space="preserve"> </w:t>
            </w:r>
          </w:p>
          <w:p w14:paraId="041B8808" w14:textId="77777777" w:rsidR="002601E7" w:rsidRDefault="002601E7" w:rsidP="00C4398E"/>
          <w:p w14:paraId="2334CFE3" w14:textId="6B188397" w:rsidR="002601E7" w:rsidRPr="002601E7" w:rsidRDefault="002601E7" w:rsidP="00C4398E">
            <w:r w:rsidRPr="002601E7">
              <w:t>Das Merit-Order-Modell ist</w:t>
            </w:r>
            <w:r w:rsidR="000B6BC5">
              <w:t xml:space="preserve"> </w:t>
            </w:r>
            <w:r>
              <w:t>ein</w:t>
            </w:r>
            <w:r w:rsidR="00891DD6">
              <w:t xml:space="preserve"> M</w:t>
            </w:r>
            <w:r>
              <w:t>odell</w:t>
            </w:r>
            <w:r w:rsidR="00891DD6">
              <w:t>, mit dem man sich die Strombörse besser vorstellen kann,</w:t>
            </w:r>
            <w:r>
              <w:t xml:space="preserve"> und </w:t>
            </w:r>
            <w:r w:rsidR="00891DD6">
              <w:t xml:space="preserve">es </w:t>
            </w:r>
            <w:r>
              <w:t>beruht auf mehreren Vereinfachungen</w:t>
            </w:r>
            <w:r w:rsidR="002733AB">
              <w:t>:</w:t>
            </w:r>
            <w:r>
              <w:t xml:space="preserve"> Dass es keine Landzeitverträge gibt. Dass alle Marktteilnehmer in jeder Stunde die gesam</w:t>
            </w:r>
            <w:r w:rsidR="0081585F">
              <w:t>te Nachfrage in einer einzigen Auktion bündeln. Siehe das gute Wikipedia zu Merit Order</w:t>
            </w:r>
            <w:r w:rsidR="00891DD6">
              <w:t>.</w:t>
            </w:r>
            <w:r w:rsidR="000B6BC5">
              <w:rPr>
                <w:rStyle w:val="Funotenzeichen"/>
              </w:rPr>
              <w:footnoteReference w:id="669"/>
            </w:r>
            <w:r w:rsidR="000B6BC5">
              <w:rPr>
                <w:rStyle w:val="Funotenzeichen"/>
              </w:rPr>
              <w:t>:</w:t>
            </w:r>
            <w:r w:rsidR="000B6BC5">
              <w:t xml:space="preserve"> </w:t>
            </w:r>
            <w:r w:rsidR="00891DD6">
              <w:t xml:space="preserve">Das Merit-Order-Modell stimmt aber nicht: </w:t>
            </w:r>
            <w:r w:rsidR="0081585F">
              <w:t xml:space="preserve">So gibt es bei konventionellen Kraftwerken keine stündlichen Gebote, sondern Blockgebote über mehrere Stunden, dass es für diese Kraftwerke </w:t>
            </w:r>
            <w:proofErr w:type="gramStart"/>
            <w:r w:rsidR="0081585F">
              <w:t>in der Regeln</w:t>
            </w:r>
            <w:proofErr w:type="gramEnd"/>
            <w:r w:rsidR="0081585F">
              <w:t xml:space="preserve"> auch nicht lohnt bzw. mit höheren Kosten verbunden ist, nur für 1 Stunde an- und wieder auszuschalten. Auch an der EPEX Spot Auktion werden Blockangebote abgegeben und über einen speziellen Preisermittlungsalgorithmus in die EEX einbezogen. Auch </w:t>
            </w:r>
            <w:r w:rsidR="000B6BC5">
              <w:t>dies kann</w:t>
            </w:r>
            <w:r w:rsidR="0081585F">
              <w:t xml:space="preserve"> zu negativen Preisen oder zu hohen Preisen</w:t>
            </w:r>
            <w:r w:rsidR="000B6BC5">
              <w:t xml:space="preserve"> führen</w:t>
            </w:r>
            <w:r w:rsidR="0081585F">
              <w:t>, etwa wenn ein Betreiber die Kraftwerke aufgrund der Kosten noch nicht anschalten will oder die Kraftwerke laufen und trotz niedriger Preise nicht abgeschaltet werden und dann etwa negative Preise entstehen.</w:t>
            </w:r>
            <w:r w:rsidR="0081585F">
              <w:rPr>
                <w:rStyle w:val="Funotenzeichen"/>
              </w:rPr>
              <w:footnoteReference w:id="670"/>
            </w:r>
            <w:r w:rsidR="0081585F">
              <w:t xml:space="preserve"> </w:t>
            </w:r>
            <w:r w:rsidR="000B6BC5">
              <w:t xml:space="preserve">Generell können erneuerbare Energien zu Einsparungen führen, zumindest an Tagen, an denen sie die Stromnachfrage zusammen mit den preisgünstigeren Grundlast- und </w:t>
            </w:r>
            <w:r w:rsidR="000B6BC5">
              <w:lastRenderedPageBreak/>
              <w:t xml:space="preserve">Mittellastkraftwerken </w:t>
            </w:r>
            <w:r w:rsidR="001201BF">
              <w:t>decken können, denn dann werden teure Spitzenlastkraftwerke, z.B. Gaskraftwerke nicht dazugeschaltet. An diesem Effekt gibt es aber auch Kritik, da diese Kraftwerke dann immer weniger Gewinn machen und sich kaum mehr finanzieren können.</w:t>
            </w:r>
            <w:r w:rsidR="001201BF">
              <w:rPr>
                <w:rStyle w:val="Funotenzeichen"/>
              </w:rPr>
              <w:footnoteReference w:id="671"/>
            </w:r>
            <w:r w:rsidR="0081585F">
              <w:t xml:space="preserve"> </w:t>
            </w:r>
          </w:p>
          <w:p w14:paraId="06CA3AD3" w14:textId="77777777" w:rsidR="002601E7" w:rsidRPr="002601E7" w:rsidRDefault="002601E7" w:rsidP="00C4398E"/>
          <w:p w14:paraId="36D494A8" w14:textId="671F05F0" w:rsidR="00C4398E" w:rsidRDefault="00C4398E" w:rsidP="00CD5089">
            <w:r>
              <w:t>Aus wettbewerbspolitischer Sicht wird bemerkt, dass der Strommarkt Erzeugern mit mehreren Kraftwerken die Möglichkeit gibt den Marktpreis anzuheben, durch sog. Kapazitätszurückhaltung, dies trifft nicht auf Solar- und Windenergie zu.</w:t>
            </w:r>
            <w:r>
              <w:rPr>
                <w:rStyle w:val="Funotenzeichen"/>
              </w:rPr>
              <w:t xml:space="preserve"> </w:t>
            </w:r>
            <w:r>
              <w:rPr>
                <w:rStyle w:val="Funotenzeichen"/>
              </w:rPr>
              <w:footnoteReference w:id="672"/>
            </w:r>
            <w:r>
              <w:t xml:space="preserve"> Siehe zur Marktmacht auch den folgenden Artikel von Axel Ockenfels.</w:t>
            </w:r>
            <w:r>
              <w:rPr>
                <w:rStyle w:val="Funotenzeichen"/>
              </w:rPr>
              <w:t xml:space="preserve"> </w:t>
            </w:r>
            <w:r>
              <w:rPr>
                <w:rStyle w:val="Funotenzeichen"/>
              </w:rPr>
              <w:footnoteReference w:id="673"/>
            </w:r>
            <w:r>
              <w:t xml:space="preserve"> Siehe die Webseite von Axel Ockenfels.</w:t>
            </w:r>
            <w:r>
              <w:rPr>
                <w:rStyle w:val="Funotenzeichen"/>
              </w:rPr>
              <w:footnoteReference w:id="674"/>
            </w:r>
            <w:r>
              <w:t xml:space="preserve"> Die Monopolkommission hat aus wettbewerblicher Sicht im 7. </w:t>
            </w:r>
            <w:proofErr w:type="spellStart"/>
            <w:r>
              <w:t>Sektorgutachten</w:t>
            </w:r>
            <w:proofErr w:type="spellEnd"/>
            <w:r>
              <w:t xml:space="preserve"> vor allem über Strommärkte berichtet</w:t>
            </w:r>
            <w:r>
              <w:rPr>
                <w:rStyle w:val="Funotenzeichen"/>
              </w:rPr>
              <w:footnoteReference w:id="675"/>
            </w:r>
            <w:r>
              <w:t xml:space="preserve"> in den beiden </w:t>
            </w:r>
            <w:proofErr w:type="spellStart"/>
            <w:r>
              <w:t>Sektorgutachten</w:t>
            </w:r>
            <w:proofErr w:type="spellEnd"/>
            <w:r>
              <w:t xml:space="preserve"> 8 und 9 jeweils Gedanken zu den Kapazitätsmärkten (Kap. 3)</w:t>
            </w:r>
            <w:r>
              <w:rPr>
                <w:rStyle w:val="Funotenzeichen"/>
              </w:rPr>
              <w:footnoteReference w:id="676"/>
            </w:r>
            <w:r>
              <w:t xml:space="preserve"> und Strommärkten veröffentlicht.</w:t>
            </w:r>
            <w:r>
              <w:rPr>
                <w:rStyle w:val="Funotenzeichen"/>
              </w:rPr>
              <w:footnoteReference w:id="677"/>
            </w:r>
            <w:r w:rsidR="001201BF">
              <w:t xml:space="preserve"> Das Strommarktdesign wird auch aus einer allgemeineren Perspektive diskutiert, auch wenn es um das Erreichen von Klimaschutzzielen geht, einen sehr guten Beitrag leistet hier eine Studie des Bundesumweltamtes.</w:t>
            </w:r>
            <w:r w:rsidR="001201BF">
              <w:rPr>
                <w:rStyle w:val="Funotenzeichen"/>
              </w:rPr>
              <w:footnoteReference w:id="678"/>
            </w:r>
          </w:p>
          <w:p w14:paraId="58AFA0B5" w14:textId="77777777" w:rsidR="00C4398E" w:rsidRDefault="00C4398E" w:rsidP="00CD5089"/>
          <w:p w14:paraId="10CF39AC" w14:textId="313CD48A" w:rsidR="00812976" w:rsidRDefault="00A96480" w:rsidP="00812976">
            <w:r>
              <w:t>Die Ampel-Regierung hat im Koalitionsvertrag festgehalten, dass ein neues Strommarktdesign</w:t>
            </w:r>
            <w:r w:rsidR="00411233">
              <w:t>, das sog. Klimaneutrale Stromdesign</w:t>
            </w:r>
            <w:r>
              <w:t xml:space="preserve"> entwickelt werden soll, dazu sind </w:t>
            </w:r>
            <w:r w:rsidR="00411233">
              <w:t>seit</w:t>
            </w:r>
            <w:r>
              <w:t xml:space="preserve"> Februar 2023 Treffen begonnen worden. </w:t>
            </w:r>
            <w:r w:rsidR="001451E2">
              <w:t>Die einzelnen Sitzungen sind hier dokumentiert.</w:t>
            </w:r>
            <w:r w:rsidR="001451E2">
              <w:rPr>
                <w:rStyle w:val="Funotenzeichen"/>
              </w:rPr>
              <w:footnoteReference w:id="679"/>
            </w:r>
            <w:r w:rsidR="001451E2">
              <w:t xml:space="preserve"> </w:t>
            </w:r>
            <w:r>
              <w:t xml:space="preserve">Der erste Bericht </w:t>
            </w:r>
            <w:r w:rsidR="001451E2">
              <w:t xml:space="preserve">und der </w:t>
            </w:r>
            <w:r>
              <w:t>zwei</w:t>
            </w:r>
            <w:r w:rsidR="001451E2">
              <w:t>te</w:t>
            </w:r>
            <w:r>
              <w:t xml:space="preserve"> Bericht </w:t>
            </w:r>
            <w:r w:rsidR="00411233">
              <w:t xml:space="preserve">der Plattform Klimaneutrales Stromsystem </w:t>
            </w:r>
            <w:r>
              <w:t>liegt vor.</w:t>
            </w:r>
            <w:r>
              <w:rPr>
                <w:rStyle w:val="Funotenzeichen"/>
              </w:rPr>
              <w:footnoteReference w:id="680"/>
            </w:r>
            <w:r>
              <w:t xml:space="preserve"> </w:t>
            </w:r>
            <w:r w:rsidR="00411233">
              <w:t>Siehe hier</w:t>
            </w:r>
            <w:r w:rsidR="001451E2">
              <w:t>zu auch</w:t>
            </w:r>
            <w:r w:rsidR="00411233">
              <w:t xml:space="preserve"> die Webseite der Bundesregierung.</w:t>
            </w:r>
            <w:r w:rsidR="00411233">
              <w:rPr>
                <w:rStyle w:val="Funotenzeichen"/>
              </w:rPr>
              <w:footnoteReference w:id="681"/>
            </w:r>
            <w:r w:rsidR="00411233">
              <w:t xml:space="preserve"> </w:t>
            </w:r>
            <w:r>
              <w:t xml:space="preserve">Hierzu hat schon 2021 der </w:t>
            </w:r>
            <w:r w:rsidR="00411233">
              <w:t>Bundesverband Erneuerbare Energie e.V. eine Studie vorgestellt, hier geht es etwa um Probleme bei zu niedrigen Preisen.</w:t>
            </w:r>
            <w:r w:rsidR="00411233">
              <w:rPr>
                <w:rStyle w:val="Funotenzeichen"/>
              </w:rPr>
              <w:footnoteReference w:id="682"/>
            </w:r>
            <w:r w:rsidR="00411233">
              <w:t xml:space="preserve"> Die Bundesregierung hat mit 6 Europäischen Staaten am 22.02.2023 ein 3-seitiges Positionspapier zum </w:t>
            </w:r>
            <w:r w:rsidR="00411233">
              <w:lastRenderedPageBreak/>
              <w:t>Europäischen Strommarktdesign erarbeitet.</w:t>
            </w:r>
            <w:r w:rsidR="00411233">
              <w:rPr>
                <w:rStyle w:val="Funotenzeichen"/>
              </w:rPr>
              <w:footnoteReference w:id="683"/>
            </w:r>
            <w:r w:rsidR="009B68E5">
              <w:t xml:space="preserve"> Am 01.08.2024 ist vom BMWK ein</w:t>
            </w:r>
            <w:r w:rsidR="00A01252">
              <w:t xml:space="preserve"> Bericht</w:t>
            </w:r>
            <w:r w:rsidR="009B68E5">
              <w:t xml:space="preserve"> mit dem Titel Strommarktdesign der Zukunft veröffentlicht worden</w:t>
            </w:r>
            <w:r w:rsidR="00CE7639">
              <w:t>, hier geht es darum, nach dem Auslaufen des EEG neue, europarechtskompatible Anreizformen zu entwickeln, favorisiert wird eine Kapazitätszahlung mit Refinanzierungsaspekt, dies ist eine feste Zahlung je nach kWh installierte Leistung, bei einer Kompensation für zu wenig Gewinne und eine Rückzahlung bei zu vielen Gewinnen gegenüber einer Referenzanlage. Ebenso wird diskutiert, wie eine Kapazitätsmechanismus ausgestaltet werden soll, dieses soll ab 2028 „operativ“ sein. Mit dem Kraftwerksicherheitsgesetz sind allerdings jetzt schon 5 GW für wasserstofffähige Gaskraftwerke ausgeschrieben worden und 2 GW für Modernisierungen.</w:t>
            </w:r>
            <w:r w:rsidR="009B68E5">
              <w:rPr>
                <w:rStyle w:val="Funotenzeichen"/>
              </w:rPr>
              <w:footnoteReference w:id="684"/>
            </w:r>
            <w:r w:rsidR="00812976">
              <w:t xml:space="preserve"> Nun ist am 17.01.2026 eine Einigung mit der </w:t>
            </w:r>
            <w:proofErr w:type="gramStart"/>
            <w:r w:rsidR="00812976">
              <w:t>EU Kommission</w:t>
            </w:r>
            <w:proofErr w:type="gramEnd"/>
            <w:r w:rsidR="00812976">
              <w:t xml:space="preserve"> erfolgt, ausgeschrieben werden nun Kraftwerke für 12 Gigawatt, davon müssen 10 Gigawatt langfristig Strom liefern können, d.h. Gaskraftwerke sein. Sämtliche Kraftwerke müssen wasserstofffähig sein. Bis 2040 sollen 2 GW und bis 2043 4 GW auf Wasserstoff umgestellt werden. Ab 2045 sollen die Anlagen zu Beginn schon mit Wasserstoff laufen, es wird allerdings angemerkt, dass dies technisch noch nicht ganz geklärt sei.</w:t>
            </w:r>
            <w:r w:rsidR="00812976">
              <w:rPr>
                <w:rStyle w:val="Funotenzeichen"/>
              </w:rPr>
              <w:footnoteReference w:id="685"/>
            </w:r>
          </w:p>
          <w:p w14:paraId="2B45F7F5" w14:textId="05B288E7" w:rsidR="00F7643F" w:rsidRDefault="009B68E5" w:rsidP="00CD5089">
            <w:r>
              <w:t xml:space="preserve"> </w:t>
            </w:r>
          </w:p>
          <w:p w14:paraId="1DCC1DCF" w14:textId="0FC7D48C" w:rsidR="007E1355" w:rsidRDefault="00EF74CB" w:rsidP="00CD5089">
            <w:r>
              <w:t>Eine Gruppe von Energieökonomen hat</w:t>
            </w:r>
            <w:r w:rsidR="00715DE0">
              <w:t xml:space="preserve"> im Juli 2024 </w:t>
            </w:r>
            <w:r>
              <w:t xml:space="preserve">in </w:t>
            </w:r>
            <w:r w:rsidR="00715DE0">
              <w:t xml:space="preserve">der </w:t>
            </w:r>
            <w:r>
              <w:t xml:space="preserve">FAZ einen Reformvorschlag </w:t>
            </w:r>
            <w:r w:rsidR="007E1355">
              <w:t xml:space="preserve">im Rahmen der Diskussion über Kapazitätsmärkte </w:t>
            </w:r>
            <w:r>
              <w:t>gemacht</w:t>
            </w:r>
            <w:r w:rsidR="007E1355">
              <w:t>.</w:t>
            </w:r>
            <w:r w:rsidR="001B3F49">
              <w:t xml:space="preserve"> </w:t>
            </w:r>
            <w:r>
              <w:t>Haupt</w:t>
            </w:r>
            <w:r w:rsidR="005B167B">
              <w:t>these ist, dass der Strom einen lokalen Wert hat und dass der Strompreis Angebot und Nachfrage regional ausgleichen soll. Gefordert wird das</w:t>
            </w:r>
            <w:r>
              <w:t xml:space="preserve"> Land in unterschiedliche Zonen aufzuteilen.</w:t>
            </w:r>
            <w:r w:rsidR="005B167B">
              <w:t xml:space="preserve"> </w:t>
            </w:r>
            <w:r w:rsidR="007E1355">
              <w:t>Dann würden Preissignale bessere Reaktionen der Marktteilnehmer am Strommarkt nach sich ziehen. Erneuerbare Energien würden vermehrt dort ausgebaut, wo Strommangel herrscht. Und</w:t>
            </w:r>
            <w:r w:rsidR="005B167B">
              <w:t xml:space="preserve"> der Redispa</w:t>
            </w:r>
            <w:r w:rsidR="007E1355">
              <w:t>tch würde verringert werden. Es wird auch beschreiben, dass man mit der Wahl der Standorte neuer Gaskraftwerke lokale Engpässe vermeiden kann, die Probleme würden aber bleiben.</w:t>
            </w:r>
            <w:r>
              <w:rPr>
                <w:rStyle w:val="Funotenzeichen"/>
              </w:rPr>
              <w:footnoteReference w:id="686"/>
            </w:r>
            <w:r w:rsidR="001C7BDF">
              <w:t xml:space="preserve"> </w:t>
            </w:r>
            <w:r w:rsidR="001026A0">
              <w:t>Weniger Tage</w:t>
            </w:r>
            <w:r w:rsidR="00BB2AE6">
              <w:t xml:space="preserve"> später wurde diesem</w:t>
            </w:r>
            <w:r w:rsidR="001026A0">
              <w:t xml:space="preserve"> Vorschlag von </w:t>
            </w:r>
            <w:r w:rsidR="00BB2AE6">
              <w:t xml:space="preserve">der </w:t>
            </w:r>
            <w:r w:rsidR="001026A0">
              <w:t>deutschen Wirtschaft</w:t>
            </w:r>
            <w:r w:rsidR="00BB2AE6">
              <w:t xml:space="preserve"> (15 Wirtschaftsverbände u.a. BDI, BDEW, VDA, VKA, VCI</w:t>
            </w:r>
            <w:r w:rsidR="001026A0">
              <w:t>, koordiniert mit dem Deutschen Gewerkschaftsbund</w:t>
            </w:r>
            <w:r w:rsidR="00B74A76">
              <w:t>)</w:t>
            </w:r>
            <w:r w:rsidR="001026A0">
              <w:t>, vehement widersproch</w:t>
            </w:r>
            <w:r w:rsidR="00BB2AE6">
              <w:t>en, angeführt wird, dass</w:t>
            </w:r>
            <w:r w:rsidR="00AF51DF">
              <w:t xml:space="preserve"> eine solche</w:t>
            </w:r>
            <w:r w:rsidR="00BB2AE6">
              <w:t xml:space="preserve"> Teilung länger dauern würde, es keine Planungssicherheit mehr gäbe</w:t>
            </w:r>
            <w:r w:rsidR="00AF51DF">
              <w:t>, bei niedrigen Strompreise eine hohe EEG Förderung drohen würde, bei niedrigen Strompreise im Norden kein Anreiz mehr da wäre, dort mehr erneuerbare Energien aufzubauen, dass Industrien nicht einfach aus Südwestdeutschland in den Norden verlagert werden können</w:t>
            </w:r>
            <w:r w:rsidR="00BB2AE6">
              <w:t xml:space="preserve"> und es wird befürchtet, dass Bayern und Baden-Württemberg dann höhere Strompreise hätten</w:t>
            </w:r>
            <w:r w:rsidR="00AF51DF">
              <w:t xml:space="preserve">, auch </w:t>
            </w:r>
            <w:r w:rsidR="00A005C8">
              <w:t xml:space="preserve">für </w:t>
            </w:r>
            <w:r w:rsidR="00AF51DF">
              <w:t>die Verbraucher dort</w:t>
            </w:r>
            <w:r w:rsidR="001026A0">
              <w:t>.</w:t>
            </w:r>
            <w:r w:rsidR="00AF51DF">
              <w:t xml:space="preserve"> Gesetzt werden sollte auf Netzausbau, mehr Speicher, mehr Elektrolyse, mehr Direktbelieferung von Gewerbe und Mittelstand.</w:t>
            </w:r>
            <w:r w:rsidR="001026A0">
              <w:rPr>
                <w:rStyle w:val="Funotenzeichen"/>
              </w:rPr>
              <w:footnoteReference w:id="687"/>
            </w:r>
          </w:p>
          <w:p w14:paraId="15C5C3D6" w14:textId="77777777" w:rsidR="00B74A76" w:rsidRDefault="00B74A76" w:rsidP="00CD5089"/>
          <w:p w14:paraId="30136015" w14:textId="61FABEFC" w:rsidR="005A782B" w:rsidRDefault="005A782B" w:rsidP="00CD5089">
            <w:r>
              <w:lastRenderedPageBreak/>
              <w:t xml:space="preserve">Auch die </w:t>
            </w:r>
            <w:proofErr w:type="spellStart"/>
            <w:r>
              <w:t>Entso</w:t>
            </w:r>
            <w:proofErr w:type="spellEnd"/>
            <w:r>
              <w:t xml:space="preserve">-e, der </w:t>
            </w:r>
            <w:r w:rsidRPr="005A782B">
              <w:t>Verband Europäischer Übertragungsnetzbetreiber</w:t>
            </w:r>
            <w:r>
              <w:t>, hat eine Aufteilung von Deutschland und Luxemburg in 5 Stromgebotszonen vorgeschlagen, mit dem Argument, dass dies in den Simulationen bis 339 Mill. Euro einsparen würde.</w:t>
            </w:r>
            <w:r>
              <w:rPr>
                <w:rStyle w:val="Funotenzeichen"/>
              </w:rPr>
              <w:footnoteReference w:id="688"/>
            </w:r>
            <w:r>
              <w:t xml:space="preserve"> Hier die Infos des sog. Bidding Zone Reviews.</w:t>
            </w:r>
            <w:r>
              <w:rPr>
                <w:rStyle w:val="Funotenzeichen"/>
              </w:rPr>
              <w:footnoteReference w:id="689"/>
            </w:r>
          </w:p>
          <w:p w14:paraId="7C96F37F" w14:textId="77777777" w:rsidR="005A782B" w:rsidRDefault="005A782B" w:rsidP="00CD5089"/>
          <w:p w14:paraId="25B75D93" w14:textId="791F1B99" w:rsidR="005A782B" w:rsidRDefault="005A782B" w:rsidP="00CD5089">
            <w:r>
              <w:t>Die Aufteilung in mehrere Stromgebotszonen wird in Deutschland abgelehnt, siehe den neue Koalitionsvertrag von CDU und SPD, siehe die Überschrift ‚Netze‘.</w:t>
            </w:r>
            <w:r>
              <w:rPr>
                <w:rStyle w:val="Funotenzeichen"/>
              </w:rPr>
              <w:footnoteReference w:id="690"/>
            </w:r>
          </w:p>
          <w:p w14:paraId="45FB63D2" w14:textId="77777777" w:rsidR="005A782B" w:rsidRDefault="005A782B" w:rsidP="00CD5089"/>
          <w:p w14:paraId="63C726B3" w14:textId="77777777" w:rsidR="00B74A76" w:rsidRDefault="001C7BDF" w:rsidP="00CD5089">
            <w:r>
              <w:t xml:space="preserve">Ein weiterer Vorschlag wird von Aurora Energy Research gemacht, unter dem Motto Flexibilität, der besagt, dass Nachfrage und Energiespeicherung flexibler werden muss mit Batteriespeichern, </w:t>
            </w:r>
            <w:proofErr w:type="spellStart"/>
            <w:r>
              <w:t>Redox</w:t>
            </w:r>
            <w:proofErr w:type="spellEnd"/>
            <w:r>
              <w:t>-Flow-Batterien, Biosgas- und Biomasseanlagen, durch Elektrolyseure, Elektroautos bei Stromüberfluss geladen werden, einer Industrie, die zeitlich verschoben produziert.</w:t>
            </w:r>
            <w:r w:rsidR="005B167B">
              <w:rPr>
                <w:rStyle w:val="Funotenzeichen"/>
              </w:rPr>
              <w:footnoteReference w:id="691"/>
            </w:r>
          </w:p>
          <w:p w14:paraId="14878874" w14:textId="77777777" w:rsidR="00896DB5" w:rsidRDefault="00896DB5" w:rsidP="00CD5089"/>
          <w:p w14:paraId="2E083A95" w14:textId="08AEF484" w:rsidR="00896DB5" w:rsidRDefault="00896DB5" w:rsidP="00CD5089">
            <w:r>
              <w:t xml:space="preserve">Beim Strommarkt gibt es weiterhin die EU-Ebene: für grenzüberschreitende Stromflüsse ist die Zusammenarbeit nationaler Regulierungsbehörden nötig, genannt European Network </w:t>
            </w:r>
            <w:proofErr w:type="spellStart"/>
            <w:r>
              <w:t>of</w:t>
            </w:r>
            <w:proofErr w:type="spellEnd"/>
            <w:r>
              <w:t xml:space="preserve"> Transmission System Operator, </w:t>
            </w:r>
            <w:proofErr w:type="spellStart"/>
            <w:r>
              <w:t>Entso</w:t>
            </w:r>
            <w:proofErr w:type="spellEnd"/>
            <w:r>
              <w:t>-e, wobei diese seit 2019 in einer Organisation auf europäischer Ebene zusammengeschlossen sind, der EU DSO Entity (DSO = Distribution System Operators)</w:t>
            </w:r>
            <w:r w:rsidRPr="00C10114">
              <w:rPr>
                <w:rStyle w:val="Funotenzeichen"/>
              </w:rPr>
              <w:t xml:space="preserve"> </w:t>
            </w:r>
            <w:r>
              <w:rPr>
                <w:rStyle w:val="Funotenzeichen"/>
              </w:rPr>
              <w:footnoteReference w:id="692"/>
            </w:r>
            <w:r>
              <w:t>.</w:t>
            </w:r>
            <w:r>
              <w:rPr>
                <w:rStyle w:val="Funotenzeichen"/>
              </w:rPr>
              <w:footnoteReference w:id="693"/>
            </w:r>
            <w:r>
              <w:t xml:space="preserve"> Es geht hier im Strombereich um mehrere Verordnungen: Strommarktrichtlinie, Strommarktverordnung, ACER-Verordnung und Risikovorsorge-Verordnung.</w:t>
            </w:r>
            <w:r>
              <w:rPr>
                <w:rStyle w:val="Funotenzeichen"/>
              </w:rPr>
              <w:footnoteReference w:id="694"/>
            </w:r>
            <w:r>
              <w:t xml:space="preserve"> Die ACER ist die Europäische Agentur für die Kooperation der Energieregulierungsbehörden.</w:t>
            </w:r>
            <w:r>
              <w:rPr>
                <w:rStyle w:val="Funotenzeichen"/>
              </w:rPr>
              <w:footnoteReference w:id="695"/>
            </w:r>
            <w:r>
              <w:t xml:space="preserve"> Die ACER überprüft auch die Strommärkte auf eventuelle betrügerische Geschäftspraktiken, mit sog. REMIT-Berichten.</w:t>
            </w:r>
            <w:r>
              <w:rPr>
                <w:rStyle w:val="Funotenzeichen"/>
              </w:rPr>
              <w:footnoteReference w:id="696"/>
            </w:r>
            <w:r>
              <w:t xml:space="preserve"> 70 % der Übertragungskapazitäten sollen für den grenzüberschreitenden Handel zur Verfügung stehen, Deutschland steht hier bei 41 %.</w:t>
            </w:r>
            <w:r>
              <w:rPr>
                <w:rStyle w:val="Funotenzeichen"/>
              </w:rPr>
              <w:footnoteReference w:id="697"/>
            </w:r>
          </w:p>
        </w:tc>
      </w:tr>
    </w:tbl>
    <w:p w14:paraId="5EADE93E" w14:textId="77777777" w:rsidR="00704E74" w:rsidRDefault="00704E74" w:rsidP="00112190"/>
    <w:p w14:paraId="4F25FAE2" w14:textId="7EFABBD4" w:rsidR="00112190" w:rsidRDefault="00112190" w:rsidP="00112190">
      <w:r>
        <w:t xml:space="preserve">Im EEG 2023 wurde nun festgelegt, </w:t>
      </w:r>
      <w:r w:rsidRPr="00F13850">
        <w:rPr>
          <w:u w:val="single"/>
        </w:rPr>
        <w:t>dass 80 % des Bruttostromverbrauchs im Jahr 2030 von erneuerbaren Quellen stammen soll. Windenergieanlagen an Land sollen 2030 dann 115 Gigawatt und Solaranlagen 215 Gigawatt Leistung haben</w:t>
      </w:r>
      <w:r>
        <w:t>.</w:t>
      </w:r>
      <w:r>
        <w:rPr>
          <w:rStyle w:val="Funotenzeichen"/>
        </w:rPr>
        <w:footnoteReference w:id="698"/>
      </w:r>
      <w:r>
        <w:t xml:space="preserve"> Dazu werden derzeit die Ausschreibungen der Bundesnetzagentur für Windenergie und Solarenergie erhöht, im Jahr 2023 für Windenergie auf 12.840 MW</w:t>
      </w:r>
      <w:r>
        <w:rPr>
          <w:rStyle w:val="Funotenzeichen"/>
        </w:rPr>
        <w:footnoteReference w:id="699"/>
      </w:r>
      <w:r>
        <w:t>, für Solarenergie auf 650 MW.</w:t>
      </w:r>
      <w:r>
        <w:rPr>
          <w:rStyle w:val="Funotenzeichen"/>
        </w:rPr>
        <w:footnoteReference w:id="700"/>
      </w:r>
      <w:r>
        <w:t xml:space="preserve"> </w:t>
      </w:r>
    </w:p>
    <w:p w14:paraId="7F3C7CBD" w14:textId="1FF07976" w:rsidR="00143890" w:rsidRDefault="00143890" w:rsidP="00112190"/>
    <w:p w14:paraId="5DF2E432" w14:textId="0D181D1D" w:rsidR="00143890" w:rsidRDefault="00143890" w:rsidP="00F965A8">
      <w:r>
        <w:t xml:space="preserve">Im EEG finden sich folgende Ausbaupfade, § 4 </w:t>
      </w:r>
      <w:r w:rsidR="00F965A8">
        <w:t xml:space="preserve">Abs. 1 </w:t>
      </w:r>
      <w:r>
        <w:t xml:space="preserve">Ausbaupfad: „eine Steigerung der installierten Leistung von Windenergieanlagen an Land auf a) 69 Gigawatt im Jahr 2024, b) 84 Gigawatt im Jahr </w:t>
      </w:r>
      <w:r>
        <w:lastRenderedPageBreak/>
        <w:t xml:space="preserve">2026, c) 99 Gigawatt im Jahr 2028, d) </w:t>
      </w:r>
      <w:r w:rsidRPr="00F965A8">
        <w:rPr>
          <w:u w:val="single"/>
        </w:rPr>
        <w:t>115 Gigawatt im Jahr 2030</w:t>
      </w:r>
      <w:r>
        <w:t xml:space="preserve">, e) 157 Gigawatt im Jahr 2035 und f) </w:t>
      </w:r>
      <w:r w:rsidR="00F965A8">
        <w:t>1</w:t>
      </w:r>
      <w:r>
        <w:t>60 Gigawatt im Jahr 2040 sowie den Erhalt dieser installierten Leistung nach dem Jahr 2040</w:t>
      </w:r>
      <w:r w:rsidR="00F965A8">
        <w:t xml:space="preserve">, Abs. 2 </w:t>
      </w:r>
      <w:r w:rsidR="00F965A8" w:rsidRPr="00F965A8">
        <w:t>eine Steigerung der installierten Leistung von Windenergieanlagen auf See nach Maßgabe des Windenergie-auf-See-Gesetzes,</w:t>
      </w:r>
      <w:r w:rsidR="00F965A8">
        <w:t xml:space="preserve"> Abs. 3. eine Steigerung der installierten Leistung von Solaranlagen auf a) 88 Gigawatt im Jahr 2024, b) 128 Gigawatt im Jahr 2026, c) 172 Gigawatt im Jahr 2028, d) </w:t>
      </w:r>
      <w:r w:rsidR="00F965A8" w:rsidRPr="00F965A8">
        <w:rPr>
          <w:u w:val="single"/>
        </w:rPr>
        <w:t>215 Gigawatt im Jahr 2030</w:t>
      </w:r>
      <w:r w:rsidR="00F965A8">
        <w:t>, e) 309 Gigawatt im Jahr 2035 und f) 400 Gigawatt im Jahr 2040 sowie den Erhalt dieser Leistung nach dem Jahr 2040 und 4. eine installierte Leistung von Biomasseanlagen von 8 400 Megawatt im Jahr 2030.“</w:t>
      </w:r>
      <w:r w:rsidR="00F965A8">
        <w:rPr>
          <w:rStyle w:val="Funotenzeichen"/>
        </w:rPr>
        <w:footnoteReference w:id="701"/>
      </w:r>
    </w:p>
    <w:p w14:paraId="7F167CD3" w14:textId="77777777" w:rsidR="00112190" w:rsidRDefault="00112190" w:rsidP="00112190"/>
    <w:p w14:paraId="5DF26E7E" w14:textId="4CAC67D4" w:rsidR="00F965A8" w:rsidRDefault="00F965A8" w:rsidP="00112190">
      <w:r>
        <w:t xml:space="preserve">In § 4a Strommengenpfad, werden Stromrichtwerte festgelegt, </w:t>
      </w:r>
      <w:r w:rsidRPr="00F965A8">
        <w:rPr>
          <w:u w:val="single"/>
        </w:rPr>
        <w:t>hier wird bis 2030 ein Ausbau auf 600 TWh festgelegt</w:t>
      </w:r>
      <w:r>
        <w:t>.</w:t>
      </w:r>
    </w:p>
    <w:p w14:paraId="7F657E63" w14:textId="77777777" w:rsidR="00F965A8" w:rsidRDefault="00F965A8" w:rsidP="00112190"/>
    <w:p w14:paraId="478BFD85" w14:textId="77777777" w:rsidR="00B637A1" w:rsidRDefault="00112190" w:rsidP="00112190">
      <w:r>
        <w:t>Im EEG 2023 ist weiterhin neu, dass Bürgerenergiegesellschaften Windenergie an Land für 18 MW und Solar für 6 MW bauen dürfen - weitgehend - ohne an Ausschreibungen teilnehmen zu müssen</w:t>
      </w:r>
      <w:r>
        <w:rPr>
          <w:rStyle w:val="Funotenzeichen"/>
        </w:rPr>
        <w:footnoteReference w:id="702"/>
      </w:r>
      <w:r>
        <w:t xml:space="preserve"> und sie bekommen offenkundig dann trotzdem die </w:t>
      </w:r>
      <w:proofErr w:type="gramStart"/>
      <w:r>
        <w:t>EEG Förderung</w:t>
      </w:r>
      <w:proofErr w:type="gramEnd"/>
      <w:r>
        <w:t xml:space="preserve">. </w:t>
      </w:r>
      <w:r w:rsidRPr="009744FA">
        <w:rPr>
          <w:u w:val="single"/>
        </w:rPr>
        <w:t>Nach der Vollendung des Kohleausstiegs soll der weitere Ausbau erneuerbarer Energien ohne Ausschreibungen etc. rein über den Markt erfolgen</w:t>
      </w:r>
      <w:r>
        <w:t>, siehe Kirch et al. (2022)</w:t>
      </w:r>
      <w:r w:rsidR="00B637A1">
        <w:t>.</w:t>
      </w:r>
      <w:r>
        <w:rPr>
          <w:rStyle w:val="Funotenzeichen"/>
        </w:rPr>
        <w:footnoteReference w:id="703"/>
      </w:r>
      <w:r>
        <w:t xml:space="preserve"> </w:t>
      </w:r>
    </w:p>
    <w:p w14:paraId="205ABACE" w14:textId="77777777" w:rsidR="00B637A1" w:rsidRDefault="00B637A1" w:rsidP="00112190"/>
    <w:tbl>
      <w:tblPr>
        <w:tblStyle w:val="Tabellenraster"/>
        <w:tblW w:w="0" w:type="auto"/>
        <w:tblLook w:val="04A0" w:firstRow="1" w:lastRow="0" w:firstColumn="1" w:lastColumn="0" w:noHBand="0" w:noVBand="1"/>
      </w:tblPr>
      <w:tblGrid>
        <w:gridCol w:w="9062"/>
      </w:tblGrid>
      <w:tr w:rsidR="00310A05" w14:paraId="4DB31A30" w14:textId="77777777" w:rsidTr="00310A05">
        <w:tc>
          <w:tcPr>
            <w:tcW w:w="9062" w:type="dxa"/>
          </w:tcPr>
          <w:p w14:paraId="33B8A588" w14:textId="3EE19960" w:rsidR="00310A05" w:rsidRDefault="00310A05" w:rsidP="00112190">
            <w:r>
              <w:t xml:space="preserve">Alles soll </w:t>
            </w:r>
            <w:r w:rsidRPr="00310A05">
              <w:rPr>
                <w:b/>
                <w:bCs/>
              </w:rPr>
              <w:t>neu</w:t>
            </w:r>
            <w:r>
              <w:t xml:space="preserve"> gemacht werden</w:t>
            </w:r>
            <w:r w:rsidR="00F7643F">
              <w:t>, das EEG soll ggf. 2026 auslaufen</w:t>
            </w:r>
            <w:r>
              <w:t>: Seit Monaten diskutieren Energiewirtschaft, Netzagentur und Bundesregierung, wie man das Stromsystem und die erneuerbaren Energien neu aufstellen kann. Jetzt ist durchgesickert, dass das EEG ggf. 2026 auslaufen soll. Es sollen nun Investitionen gefördert werden. Es soll vermehrt dynamische Stromtarife geben. Ende August 2024 soll ein solcher Vorschlag dem Kabinett vorgelegt werden.</w:t>
            </w:r>
            <w:r>
              <w:rPr>
                <w:rStyle w:val="Funotenzeichen"/>
              </w:rPr>
              <w:footnoteReference w:id="704"/>
            </w:r>
            <w:r w:rsidR="009B68E5">
              <w:t xml:space="preserve"> Siehe hierzu BMWK. Strommarktdesign der Zukunft, 01.08.2024.</w:t>
            </w:r>
            <w:r w:rsidR="009B68E5">
              <w:rPr>
                <w:rStyle w:val="Funotenzeichen"/>
              </w:rPr>
              <w:footnoteReference w:id="705"/>
            </w:r>
            <w:r w:rsidR="009B68E5">
              <w:t xml:space="preserve"> </w:t>
            </w:r>
            <w:r w:rsidR="006A70CB">
              <w:t xml:space="preserve">Vermehrt soll auf Differenzverträge gesetzt werden. </w:t>
            </w:r>
            <w:r w:rsidR="009E4981">
              <w:t xml:space="preserve">Die favorisierte </w:t>
            </w:r>
            <w:r w:rsidR="006A70CB">
              <w:t xml:space="preserve">Variante </w:t>
            </w:r>
            <w:r w:rsidR="009E4981">
              <w:t>ist ein</w:t>
            </w:r>
            <w:r w:rsidR="006A70CB">
              <w:t xml:space="preserve"> Differenzvertrag</w:t>
            </w:r>
            <w:r w:rsidR="009E4981">
              <w:t>, der</w:t>
            </w:r>
            <w:r w:rsidR="006A70CB">
              <w:t xml:space="preserve"> von der Stromproduktion unabhängig </w:t>
            </w:r>
            <w:r w:rsidR="009E4981">
              <w:t xml:space="preserve">ist </w:t>
            </w:r>
            <w:r w:rsidR="006A70CB">
              <w:t xml:space="preserve">und </w:t>
            </w:r>
            <w:r w:rsidR="009E4981">
              <w:t xml:space="preserve">der </w:t>
            </w:r>
            <w:r w:rsidR="006A70CB">
              <w:t>eine</w:t>
            </w:r>
            <w:r w:rsidR="009E4981">
              <w:t xml:space="preserve"> </w:t>
            </w:r>
            <w:r w:rsidR="006A70CB">
              <w:t>Vergütung je nach Kilowatt installierter Leistung vor</w:t>
            </w:r>
            <w:r w:rsidR="009E4981">
              <w:t>sieht</w:t>
            </w:r>
            <w:r w:rsidR="006A70CB">
              <w:t>, die über einen längeren Zeitraum gestreckt gezahlt wird, ergänzt durch einen Refinanzierungsbeitrag</w:t>
            </w:r>
            <w:r w:rsidR="009E4981">
              <w:t>, eine Rückzahlung bei zu hohen Gewinnen</w:t>
            </w:r>
            <w:r w:rsidR="006A70CB">
              <w:t>.</w:t>
            </w:r>
            <w:r w:rsidR="009E4981">
              <w:rPr>
                <w:rStyle w:val="Funotenzeichen"/>
              </w:rPr>
              <w:footnoteReference w:id="706"/>
            </w:r>
            <w:r w:rsidR="006A70CB">
              <w:t xml:space="preserve"> Dies wird offenbar vo</w:t>
            </w:r>
            <w:r w:rsidR="0016518D">
              <w:t xml:space="preserve">n der Bundesregierung befürwortet, </w:t>
            </w:r>
            <w:r w:rsidR="009E4981">
              <w:t xml:space="preserve">in einer anderen Formulierung wird dies so bezeichnet: </w:t>
            </w:r>
            <w:r w:rsidR="0016518D">
              <w:t xml:space="preserve">nun </w:t>
            </w:r>
            <w:r w:rsidR="009E4981">
              <w:t>würde</w:t>
            </w:r>
            <w:r w:rsidR="0016518D">
              <w:t xml:space="preserve"> </w:t>
            </w:r>
            <w:r w:rsidR="009E4981">
              <w:t xml:space="preserve">die </w:t>
            </w:r>
            <w:r w:rsidR="0016518D">
              <w:t>Investition und nicht mehr de</w:t>
            </w:r>
            <w:r w:rsidR="009E4981">
              <w:t>r</w:t>
            </w:r>
            <w:r w:rsidR="0016518D">
              <w:t xml:space="preserve"> erzeugte Strom </w:t>
            </w:r>
            <w:r w:rsidR="009E4981">
              <w:t>ge</w:t>
            </w:r>
            <w:r w:rsidR="0016518D">
              <w:t>förde</w:t>
            </w:r>
            <w:r w:rsidR="009E4981">
              <w:t>rt</w:t>
            </w:r>
            <w:r w:rsidR="0016518D">
              <w:t>, wie in der Wachstumsinitiative vereinbar,</w:t>
            </w:r>
            <w:r w:rsidR="006A70CB">
              <w:t xml:space="preserve"> siehe diesen FAZ-Artikel.</w:t>
            </w:r>
            <w:r w:rsidR="006A70CB">
              <w:rPr>
                <w:rStyle w:val="Funotenzeichen"/>
              </w:rPr>
              <w:footnoteReference w:id="707"/>
            </w:r>
          </w:p>
        </w:tc>
      </w:tr>
    </w:tbl>
    <w:p w14:paraId="33F5915F" w14:textId="77777777" w:rsidR="00310A05" w:rsidRDefault="00310A05" w:rsidP="00112190"/>
    <w:p w14:paraId="1CBFAADB" w14:textId="6089C516" w:rsidR="00112190" w:rsidRDefault="00B637A1" w:rsidP="00112190">
      <w:r w:rsidRPr="00F201EB">
        <w:rPr>
          <w:u w:val="single"/>
        </w:rPr>
        <w:t>Bürgerenergiegesellschaften</w:t>
      </w:r>
      <w:r>
        <w:t xml:space="preserve"> können ab dem 1. Juli 2024 zu 70 % ihre Planungs- und Genehmigungsphase vorfinanzieren lassen, bei späterer Rückzahlung, Höchstgrenze sind 300.000 Euro. Nun sind nur noch 15 Mitglieder nötig.</w:t>
      </w:r>
      <w:r>
        <w:rPr>
          <w:rStyle w:val="Funotenzeichen"/>
        </w:rPr>
        <w:footnoteReference w:id="708"/>
      </w:r>
      <w:r>
        <w:t xml:space="preserve"> </w:t>
      </w:r>
    </w:p>
    <w:p w14:paraId="000A654F" w14:textId="77777777" w:rsidR="00112190" w:rsidRDefault="00112190" w:rsidP="00112190"/>
    <w:p w14:paraId="61BDBB5D" w14:textId="3B4C4B1E" w:rsidR="002E75E8" w:rsidRDefault="00EE5F2B" w:rsidP="00112190">
      <w:r w:rsidRPr="00EE5F2B">
        <w:rPr>
          <w:u w:val="single"/>
        </w:rPr>
        <w:lastRenderedPageBreak/>
        <w:t>Neu ist das Phänomen der Bürgerenergiegesetze</w:t>
      </w:r>
      <w:r>
        <w:t xml:space="preserve">. </w:t>
      </w:r>
      <w:r w:rsidR="002E75E8">
        <w:t>Die Bürgerenergiegesetz</w:t>
      </w:r>
      <w:r w:rsidR="00D44747">
        <w:t>e</w:t>
      </w:r>
      <w:r w:rsidR="002E75E8">
        <w:t xml:space="preserve"> verbreiten sich derzeit in ganz Deutschland</w:t>
      </w:r>
      <w:r w:rsidR="00D44747">
        <w:t xml:space="preserve">, sie gibt es </w:t>
      </w:r>
      <w:r w:rsidR="002E75E8">
        <w:t xml:space="preserve">z.B. </w:t>
      </w:r>
      <w:r w:rsidR="00D44747">
        <w:t xml:space="preserve">in NRW, </w:t>
      </w:r>
      <w:r w:rsidR="002E75E8">
        <w:t>Mecklenburg-Vorpommern</w:t>
      </w:r>
      <w:r w:rsidR="00D44747">
        <w:t xml:space="preserve"> und Sachsen (mehr kann hier nicht aus Zeitgründen recherchiert werden. </w:t>
      </w:r>
      <w:r w:rsidR="00445A9F">
        <w:t>Das frühe Gesetz i</w:t>
      </w:r>
      <w:r w:rsidR="00D44747">
        <w:t>n Mecklenburg-Vorpommer</w:t>
      </w:r>
      <w:r w:rsidR="00445A9F">
        <w:t>n wurde vom BVerfG, siehe 1 BvR 1187/17</w:t>
      </w:r>
      <w:r w:rsidR="00445A9F">
        <w:rPr>
          <w:rStyle w:val="Funotenzeichen"/>
        </w:rPr>
        <w:footnoteReference w:id="709"/>
      </w:r>
      <w:r w:rsidR="00445A9F">
        <w:t xml:space="preserve">, erlaubt, Ziel ist es u.a. die Verbesserung der Akzeptanz </w:t>
      </w:r>
      <w:r w:rsidR="00F046E9">
        <w:t>der erneuerbaren Energien</w:t>
      </w:r>
      <w:r w:rsidR="00445A9F">
        <w:t xml:space="preserve"> </w:t>
      </w:r>
      <w:proofErr w:type="gramStart"/>
      <w:r w:rsidR="00445A9F">
        <w:t xml:space="preserve">bei </w:t>
      </w:r>
      <w:r w:rsidR="00F046E9">
        <w:t>den Bewohner</w:t>
      </w:r>
      <w:proofErr w:type="gramEnd"/>
      <w:r w:rsidR="00F046E9">
        <w:t xml:space="preserve"> in der Nähe</w:t>
      </w:r>
      <w:r w:rsidR="00445A9F">
        <w:t>, immerhin geht es in diesen Gesetzen darum, dass ein privater Investor gezwungen wird, ein Teil seiner Gewinne abzugeben oder Beteiligungen zuzulassen.</w:t>
      </w:r>
      <w:r w:rsidR="00D44747">
        <w:t xml:space="preserve"> </w:t>
      </w:r>
      <w:r w:rsidR="00445A9F">
        <w:t xml:space="preserve">In Mecklenburg-Vorpommern </w:t>
      </w:r>
      <w:r w:rsidR="00D44747">
        <w:t>wird</w:t>
      </w:r>
      <w:r w:rsidR="002E75E8">
        <w:t xml:space="preserve"> </w:t>
      </w:r>
      <w:r w:rsidR="00D44747">
        <w:t xml:space="preserve">derzeit </w:t>
      </w:r>
      <w:r w:rsidR="002E75E8">
        <w:t>überlegt, d</w:t>
      </w:r>
      <w:r w:rsidR="00D44747">
        <w:t>as Gesetz zu verändern und Solar dazu zu nehmen.</w:t>
      </w:r>
      <w:r w:rsidR="00F046E9">
        <w:rPr>
          <w:rStyle w:val="Funotenzeichen"/>
        </w:rPr>
        <w:footnoteReference w:id="710"/>
      </w:r>
      <w:r w:rsidR="002E75E8">
        <w:t xml:space="preserve"> In Mecklenburg-Vorpommern </w:t>
      </w:r>
      <w:r w:rsidR="00D44747">
        <w:t xml:space="preserve">gibt es mehrere Möglichkeiten, dass Bürger Bürgerbeteiligungen erwerben, dann ist </w:t>
      </w:r>
      <w:r w:rsidR="002E75E8">
        <w:t>eine Beteiligung der Gemeinden möglich, wobei Gewinne ausgeschüttet werden und Projekte von Gemeinden damit bezahlt werden können</w:t>
      </w:r>
      <w:r w:rsidR="00D44747">
        <w:t>, es gibt eine Ausgleichsabgabe und – das ist interessant: eine freie Option, also auch vergünstigter Stromtarif oder eine direkte Bonuszahlung, dies wird Fall-zu-Fall vom Ministerium genehmigt</w:t>
      </w:r>
      <w:r w:rsidR="002E75E8">
        <w:t>.</w:t>
      </w:r>
      <w:r w:rsidR="00D44747">
        <w:rPr>
          <w:rStyle w:val="Funotenzeichen"/>
        </w:rPr>
        <w:footnoteReference w:id="711"/>
      </w:r>
      <w:r w:rsidR="002E75E8">
        <w:t xml:space="preserve"> </w:t>
      </w:r>
      <w:r w:rsidR="00F046E9">
        <w:t>Beispiele in MV auf dieser Webseite.</w:t>
      </w:r>
      <w:r w:rsidR="00F046E9">
        <w:rPr>
          <w:rStyle w:val="Funotenzeichen"/>
        </w:rPr>
        <w:footnoteReference w:id="712"/>
      </w:r>
    </w:p>
    <w:p w14:paraId="79B3A409" w14:textId="77777777" w:rsidR="00D44747" w:rsidRDefault="00D44747" w:rsidP="00112190"/>
    <w:p w14:paraId="27B5DFC9" w14:textId="56C4C32D" w:rsidR="00D44747" w:rsidRDefault="00D44747" w:rsidP="00D44747">
      <w:r>
        <w:t>In Sachsen wird das 2 % Flächenziel derzeit auf 2032 verschoben, und das Beteiligungsgesetz wird nun nach 1 Jahr wieder verändert.</w:t>
      </w:r>
      <w:r>
        <w:rPr>
          <w:rStyle w:val="Funotenzeichen"/>
        </w:rPr>
        <w:footnoteReference w:id="713"/>
      </w:r>
      <w:r>
        <w:t xml:space="preserve"> Bei der Beteiligung geht es um 0,1 Cent / kWh, dies sind offenbar Werte von 10 Euro im Jahr. In Sachsen </w:t>
      </w:r>
      <w:proofErr w:type="gramStart"/>
      <w:r>
        <w:t>wurde</w:t>
      </w:r>
      <w:proofErr w:type="gramEnd"/>
      <w:r>
        <w:t xml:space="preserve"> auch die Regeln mit dem Umkreis von 2500 Meter eingeführt, hier ist </w:t>
      </w:r>
      <w:r w:rsidR="001B3E01">
        <w:t>als</w:t>
      </w:r>
      <w:r>
        <w:t xml:space="preserve"> Problem erkannt worden, dass manchmal 335 Leute und manchmal 20.000 Menschen </w:t>
      </w:r>
      <w:r w:rsidR="001B3E01">
        <w:t>im</w:t>
      </w:r>
      <w:r>
        <w:t xml:space="preserve"> Umkreis wohnen.</w:t>
      </w:r>
      <w:r>
        <w:rPr>
          <w:rStyle w:val="Funotenzeichen"/>
        </w:rPr>
        <w:footnoteReference w:id="714"/>
      </w:r>
    </w:p>
    <w:p w14:paraId="442F9EA0" w14:textId="77777777" w:rsidR="002E75E8" w:rsidRDefault="002E75E8" w:rsidP="00112190"/>
    <w:p w14:paraId="20C0FED3" w14:textId="14DC353C" w:rsidR="004F2F18" w:rsidRDefault="004F2F18" w:rsidP="00112190">
      <w:r>
        <w:t xml:space="preserve">In NRW wird durch das Bürgerenergiegesetz ermöglicht, dass Bürger vom Aufbau von erneuerbaren Energien profitieren </w:t>
      </w:r>
      <w:r w:rsidR="00EE5F2B">
        <w:t>müssen</w:t>
      </w:r>
      <w:r>
        <w:t xml:space="preserve">. </w:t>
      </w:r>
      <w:r w:rsidR="00EE5F2B">
        <w:t>D</w:t>
      </w:r>
      <w:r>
        <w:t xml:space="preserve">ie finanzielle Beteiligung von Kommunen ist gedeckelt, auf 0,2 Cent / kWh, weil hier befürchtet wird, </w:t>
      </w:r>
      <w:proofErr w:type="gramStart"/>
      <w:r>
        <w:t>das</w:t>
      </w:r>
      <w:proofErr w:type="gramEnd"/>
      <w:r>
        <w:t xml:space="preserve"> Straftatbestände, wie Bestechlichkeit und Vorteilsnahme, vorliegen könnten, wenn eine Kommune quasi mit Geld dazu gebracht wird, Flächen für erneuerbare Energien freizumachen.</w:t>
      </w:r>
      <w:r w:rsidR="00EE5F2B">
        <w:t xml:space="preserve"> D</w:t>
      </w:r>
      <w:r>
        <w:t>ie Verwendung der Gelder</w:t>
      </w:r>
      <w:r w:rsidR="00EE5F2B">
        <w:t xml:space="preserve"> durch die Kommunen</w:t>
      </w:r>
      <w:r>
        <w:t xml:space="preserve"> ist zweckgebunden. Auf der anderen Seite ist es möglich, dass lokale Energieversorger Strompreise für Anwohner im Umkreis von Anlagen senken dürfen oder direkte Zahlungen an Bürger, ein sog. Windbürgergeld</w:t>
      </w:r>
      <w:r w:rsidR="00EE5F2B">
        <w:t>, erlaubt ist dies aber nur für die Gemeinde und für einen Umkreis von 2500 Meter ausgehend vom Windrad, ggf. sind auch mehrere Gemeinden möglich. Gemeinde und Anlagenbetreiber müssen sich einigen, sonst muss der Anlagenbetreiber 0,8 Cent / kWh zahlen.</w:t>
      </w:r>
      <w:r>
        <w:rPr>
          <w:rStyle w:val="Funotenzeichen"/>
        </w:rPr>
        <w:footnoteReference w:id="715"/>
      </w:r>
    </w:p>
    <w:p w14:paraId="46619942" w14:textId="77777777" w:rsidR="004F2F18" w:rsidRDefault="004F2F18" w:rsidP="00112190"/>
    <w:tbl>
      <w:tblPr>
        <w:tblStyle w:val="Tabellenraster"/>
        <w:tblW w:w="0" w:type="auto"/>
        <w:tblLook w:val="04A0" w:firstRow="1" w:lastRow="0" w:firstColumn="1" w:lastColumn="0" w:noHBand="0" w:noVBand="1"/>
      </w:tblPr>
      <w:tblGrid>
        <w:gridCol w:w="9062"/>
      </w:tblGrid>
      <w:tr w:rsidR="00445A9F" w14:paraId="388D4E06" w14:textId="77777777">
        <w:tc>
          <w:tcPr>
            <w:tcW w:w="9062" w:type="dxa"/>
          </w:tcPr>
          <w:p w14:paraId="27A6796F" w14:textId="3AFAE89D" w:rsidR="00445A9F" w:rsidRDefault="00445A9F" w:rsidP="00112190">
            <w:r>
              <w:t>Es ist schade, dass einzelne Anlagen offenkundig keinen richtigen Wumms haben.</w:t>
            </w:r>
            <w:r w:rsidR="009064EF">
              <w:t xml:space="preserve"> Bei Wind scheint es besser zu klappen, aber z.B. Photovoltaikbetreiber</w:t>
            </w:r>
            <w:r w:rsidR="001B3E01">
              <w:rPr>
                <w:rStyle w:val="Funotenzeichen"/>
              </w:rPr>
              <w:footnoteReference w:id="716"/>
            </w:r>
            <w:r w:rsidR="009064EF">
              <w:t xml:space="preserve"> könnten mit Bonuszahlungen schon überfordert sein. Die Akzeptanz des Ausbaus erneuerbarer Energien würde z.B. gewinnen, wenn </w:t>
            </w:r>
            <w:r w:rsidR="009064EF">
              <w:lastRenderedPageBreak/>
              <w:t xml:space="preserve">günstige Strompreise oder Bonuszahlungen höhere Werte annehmen. Mir schwebt hier nicht eine Gemeinde und ein kleiner Windpark, sondern ein groß angelegter Ausbau von Windenergie in einer Region vor, </w:t>
            </w:r>
            <w:proofErr w:type="gramStart"/>
            <w:r w:rsidR="009064EF">
              <w:t>bei dem näher gelegene</w:t>
            </w:r>
            <w:r w:rsidR="002839D9">
              <w:t>n</w:t>
            </w:r>
            <w:r w:rsidR="009064EF">
              <w:t xml:space="preserve"> Gemeinden</w:t>
            </w:r>
            <w:proofErr w:type="gramEnd"/>
            <w:r w:rsidR="009064EF">
              <w:t xml:space="preserve"> mit günstigen Strompreisen und Bonuszahlungen profitieren, aber mit 500 Euro statt 10 Euro pro Jahr. Und die Bereitstellung von </w:t>
            </w:r>
            <w:r w:rsidR="001B3E01">
              <w:t xml:space="preserve">vielen </w:t>
            </w:r>
            <w:r w:rsidR="009064EF">
              <w:t xml:space="preserve">günstigen Aufladestationen für E-Scooter und E-Autos </w:t>
            </w:r>
            <w:r w:rsidR="001B3E01">
              <w:t xml:space="preserve">in einem größeren Umkreis, für die ganze Region. </w:t>
            </w:r>
            <w:r w:rsidR="009064EF">
              <w:t xml:space="preserve">  </w:t>
            </w:r>
          </w:p>
        </w:tc>
      </w:tr>
    </w:tbl>
    <w:p w14:paraId="365367F2" w14:textId="77777777" w:rsidR="0078606A" w:rsidRDefault="0078606A" w:rsidP="00112190"/>
    <w:p w14:paraId="5A2947D6" w14:textId="380F9ED1" w:rsidR="009274A5" w:rsidRDefault="00F201EB" w:rsidP="00112190">
      <w:r w:rsidRPr="00F201EB">
        <w:rPr>
          <w:u w:val="single"/>
        </w:rPr>
        <w:t>Solarpaket I</w:t>
      </w:r>
      <w:r>
        <w:t xml:space="preserve">. </w:t>
      </w:r>
      <w:r w:rsidR="009274A5">
        <w:t xml:space="preserve">Der Ausbau von Solaranlagen wurde nun durch das Solarpaket </w:t>
      </w:r>
      <w:proofErr w:type="spellStart"/>
      <w:proofErr w:type="gramStart"/>
      <w:r w:rsidR="009274A5">
        <w:t>I,Gesetz</w:t>
      </w:r>
      <w:proofErr w:type="spellEnd"/>
      <w:proofErr w:type="gramEnd"/>
      <w:r w:rsidR="009274A5">
        <w:t xml:space="preserve"> zur Änderung des EEG und weiterer energiewirtschaftlicher Vorschriften zur Steigerung des Ausbaus photovoltaischer Energieerzeugung</w:t>
      </w:r>
      <w:r>
        <w:t>‘</w:t>
      </w:r>
      <w:r w:rsidR="006712B9">
        <w:t>,</w:t>
      </w:r>
      <w:r w:rsidR="009274A5">
        <w:t xml:space="preserve"> erleichtert, dieses wurde im August 2023 auf den Weg gebracht und am 26.04.2024 nun verabschiedet. </w:t>
      </w:r>
      <w:r w:rsidR="006712B9">
        <w:t>Angestrebt wird, dass 2024 13 GW, 2025 18 GW, 2026 22 GW zugebaut werden. Die Hälfte auf Freiflächen, die Hälfte als Dachanlagen. Das Solarpaket I erhält die Erleichterungen für Balkonkraftwerke, bis 800 Watt, sie müssen nur noch Marktstammdatenregister der Bundesnetzagentur registriert werden. Auch mit den alten Zähle</w:t>
      </w:r>
      <w:r w:rsidR="00C04781">
        <w:t>r</w:t>
      </w:r>
      <w:r w:rsidR="006712B9">
        <w:t>n darf man die Solaranlage einfach in die Steckdose stecken.</w:t>
      </w:r>
      <w:r w:rsidR="006712B9">
        <w:rPr>
          <w:rStyle w:val="Funotenzeichen"/>
        </w:rPr>
        <w:footnoteReference w:id="717"/>
      </w:r>
      <w:r w:rsidR="006712B9">
        <w:t xml:space="preserve"> </w:t>
      </w:r>
      <w:r w:rsidR="00C04781">
        <w:t>Solaranlagen mit weniger als 30 kWp dürfen auf Dächern und freien Gebäudeflächen einfach so gebaut und angeschlossen werden, solange sie für den Eigenverbrauch angelegt sind, dies regeln die Landesbauordnungen, in NRW ist dies etwa nach § 65 möglich, wobei die Bauordnung beachtet werden muss.</w:t>
      </w:r>
      <w:r w:rsidR="00C04781">
        <w:rPr>
          <w:rStyle w:val="Funotenzeichen"/>
        </w:rPr>
        <w:footnoteReference w:id="718"/>
      </w:r>
      <w:r w:rsidR="00C04781">
        <w:t xml:space="preserve"> </w:t>
      </w:r>
      <w:r w:rsidR="003465A5">
        <w:t>Über 30 kWp muss man sie nach dem EEG bei der Bundesnetzagentur im Marktstammregister anmelden und mit den Stadtwerken einen Einspeisevertrag abschließen, dann bekommt man Einspeisevergütung. (???)</w:t>
      </w:r>
    </w:p>
    <w:p w14:paraId="39154474" w14:textId="77777777" w:rsidR="006712B9" w:rsidRDefault="006712B9" w:rsidP="00112190"/>
    <w:p w14:paraId="2E5F3B3E" w14:textId="721F72DE" w:rsidR="00CE09B0" w:rsidRDefault="00CE09B0" w:rsidP="00112190">
      <w:r>
        <w:t>Solarstrom von Dächern von Mehrfamilienhäusern soll unkomplizierter direkt den Mietern nutzbar gemacht werden können, die dafür aber zahlen müssen, auch bei Gewerbegebäuden und Garagen ist dies möglich. Ein günstiger Ergänzungstarif für den weiter nötigen sonstigen Strom soll angeboten werden.</w:t>
      </w:r>
      <w:r w:rsidRPr="00CE09B0">
        <w:rPr>
          <w:rStyle w:val="Funotenzeichen"/>
        </w:rPr>
        <w:t xml:space="preserve"> </w:t>
      </w:r>
      <w:r>
        <w:rPr>
          <w:rStyle w:val="Funotenzeichen"/>
        </w:rPr>
        <w:footnoteReference w:id="719"/>
      </w:r>
      <w:r>
        <w:t xml:space="preserve"> </w:t>
      </w:r>
    </w:p>
    <w:p w14:paraId="45D1465D" w14:textId="77777777" w:rsidR="00CE09B0" w:rsidRDefault="00CE09B0" w:rsidP="00112190"/>
    <w:p w14:paraId="79F02414" w14:textId="18F34761" w:rsidR="00CE09B0" w:rsidRDefault="00CE09B0" w:rsidP="00112190">
      <w:r>
        <w:t>Gewerbliche Anlagen mit mehr als 100 Kilowatt sind nicht mehr zur Direktvermarktung verpflichtet, haben damit keine Direktvermarktungskosten mehr, sie können Überschussmengen aber weiter an die Netzbetreiber weitergeben. Dies ist gut, wenn man einen hohen Eigenverbrauch hat.</w:t>
      </w:r>
      <w:r w:rsidRPr="00CE09B0">
        <w:rPr>
          <w:rStyle w:val="Funotenzeichen"/>
        </w:rPr>
        <w:t xml:space="preserve"> </w:t>
      </w:r>
      <w:r>
        <w:rPr>
          <w:rStyle w:val="Funotenzeichen"/>
        </w:rPr>
        <w:footnoteReference w:id="720"/>
      </w:r>
    </w:p>
    <w:p w14:paraId="325EE622" w14:textId="77777777" w:rsidR="00CE09B0" w:rsidRDefault="00CE09B0" w:rsidP="00112190"/>
    <w:p w14:paraId="3CCE815D" w14:textId="0CA50935" w:rsidR="006712B9" w:rsidRDefault="006712B9" w:rsidP="00112190">
      <w:r>
        <w:t>Die Einspeisevergütung für Dach-PV-Anlagen bis 750 Kilowatt wird angehoben, sie müssen sich an Ausschreibungen beteiligen, die Mengen der Ausschreibungen wird angehoben.</w:t>
      </w:r>
      <w:r w:rsidRPr="006712B9">
        <w:rPr>
          <w:rStyle w:val="Funotenzeichen"/>
        </w:rPr>
        <w:t xml:space="preserve"> </w:t>
      </w:r>
      <w:r>
        <w:rPr>
          <w:rStyle w:val="Funotenzeichen"/>
        </w:rPr>
        <w:footnoteReference w:id="721"/>
      </w:r>
    </w:p>
    <w:p w14:paraId="339C98EF" w14:textId="77777777" w:rsidR="006712B9" w:rsidRDefault="006712B9" w:rsidP="00112190"/>
    <w:p w14:paraId="63749BDD" w14:textId="033A178B" w:rsidR="00CE09B0" w:rsidRDefault="00CE09B0" w:rsidP="00CE09B0">
      <w:r>
        <w:t>Agri-PV, Solarparks über landwirtschaftlichen Flächen soll gefördert werden. Ebenso PV über Parkplätzen.</w:t>
      </w:r>
      <w:r>
        <w:rPr>
          <w:rStyle w:val="Funotenzeichen"/>
        </w:rPr>
        <w:footnoteReference w:id="722"/>
      </w:r>
    </w:p>
    <w:p w14:paraId="31EE482A" w14:textId="39928B7F" w:rsidR="00CE09B0" w:rsidRDefault="00CE09B0" w:rsidP="00112190">
      <w:r>
        <w:t xml:space="preserve"> </w:t>
      </w:r>
    </w:p>
    <w:p w14:paraId="06894E27" w14:textId="7EB6CE3C" w:rsidR="00244CA0" w:rsidRDefault="006712B9" w:rsidP="00112190">
      <w:r w:rsidRPr="00F201EB">
        <w:rPr>
          <w:u w:val="single"/>
        </w:rPr>
        <w:lastRenderedPageBreak/>
        <w:t>Das Solarpaket II</w:t>
      </w:r>
      <w:r w:rsidR="00CE09B0">
        <w:t xml:space="preserve"> wird derzeit ausgehandelt und ist offenbar noch nicht beschlossen worden.</w:t>
      </w:r>
      <w:r w:rsidR="00CE09B0">
        <w:rPr>
          <w:rStyle w:val="Funotenzeichen"/>
        </w:rPr>
        <w:footnoteReference w:id="723"/>
      </w:r>
    </w:p>
    <w:p w14:paraId="5ED87178" w14:textId="449DD50E" w:rsidR="00B74A76" w:rsidRDefault="00B74A76" w:rsidP="00B74A76">
      <w:r w:rsidRPr="002021E8">
        <w:rPr>
          <w:u w:val="single"/>
        </w:rPr>
        <w:t xml:space="preserve">Urteil des BVerfG </w:t>
      </w:r>
      <w:r w:rsidR="00C4762F" w:rsidRPr="002021E8">
        <w:rPr>
          <w:u w:val="single"/>
        </w:rPr>
        <w:t xml:space="preserve">2 </w:t>
      </w:r>
      <w:proofErr w:type="spellStart"/>
      <w:r w:rsidR="00C4762F" w:rsidRPr="002021E8">
        <w:rPr>
          <w:u w:val="single"/>
        </w:rPr>
        <w:t>BvF</w:t>
      </w:r>
      <w:proofErr w:type="spellEnd"/>
      <w:r w:rsidR="00C4762F" w:rsidRPr="002021E8">
        <w:rPr>
          <w:u w:val="single"/>
        </w:rPr>
        <w:t xml:space="preserve"> 1/11 </w:t>
      </w:r>
      <w:r w:rsidRPr="002021E8">
        <w:rPr>
          <w:u w:val="single"/>
        </w:rPr>
        <w:t>vom 15. November 2023 zum Klima- und Transformationsfonds</w:t>
      </w:r>
      <w:r w:rsidR="00A41BB6">
        <w:t>.</w:t>
      </w:r>
      <w:r w:rsidR="00A41BB6">
        <w:rPr>
          <w:rStyle w:val="Funotenzeichen"/>
        </w:rPr>
        <w:footnoteReference w:id="724"/>
      </w:r>
      <w:r w:rsidR="00A41BB6">
        <w:t xml:space="preserve"> Dieses Urteil</w:t>
      </w:r>
      <w:r>
        <w:t xml:space="preserve"> hat eine Debatte über die Kosten der Bekämpfung des Klimawandels ausgelöst. Der Stromnetzbetreiber 50 Hertz hat vorgeschlagen, statt teurer Erdkabel, Strommasten zu bauen, dadurch könne man 20 Mrd. Euro sparen und schneller bauen. Laut Netzentwicklungsplan seien bis 2045 Investitionen von mehr als 300 Mrd. nötig, 272 Mrd. bis 2037. 50 Hertz muss davon bis 2045 60 Mrd. aufbringen.</w:t>
      </w:r>
      <w:r>
        <w:rPr>
          <w:rStyle w:val="Funotenzeichen"/>
        </w:rPr>
        <w:footnoteReference w:id="725"/>
      </w:r>
      <w:r>
        <w:t xml:space="preserve">  </w:t>
      </w:r>
    </w:p>
    <w:p w14:paraId="3085F77D" w14:textId="77777777" w:rsidR="00B74A76" w:rsidRDefault="00B74A76" w:rsidP="00B74A76"/>
    <w:p w14:paraId="1E7449A8" w14:textId="77777777" w:rsidR="00B74A76" w:rsidRDefault="00B74A76" w:rsidP="00B74A76">
      <w:r w:rsidRPr="00232D34">
        <w:rPr>
          <w:u w:val="single"/>
        </w:rPr>
        <w:t>Netzausbau.</w:t>
      </w:r>
      <w:r>
        <w:t xml:space="preserve"> Dies führt zum Thema Netzausbau. Im Energiewirtschaftsgesetz (EnWG), das Basisgesetz für die deutsche Energiewirtschaft, wird geregelt, dass dafür die Netzbetreiber (Übertragungsnetzbetreiber</w:t>
      </w:r>
      <w:r>
        <w:rPr>
          <w:rStyle w:val="Funotenzeichen"/>
        </w:rPr>
        <w:footnoteReference w:id="726"/>
      </w:r>
      <w:r>
        <w:t>, Verteilnetzbetreiber</w:t>
      </w:r>
      <w:r>
        <w:rPr>
          <w:rStyle w:val="Funotenzeichen"/>
        </w:rPr>
        <w:footnoteReference w:id="727"/>
      </w:r>
      <w:r>
        <w:t xml:space="preserve">) verantwortlich sind, der Netzausbau selbst wird von vier Gesetzen geregelt: </w:t>
      </w:r>
      <w:r w:rsidRPr="0072069C">
        <w:t>Das Energiewirtschaftsgesetz (EnWG), das Energieleitungsausbaugesetz (</w:t>
      </w:r>
      <w:proofErr w:type="spellStart"/>
      <w:r w:rsidRPr="0072069C">
        <w:t>EnLAG</w:t>
      </w:r>
      <w:proofErr w:type="spellEnd"/>
      <w:r w:rsidRPr="0072069C">
        <w:t>), das Netzausbaubeschleunigungsgesetz Übertragungsnetz (NABEG) und das Bundesbedarfsplangesetz (</w:t>
      </w:r>
      <w:proofErr w:type="spellStart"/>
      <w:r w:rsidRPr="0072069C">
        <w:t>BBPlG</w:t>
      </w:r>
      <w:proofErr w:type="spellEnd"/>
      <w:r w:rsidRPr="0072069C">
        <w:t>).</w:t>
      </w:r>
      <w:r>
        <w:rPr>
          <w:rStyle w:val="Funotenzeichen"/>
        </w:rPr>
        <w:footnoteReference w:id="728"/>
      </w:r>
      <w:r>
        <w:t xml:space="preserve"> Der Bedarf für den Netzausbau wird vom Netzentwicklungsplan (NEP) dargelegt.</w:t>
      </w:r>
      <w:r>
        <w:rPr>
          <w:rStyle w:val="Funotenzeichen"/>
        </w:rPr>
        <w:footnoteReference w:id="729"/>
      </w:r>
      <w:r>
        <w:t xml:space="preserve"> </w:t>
      </w:r>
    </w:p>
    <w:p w14:paraId="6E3A844D" w14:textId="77777777" w:rsidR="00B74A76" w:rsidRDefault="00B74A76" w:rsidP="00B74A76"/>
    <w:p w14:paraId="211F5028" w14:textId="4FE45E0E" w:rsidR="00245DDD" w:rsidRDefault="00CF4775" w:rsidP="00245DDD">
      <w:r>
        <w:t>Derzeit wird diese Planung in Deutschland konkreter</w:t>
      </w:r>
      <w:r w:rsidR="00245DDD">
        <w:t xml:space="preserve">. Das Bundesministerium für Wirtschaft und Klimaschutz BMWK stellt nicht nur </w:t>
      </w:r>
      <w:r w:rsidR="00245DDD" w:rsidRPr="00E8596A">
        <w:rPr>
          <w:u w:val="single"/>
        </w:rPr>
        <w:t>Langfristszenarien</w:t>
      </w:r>
      <w:r w:rsidR="00245DDD">
        <w:rPr>
          <w:rStyle w:val="Funotenzeichen"/>
        </w:rPr>
        <w:footnoteReference w:id="730"/>
      </w:r>
      <w:r w:rsidR="00245DDD">
        <w:t xml:space="preserve"> zur Verfügung, sondern hat begonnen, eine </w:t>
      </w:r>
      <w:r w:rsidR="00245DDD" w:rsidRPr="00E8596A">
        <w:rPr>
          <w:u w:val="single"/>
        </w:rPr>
        <w:t>Systementwicklungsstrategie SES</w:t>
      </w:r>
      <w:r w:rsidR="00D401DD" w:rsidRPr="00D401DD">
        <w:t>, siehe Ausgabe vom November 2024</w:t>
      </w:r>
      <w:r w:rsidR="00D401DD" w:rsidRPr="00D401DD">
        <w:rPr>
          <w:rStyle w:val="Funotenzeichen"/>
        </w:rPr>
        <w:footnoteReference w:id="731"/>
      </w:r>
      <w:r w:rsidR="00245DDD" w:rsidRPr="00D401DD">
        <w:t xml:space="preserve"> </w:t>
      </w:r>
      <w:r w:rsidR="00245DDD">
        <w:t xml:space="preserve">zu entwickeln, die im Energiewirtschaftsgesetz als </w:t>
      </w:r>
      <w:r w:rsidR="00245DDD" w:rsidRPr="00245DDD">
        <w:rPr>
          <w:u w:val="single"/>
        </w:rPr>
        <w:t>Grundlage für die Netzentwicklungspläne der Bundesnetzagentur dienen soll</w:t>
      </w:r>
      <w:r w:rsidR="00245DDD">
        <w:t xml:space="preserve">, hierfür werden in einem Plenum Vertreter der </w:t>
      </w:r>
      <w:r w:rsidR="00245DDD" w:rsidRPr="00E8596A">
        <w:t>Energiewirtschaft, Industrie, Zivilgesellschaft, Bundeskanzleramt, Bundesnetzagentur sowie der Fachressorts auf Bundesebene und in den Bundesländer</w:t>
      </w:r>
      <w:r w:rsidR="00245DDD">
        <w:t xml:space="preserve"> zusammengebracht, in Arbeitsgruppen werden bestimmte Themen detaillierter besprochen.</w:t>
      </w:r>
      <w:r w:rsidR="00245DDD">
        <w:rPr>
          <w:rStyle w:val="Funotenzeichen"/>
        </w:rPr>
        <w:footnoteReference w:id="732"/>
      </w:r>
      <w:r w:rsidR="00245DDD">
        <w:t xml:space="preserve"> Schon 2022 hat das FFE regionale Bedarfe, detailliert auf der Ebene einzelner Industrien, untersucht</w:t>
      </w:r>
      <w:r w:rsidR="00245DDD">
        <w:rPr>
          <w:rStyle w:val="Funotenzeichen"/>
        </w:rPr>
        <w:footnoteReference w:id="733"/>
      </w:r>
      <w:r w:rsidR="00245DDD">
        <w:t>, die in den Planung der Bundesnetzagentur für einen neuen Netzentwicklungsplan einfließen. Im April 2025 wurde nun eine erneute Planung, basierend auf neuen Szenarien, genehmigt, in der es nicht nur um Stromnetzausbau, sondern auch um Wasserstoffpipelines und sogar schon um Standorte von Elektrolyseuren geht.</w:t>
      </w:r>
      <w:r w:rsidR="00245DDD">
        <w:rPr>
          <w:rStyle w:val="Funotenzeichen"/>
        </w:rPr>
        <w:footnoteReference w:id="734"/>
      </w:r>
      <w:r w:rsidR="00245DDD">
        <w:t xml:space="preserve"> Ab 2026 wird von </w:t>
      </w:r>
      <w:r w:rsidR="00245DDD">
        <w:lastRenderedPageBreak/>
        <w:t>der KO.NEP</w:t>
      </w:r>
      <w:r w:rsidR="00245DDD">
        <w:rPr>
          <w:rStyle w:val="Funotenzeichen"/>
        </w:rPr>
        <w:footnoteReference w:id="735"/>
      </w:r>
      <w:r w:rsidR="00245DDD">
        <w:t xml:space="preserve"> ein gemeinsamer Netzentwicklungsplan Gas und Wasserstoff der Bundesnetzagentur vorgelegt. </w:t>
      </w:r>
      <w:r w:rsidR="00245DDD" w:rsidRPr="00E8596A">
        <w:rPr>
          <w:u w:val="single"/>
        </w:rPr>
        <w:t>Die Bundesnetzagentur wird mit dieser Einbindung von Elektrolyseuren und Wasserstoff und der Einbeziehung regionaler Aspekte zum zentralen Motor und Koordinator der Energiewende</w:t>
      </w:r>
      <w:r w:rsidR="00245DDD">
        <w:t xml:space="preserve">. </w:t>
      </w:r>
    </w:p>
    <w:p w14:paraId="18A6EC84" w14:textId="77777777" w:rsidR="00245DDD" w:rsidRDefault="00245DDD" w:rsidP="00B74A76"/>
    <w:p w14:paraId="34642F39" w14:textId="72C711AD" w:rsidR="00BA0550" w:rsidRDefault="00CF4775" w:rsidP="00B74A76">
      <w:r>
        <w:t>Die Industrie muss hier aber ernsthaft mitarbeiten</w:t>
      </w:r>
      <w:r w:rsidR="002021E8">
        <w:t>, die</w:t>
      </w:r>
      <w:r>
        <w:t xml:space="preserve"> Zahlen, die dort gemeldet w</w:t>
      </w:r>
      <w:r w:rsidR="002021E8">
        <w:t>u</w:t>
      </w:r>
      <w:r>
        <w:t xml:space="preserve">rden </w:t>
      </w:r>
      <w:r w:rsidR="002021E8">
        <w:t xml:space="preserve">sind erscheinen </w:t>
      </w:r>
      <w:r>
        <w:t xml:space="preserve">nicht realistisch, die Excel-Tabellen zum Wasserstoffbedarf erscheinen so, </w:t>
      </w:r>
      <w:r w:rsidRPr="001250BA">
        <w:rPr>
          <w:u w:val="single"/>
        </w:rPr>
        <w:t>als ob die Chemieindustrie nicht so richtig mitmachen wollte</w:t>
      </w:r>
      <w:r>
        <w:t>, siehe Fußnote.</w:t>
      </w:r>
      <w:r>
        <w:rPr>
          <w:rStyle w:val="Funotenzeichen"/>
        </w:rPr>
        <w:footnoteReference w:id="736"/>
      </w:r>
      <w:r w:rsidR="00570E3B">
        <w:t xml:space="preserve"> </w:t>
      </w:r>
    </w:p>
    <w:p w14:paraId="460D2AB5" w14:textId="77777777" w:rsidR="00BA0550" w:rsidRDefault="00BA0550" w:rsidP="00B74A76"/>
    <w:p w14:paraId="2C0A1654" w14:textId="77777777" w:rsidR="00FA1537" w:rsidRDefault="00FA1537" w:rsidP="00FA1537">
      <w:r>
        <w:t>Die Bundesnetzagentur spricht offen davon, dass auch Unsicherheiten bestehen, es können nicht alle möglichen Entwicklung in vollem Umfang berücksichtigt werden, es sei auch unsicher, ob der Aufbau der erneuerbaren Energien wie geplant gelingt, ob Speicherkapazitäten bereitgestellt werden können etc. Auch bezüglich der zukünftigen Stromnachfragen beständen Unsicherheiten.</w:t>
      </w:r>
      <w:r>
        <w:rPr>
          <w:rStyle w:val="Funotenzeichen"/>
        </w:rPr>
        <w:footnoteReference w:id="737"/>
      </w:r>
      <w:r>
        <w:t xml:space="preserve"> </w:t>
      </w:r>
    </w:p>
    <w:p w14:paraId="191DEC97" w14:textId="77777777" w:rsidR="00FA1537" w:rsidRDefault="00FA1537" w:rsidP="00B74A76"/>
    <w:p w14:paraId="4B2598D5" w14:textId="096258C8" w:rsidR="002021E8" w:rsidRDefault="00BA0550" w:rsidP="002021E8">
      <w:r>
        <w:t xml:space="preserve">Die Bundesnetzagentur entwickelt in dem aktuellen Bericht </w:t>
      </w:r>
      <w:r w:rsidR="00FA1537">
        <w:t>mehrere</w:t>
      </w:r>
      <w:r>
        <w:t xml:space="preserve"> 2045 Szenario</w:t>
      </w:r>
      <w:r w:rsidR="00FA1537">
        <w:t>s</w:t>
      </w:r>
      <w:r w:rsidR="002021E8">
        <w:t>, sie geht dabei nicht von einer Abwanderung der Grundstoffproduktion der Chemieindustrie aus</w:t>
      </w:r>
      <w:r>
        <w:t>: „</w:t>
      </w:r>
      <w:r w:rsidRPr="00E05A17">
        <w:t>Allen Szenarien gemein ist neben dem Erreichen von Klimaneutralität im Jahr 2045 auch die Annahme, dass in Deutschland keine flächendeckende Deindustrialisierung stattfindet und auch eine Grundstoffproduktion weiterhin in ähnlichem Umfang in Deutschland verbleibt.</w:t>
      </w:r>
      <w:r>
        <w:t>“</w:t>
      </w:r>
      <w:r>
        <w:rPr>
          <w:rStyle w:val="Funotenzeichen"/>
        </w:rPr>
        <w:footnoteReference w:id="738"/>
      </w:r>
      <w:r w:rsidR="002021E8">
        <w:t xml:space="preserve"> </w:t>
      </w:r>
      <w:r>
        <w:t xml:space="preserve">Im </w:t>
      </w:r>
      <w:proofErr w:type="spellStart"/>
      <w:r>
        <w:t>Szenariopfad</w:t>
      </w:r>
      <w:proofErr w:type="spellEnd"/>
      <w:r>
        <w:t xml:space="preserve"> C wird ein starker Ausbau der heimischen Elektrolysekapazität angenommen, </w:t>
      </w:r>
      <w:r w:rsidR="00BE6266" w:rsidRPr="002021E8">
        <w:rPr>
          <w:b/>
          <w:bCs/>
        </w:rPr>
        <w:t>dies führ</w:t>
      </w:r>
      <w:r w:rsidR="002021E8" w:rsidRPr="002021E8">
        <w:rPr>
          <w:b/>
          <w:bCs/>
        </w:rPr>
        <w:t>e</w:t>
      </w:r>
      <w:r w:rsidR="00BE6266" w:rsidRPr="002021E8">
        <w:rPr>
          <w:b/>
          <w:bCs/>
        </w:rPr>
        <w:t xml:space="preserve"> dazu, dass </w:t>
      </w:r>
      <w:r w:rsidRPr="002021E8">
        <w:rPr>
          <w:b/>
          <w:bCs/>
        </w:rPr>
        <w:t>die erneuerbaren Energie etwas mehr ausgebaut werden</w:t>
      </w:r>
      <w:r w:rsidR="00BE6266" w:rsidRPr="002021E8">
        <w:rPr>
          <w:b/>
          <w:bCs/>
        </w:rPr>
        <w:t xml:space="preserve"> müssen</w:t>
      </w:r>
      <w:r w:rsidRPr="002021E8">
        <w:rPr>
          <w:b/>
          <w:bCs/>
        </w:rPr>
        <w:t>, als dies bisher gesetzlich geregelt ist</w:t>
      </w:r>
      <w:r>
        <w:t>.</w:t>
      </w:r>
      <w:r>
        <w:rPr>
          <w:rStyle w:val="Funotenzeichen"/>
        </w:rPr>
        <w:footnoteReference w:id="739"/>
      </w:r>
      <w:r w:rsidR="002021E8">
        <w:t xml:space="preserve"> Im Szenario C wird für die Industrie 345,5 TWh für 2045 angenommen, in den Langfristszenarien des BMWK wird von 400 TWh ausgegangen, insgesamt wird ein Bruttostromverbrauch </w:t>
      </w:r>
      <w:r w:rsidR="0044562E">
        <w:t xml:space="preserve">(mit Netzverlusten) </w:t>
      </w:r>
      <w:r w:rsidR="002021E8">
        <w:t>von 1275,5 TWh angenommen.</w:t>
      </w:r>
      <w:r w:rsidR="002021E8">
        <w:rPr>
          <w:rStyle w:val="Funotenzeichen"/>
        </w:rPr>
        <w:footnoteReference w:id="740"/>
      </w:r>
    </w:p>
    <w:p w14:paraId="1290316A" w14:textId="7C64EE3B" w:rsidR="002021E8" w:rsidRDefault="002021E8" w:rsidP="00BA0550"/>
    <w:p w14:paraId="524E212C" w14:textId="10DBA252" w:rsidR="00BA0550" w:rsidRDefault="00BA0550" w:rsidP="00BA0550">
      <w:r>
        <w:t xml:space="preserve">Aus den der Bundesnetzagentur vorliegenden Informationen wird dann eine neue Planung angestrengt, die auch eine </w:t>
      </w:r>
      <w:r w:rsidRPr="001B2B24">
        <w:rPr>
          <w:b/>
          <w:bCs/>
        </w:rPr>
        <w:t xml:space="preserve">Regionalisierung bzw. räumliche Verteilung der auftretenden Lasten </w:t>
      </w:r>
      <w:r w:rsidRPr="001B2B24">
        <w:rPr>
          <w:b/>
          <w:bCs/>
        </w:rPr>
        <w:lastRenderedPageBreak/>
        <w:t>vorgenommen wird</w:t>
      </w:r>
      <w:r>
        <w:t>.</w:t>
      </w:r>
      <w:r>
        <w:rPr>
          <w:rStyle w:val="Funotenzeichen"/>
        </w:rPr>
        <w:footnoteReference w:id="741"/>
      </w:r>
      <w:r w:rsidR="00BE6266">
        <w:t xml:space="preserve"> Bei </w:t>
      </w:r>
      <w:proofErr w:type="spellStart"/>
      <w:r w:rsidR="00BE6266">
        <w:t>Onshore</w:t>
      </w:r>
      <w:proofErr w:type="spellEnd"/>
      <w:r w:rsidR="00BE6266">
        <w:t xml:space="preserve"> Windkraft erfolgt dies durch die Bundesnetzagentur nach den folgenden Kriterien</w:t>
      </w:r>
      <w:r w:rsidR="002021E8">
        <w:t>.</w:t>
      </w:r>
      <w:r w:rsidR="00BE6266">
        <w:rPr>
          <w:rStyle w:val="Funotenzeichen"/>
        </w:rPr>
        <w:footnoteReference w:id="742"/>
      </w:r>
      <w:r w:rsidR="00BE6266">
        <w:t xml:space="preserve"> </w:t>
      </w:r>
      <w:r w:rsidR="00794939">
        <w:t xml:space="preserve">Schon im November 2024 hat die Bundesnetzagentur einen Vorschlag </w:t>
      </w:r>
      <w:r w:rsidR="00794939">
        <w:lastRenderedPageBreak/>
        <w:t xml:space="preserve">gemacht, wie sie Elektrolyseure an Plätze lenken will, an denen </w:t>
      </w:r>
      <w:r w:rsidR="00EE4E4E">
        <w:t>viel Strom erzeugt wird und somit wenig Netzausbau nötig ist, dadurch können auch Redispatch-Kosten reduziert werden. Dies soll über den Baukostenzuschuss, den eine Elektrolyseurbetreiber an den Übertragungsnetzbetreiber zahlen muss, geschehen: ist der Ort günstig, dann wird wenig Baukostenzuschuss verlangt. Der günstigste Zuschuss ist 20 %, bei 500 MW würden 10 Mill. Euro fällt. Ist der Ort weniger günstig, steigt der Zuschuss auch 100 %, dies wären 60 Mill. Euro.</w:t>
      </w:r>
      <w:r w:rsidR="00EE4E4E">
        <w:rPr>
          <w:rStyle w:val="Funotenzeichen"/>
        </w:rPr>
        <w:footnoteReference w:id="743"/>
      </w:r>
      <w:r w:rsidR="00EE4E4E">
        <w:t xml:space="preserve">  </w:t>
      </w:r>
    </w:p>
    <w:p w14:paraId="1A5B7A71" w14:textId="77777777" w:rsidR="00BA0550" w:rsidRDefault="00BA0550" w:rsidP="00BA0550"/>
    <w:p w14:paraId="5612ECEC" w14:textId="2992A531" w:rsidR="00752BD1" w:rsidRDefault="00570E3B" w:rsidP="00B74A76">
      <w:r>
        <w:t>Als Elektrolyseurleistung wird im Szenario C 2045 70 GW Leistung und 224 TWh Stromverbrauch angenommen</w:t>
      </w:r>
      <w:r w:rsidR="00752BD1">
        <w:t>, gerechnet bei 3200 Volllaststunden</w:t>
      </w:r>
      <w:r w:rsidR="00752BD1">
        <w:rPr>
          <w:rStyle w:val="Funotenzeichen"/>
        </w:rPr>
        <w:footnoteReference w:id="744"/>
      </w:r>
      <w:r>
        <w:t xml:space="preserve"> </w:t>
      </w:r>
      <w:r w:rsidR="00752BD1">
        <w:t>… dazu kommt, dass ein völlig flexibler Einsatz von Elektrolyseuren angenommen wird</w:t>
      </w:r>
      <w:r w:rsidR="00DF4D6F">
        <w:rPr>
          <w:rStyle w:val="Funotenzeichen"/>
        </w:rPr>
        <w:footnoteReference w:id="745"/>
      </w:r>
      <w:r w:rsidR="00724E72">
        <w:t>, also dass alle Elektrolyseure PEM Elektrolyseure sind (und keine dauerhafte Strom Grundlast dafür bereitgestellt werden muss)</w:t>
      </w:r>
      <w:r w:rsidR="00752BD1">
        <w:t xml:space="preserve">, </w:t>
      </w:r>
      <w:r w:rsidR="00724E72">
        <w:t>die zugrundeliegende Liste ist noch nicht gut genug abgestimmt worden.</w:t>
      </w:r>
      <w:r w:rsidR="00724E72">
        <w:rPr>
          <w:rStyle w:val="Funotenzeichen"/>
        </w:rPr>
        <w:footnoteReference w:id="746"/>
      </w:r>
      <w:r w:rsidR="00724E72">
        <w:t xml:space="preserve"> </w:t>
      </w:r>
      <w:r w:rsidR="00DF4D6F">
        <w:t xml:space="preserve">Wenn wir schnell genug sind und noch genug Iridium da ist, kann das klappen. Ich würde lieber alkalische Wasserelektrolyseure bauen, die nahezu ganz durchlaufen. </w:t>
      </w:r>
      <w:r w:rsidR="00BA0550">
        <w:t xml:space="preserve">Leider fehlt bei der Erläuterung der Elektrolyseure die explizite Aussage, dass der Wasserstoff auch für die Chemieindustrie genutzt werden soll. </w:t>
      </w:r>
    </w:p>
    <w:p w14:paraId="656E4B81" w14:textId="77777777" w:rsidR="002A4E95" w:rsidRDefault="002A4E95" w:rsidP="00B74A76"/>
    <w:p w14:paraId="56DC3BEC" w14:textId="72B92898" w:rsidR="00831600" w:rsidRDefault="00752BD1" w:rsidP="00B74A76">
      <w:r>
        <w:t xml:space="preserve">Mein Stromverbrauch </w:t>
      </w:r>
      <w:r w:rsidR="00DF4D6F">
        <w:t>bei Elektrolyseuren liegt</w:t>
      </w:r>
      <w:r>
        <w:t xml:space="preserve"> doppelt so hoch, weil ich höhere Volllaststunden annehme,</w:t>
      </w:r>
      <w:r w:rsidR="00DF4D6F">
        <w:t xml:space="preserve"> die</w:t>
      </w:r>
      <w:r w:rsidR="0044562E">
        <w:t>s</w:t>
      </w:r>
      <w:r w:rsidR="00DF4D6F">
        <w:t xml:space="preserve"> ist</w:t>
      </w:r>
      <w:r>
        <w:t xml:space="preserve"> </w:t>
      </w:r>
      <w:r w:rsidR="0044562E">
        <w:t xml:space="preserve">nach meiner Informationslage </w:t>
      </w:r>
      <w:r>
        <w:t xml:space="preserve">‚normal‘ bei alkalischen Wasserelektrolyseuren: </w:t>
      </w:r>
      <w:r w:rsidR="00570E3B">
        <w:t>(Kurz: 70 GW = 140 mal 500 MW a 4 TWh Verbrauch = 560 TWh … ich liege</w:t>
      </w:r>
      <w:r w:rsidR="00DF4D6F">
        <w:t xml:space="preserve"> also</w:t>
      </w:r>
      <w:r w:rsidR="00570E3B">
        <w:t xml:space="preserve"> ‚nur‘ doppelt so hoch</w:t>
      </w:r>
      <w:r>
        <w:t>, ich rechnet</w:t>
      </w:r>
      <w:r w:rsidR="000C5600">
        <w:t xml:space="preserve"> </w:t>
      </w:r>
      <w:r>
        <w:t>mit 8760 Volllaststunden, da ist klar, dass der Verbrauch ‚doppelt so hoch ist 3200 Stunden / 8760 Stunden, siehe meine Thyssen Nucera Rechnung hier</w:t>
      </w:r>
      <w:r w:rsidR="00831600">
        <w:t>.</w:t>
      </w:r>
      <w:r>
        <w:rPr>
          <w:rStyle w:val="Funotenzeichen"/>
        </w:rPr>
        <w:footnoteReference w:id="747"/>
      </w:r>
      <w:r>
        <w:t xml:space="preserve"> </w:t>
      </w:r>
      <w:r w:rsidR="00831600">
        <w:t>140 * 56.000 = 7.840.000 Tonnen. Die Rechnung der Bundesnetzagentur kann ich nicht nachvollziehen, da ich nicht die Höhe Teillaststunden weiß, aber es wird bei nur 3200 Volllaststunden weniger Wasserstoff sein.</w:t>
      </w:r>
    </w:p>
    <w:p w14:paraId="72F6CAD2" w14:textId="77777777" w:rsidR="00831600" w:rsidRDefault="00831600" w:rsidP="00B74A76"/>
    <w:p w14:paraId="312D94CC" w14:textId="41963E97" w:rsidR="00DF4D6F" w:rsidRDefault="00831600" w:rsidP="00B74A76">
      <w:r>
        <w:lastRenderedPageBreak/>
        <w:t>D</w:t>
      </w:r>
      <w:r w:rsidR="00752BD1">
        <w:t>er Verbrauch</w:t>
      </w:r>
      <w:r w:rsidR="000C5600">
        <w:t>, den ich annehme ist entnommen aus</w:t>
      </w:r>
      <w:r w:rsidR="00752BD1">
        <w:t xml:space="preserve"> mehreren Quellen</w:t>
      </w:r>
      <w:r w:rsidR="000C5600">
        <w:t>:</w:t>
      </w:r>
      <w:r w:rsidR="00DF4D6F">
        <w:t xml:space="preserve"> </w:t>
      </w:r>
      <w:r w:rsidR="00752BD1">
        <w:t xml:space="preserve">Prüfung anhand von konkreten Werten für 100 MW Elektrolyseure: Angegeben werden für einen 100 MW Elektrolyseur im Internet als Jahresleistung Wasserstoff 10.000 Tonnen (Hamburg-Moorburg </w:t>
      </w:r>
      <w:proofErr w:type="spellStart"/>
      <w:r w:rsidR="00752BD1">
        <w:t>Luxara</w:t>
      </w:r>
      <w:proofErr w:type="spellEnd"/>
      <w:r w:rsidR="00752BD1">
        <w:rPr>
          <w:rStyle w:val="Funotenzeichen"/>
        </w:rPr>
        <w:footnoteReference w:id="748"/>
      </w:r>
      <w:r w:rsidR="00752BD1">
        <w:t>), 12.410 Tonnen (</w:t>
      </w:r>
      <w:proofErr w:type="spellStart"/>
      <w:r w:rsidR="00752BD1">
        <w:t>Lhyfe</w:t>
      </w:r>
      <w:proofErr w:type="spellEnd"/>
      <w:r w:rsidR="00752BD1">
        <w:t xml:space="preserve"> in der Nähe von Le Havre und Yara</w:t>
      </w:r>
      <w:r w:rsidR="00752BD1">
        <w:rPr>
          <w:rStyle w:val="Funotenzeichen"/>
        </w:rPr>
        <w:footnoteReference w:id="749"/>
      </w:r>
      <w:r w:rsidR="00752BD1">
        <w:t>), 14.892 Tonnen (RWE in Lingen</w:t>
      </w:r>
      <w:r w:rsidR="00752BD1">
        <w:rPr>
          <w:rStyle w:val="Funotenzeichen"/>
        </w:rPr>
        <w:footnoteReference w:id="750"/>
      </w:r>
      <w:r w:rsidR="00752BD1">
        <w:t xml:space="preserve">), beim heißen Druck-Alkali-Elektrolyseur von </w:t>
      </w:r>
      <w:proofErr w:type="spellStart"/>
      <w:r w:rsidR="00752BD1">
        <w:t>Sunfire</w:t>
      </w:r>
      <w:proofErr w:type="spellEnd"/>
      <w:r w:rsidR="00752BD1">
        <w:t xml:space="preserve"> bis zu 17.520 Tonnen.</w:t>
      </w:r>
      <w:r w:rsidR="00752BD1">
        <w:rPr>
          <w:rStyle w:val="Funotenzeichen"/>
        </w:rPr>
        <w:footnoteReference w:id="751"/>
      </w:r>
      <w:r w:rsidR="00752BD1">
        <w:t xml:space="preserve"> </w:t>
      </w:r>
      <w:r w:rsidR="000C5600">
        <w:t xml:space="preserve">Ich nehme aus Vorsicht 100 MW 10.000 Tonnen Wasserstoff an, es stimmt aber auch, dass hier die Werte teils höher liegen. </w:t>
      </w:r>
    </w:p>
    <w:p w14:paraId="250BD400" w14:textId="77777777" w:rsidR="00BA0550" w:rsidRDefault="00BA0550" w:rsidP="00B74A76"/>
    <w:p w14:paraId="19A50757" w14:textId="77777777" w:rsidR="002F21F1" w:rsidRDefault="001B2B24" w:rsidP="001B2B24">
      <w:r>
        <w:t xml:space="preserve">Regionalisierung der Planung. Ein sehr spannender Aspekt an der Energiewende, auch gesellschaftlich spannend, ist die regionale Planung, </w:t>
      </w:r>
      <w:r w:rsidRPr="00831600">
        <w:rPr>
          <w:u w:val="single"/>
        </w:rPr>
        <w:t>kurz: ob man regional überlegt sein regionales Chemiewerk zu unterstützen, indem man viel erneuerbare Energien daneben aufbaut</w:t>
      </w:r>
      <w:r>
        <w:t xml:space="preserve">, um auch Netzausbau zu sparen, </w:t>
      </w:r>
      <w:r w:rsidRPr="00C00418">
        <w:rPr>
          <w:b/>
          <w:bCs/>
        </w:rPr>
        <w:t>wird nun offenbar ganz von der Bundesnetzagentur übernommen</w:t>
      </w:r>
      <w:r>
        <w:t xml:space="preserve"> … derzeit mit einer erste</w:t>
      </w:r>
      <w:r w:rsidR="002F21F1">
        <w:t>n</w:t>
      </w:r>
      <w:r>
        <w:t xml:space="preserve"> Modellierung und ein Abgleich mit den Möglichkeiten, die in den Bundesländern bestehen</w:t>
      </w:r>
      <w:r w:rsidR="002F21F1">
        <w:t xml:space="preserve"> (Fußnote fehlt).</w:t>
      </w:r>
      <w:r>
        <w:t xml:space="preserve"> </w:t>
      </w:r>
    </w:p>
    <w:p w14:paraId="7885702B" w14:textId="77777777" w:rsidR="002F21F1" w:rsidRDefault="002F21F1" w:rsidP="001B2B24"/>
    <w:p w14:paraId="0AB4F54D" w14:textId="6B1750D8" w:rsidR="008B6A67" w:rsidRDefault="002F21F1" w:rsidP="001B2B24">
      <w:r>
        <w:t xml:space="preserve">Und, siehe oben, die Bundesnetzagentur würde am liebsten auch über Anreize und Gebühren die Standorte von Elektrolyseuren lenken. </w:t>
      </w:r>
    </w:p>
    <w:p w14:paraId="5ABB533F" w14:textId="77777777" w:rsidR="008B6A67" w:rsidRDefault="008B6A67" w:rsidP="001B2B24"/>
    <w:p w14:paraId="4C2BDBA3" w14:textId="4D390A25" w:rsidR="008B6A67" w:rsidRDefault="008B6A67" w:rsidP="001B2B24">
      <w:r>
        <w:t xml:space="preserve">Damit ist nun die Bundesnetzagentur im Tulpenfeld in Bonn </w:t>
      </w:r>
      <w:r w:rsidR="00F769C8">
        <w:t xml:space="preserve">nicht mehr nur hauptsächliche handelnde Akteur der Energiewende in Deutschland, sondern auch </w:t>
      </w:r>
      <w:r>
        <w:t xml:space="preserve">die Projektionsfläche aller Spar- und Effizienzträume von der Energiewende. </w:t>
      </w:r>
    </w:p>
    <w:p w14:paraId="206B94A1" w14:textId="77777777" w:rsidR="008B6A67" w:rsidRDefault="008B6A67" w:rsidP="001B2B24"/>
    <w:p w14:paraId="5A92C273" w14:textId="3F0850AB" w:rsidR="00135898" w:rsidRDefault="001B2B24" w:rsidP="001B2B24">
      <w:r>
        <w:t xml:space="preserve">… Mit </w:t>
      </w:r>
      <w:r w:rsidR="00135898">
        <w:t xml:space="preserve">einer </w:t>
      </w:r>
      <w:r>
        <w:t xml:space="preserve">regionalen Planung hat </w:t>
      </w:r>
      <w:r w:rsidR="00135898">
        <w:t>die</w:t>
      </w:r>
      <w:r>
        <w:t xml:space="preserve"> </w:t>
      </w:r>
      <w:r w:rsidRPr="000B0542">
        <w:t>Bundesnetzagentur</w:t>
      </w:r>
      <w:r w:rsidR="00135898" w:rsidRPr="00135898">
        <w:rPr>
          <w:b/>
          <w:bCs/>
        </w:rPr>
        <w:t xml:space="preserve"> viele Möglichkeiten Geld zu sparen</w:t>
      </w:r>
      <w:r w:rsidR="00135898">
        <w:t>:</w:t>
      </w:r>
      <w:r w:rsidRPr="000B0542">
        <w:t xml:space="preserve"> </w:t>
      </w:r>
      <w:r>
        <w:t xml:space="preserve">Dadurch dass sie den Strommarkt, aber auch nun die Elektrolyseure plant und deren Anschlüsse an das Stromnetz und die Wasserstoffpipelines, wird sie zum Motor der Energiewende … aber eben auch zum Motor für die Kosteneffizienz, vor allem durch regional sinnvollen Planungen bzw. Zuordnungen von Verbrauchern, Großspeichern, Elektrolyseuren und erneuerbaren Energien, wodurch man massiv Netzausbau sparen kann. Weiterhin müssen früh grundlegende Entscheidungen getroffen werden, etwa für Wasserstoffversorgung durch Pipelines statt lokaler Elektrolyseure und erneuerbarer Energien in der Nähe, sprich: von der Nordsee wird der Wasserstoff ins Rheinland und nach Ludwigshafen geschickt. Aber im Umland von Duisburg wird erneuerbare Energie für Wasserstoff für das Stahlwerk aufgebaut. </w:t>
      </w:r>
      <w:r w:rsidR="00135898">
        <w:t>Die Bundesnetzagentur kann dabei auch Vorschläge einbeziehen, die in der neuesten Runde der Kritik vom BDI und anderen Akteuren gemacht worden, um Kosten zu sparen …</w:t>
      </w:r>
    </w:p>
    <w:p w14:paraId="3801F5AE" w14:textId="77777777" w:rsidR="001B2B24" w:rsidRDefault="001B2B24" w:rsidP="001B2B24"/>
    <w:tbl>
      <w:tblPr>
        <w:tblStyle w:val="Tabellenraster"/>
        <w:tblW w:w="0" w:type="auto"/>
        <w:tblLook w:val="04A0" w:firstRow="1" w:lastRow="0" w:firstColumn="1" w:lastColumn="0" w:noHBand="0" w:noVBand="1"/>
      </w:tblPr>
      <w:tblGrid>
        <w:gridCol w:w="9062"/>
      </w:tblGrid>
      <w:tr w:rsidR="002A4E95" w14:paraId="549B9AC1" w14:textId="77777777" w:rsidTr="00EB7DC2">
        <w:tc>
          <w:tcPr>
            <w:tcW w:w="9062" w:type="dxa"/>
          </w:tcPr>
          <w:p w14:paraId="4CEA53BF" w14:textId="29AA8F93" w:rsidR="002A4E95" w:rsidRDefault="002A4E95" w:rsidP="00EB7DC2">
            <w:r>
              <w:t xml:space="preserve">Einen Atlas für Standorte für Elektrolyseurprojekte stellt das Fraunhofer ISE zur Verfügung, hier kann das Potential (Flächen etc.) und ein Energiesystemoptimum (Nähe zu Umspannwerken) eingestellt werden, siehe H2 </w:t>
            </w:r>
            <w:proofErr w:type="spellStart"/>
            <w:r>
              <w:t>Powerd</w:t>
            </w:r>
            <w:proofErr w:type="spellEnd"/>
            <w:r>
              <w:t>.</w:t>
            </w:r>
            <w:r>
              <w:rPr>
                <w:rStyle w:val="Funotenzeichen"/>
              </w:rPr>
              <w:footnoteReference w:id="752"/>
            </w:r>
            <w:r>
              <w:t xml:space="preserve"> </w:t>
            </w:r>
          </w:p>
        </w:tc>
      </w:tr>
    </w:tbl>
    <w:p w14:paraId="71D60168" w14:textId="77777777" w:rsidR="002A4E95" w:rsidRDefault="002A4E95" w:rsidP="00B74A76"/>
    <w:p w14:paraId="7EEE9C2F" w14:textId="36C8465D" w:rsidR="00437CB6" w:rsidRDefault="00437CB6" w:rsidP="00B74A76">
      <w:r>
        <w:t xml:space="preserve">Dazu kommt, dass es die bekannten Flächenziele </w:t>
      </w:r>
      <w:r w:rsidR="00F769C8">
        <w:t xml:space="preserve">für die Bundesländer </w:t>
      </w:r>
      <w:r>
        <w:t xml:space="preserve">gibt, jedes Bundesland soll 1,8 % seiner Landesfläche für Windenergieprodukte ausweisen. In NRW gibt es derzeit Anstrengungen, das 1,8 % Ziel der Landesfläche für Windkraft schon 2027 zu erreichen, Zeit dafür wäre für alle </w:t>
      </w:r>
      <w:r>
        <w:lastRenderedPageBreak/>
        <w:t xml:space="preserve">Bundesländer bis 2032. Eine aktuelle Studie zeigt aber, </w:t>
      </w:r>
      <w:r w:rsidRPr="003B14EE">
        <w:rPr>
          <w:b/>
          <w:bCs/>
        </w:rPr>
        <w:t>dass 3,7 % der Landesfläche genutzt werden könnten.</w:t>
      </w:r>
      <w:r w:rsidRPr="003B14EE">
        <w:rPr>
          <w:rStyle w:val="Funotenzeichen"/>
          <w:b/>
          <w:bCs/>
        </w:rPr>
        <w:footnoteReference w:id="753"/>
      </w:r>
    </w:p>
    <w:p w14:paraId="213F83BF" w14:textId="77777777" w:rsidR="00437CB6" w:rsidRDefault="00437CB6" w:rsidP="00B74A76"/>
    <w:p w14:paraId="736A3E02" w14:textId="3F73D801" w:rsidR="00437CB6" w:rsidRDefault="00437CB6" w:rsidP="00B74A76">
      <w:r>
        <w:t>Bayern ist dahingehend mit eine</w:t>
      </w:r>
      <w:r w:rsidR="002F21F1">
        <w:t>r</w:t>
      </w:r>
      <w:r>
        <w:t xml:space="preserve"> Neuerung aufgefallen</w:t>
      </w:r>
      <w:r w:rsidR="002F21F1">
        <w:t>, dort werden die bayrischen Regionen nun unterschiedlich behandelt, und in Regionen mit mehr Wind 2,1 % als Ziel vorgegeben und in anderen Regionen nur 1,3 %, sog. Teilflächenziele.</w:t>
      </w:r>
      <w:r w:rsidR="002F21F1">
        <w:rPr>
          <w:rStyle w:val="Funotenzeichen"/>
        </w:rPr>
        <w:footnoteReference w:id="754"/>
      </w:r>
      <w:r w:rsidR="002F21F1">
        <w:t xml:space="preserve"> Siehe hier diese Karte.</w:t>
      </w:r>
      <w:r w:rsidR="002F21F1">
        <w:rPr>
          <w:rStyle w:val="Funotenzeichen"/>
        </w:rPr>
        <w:footnoteReference w:id="755"/>
      </w:r>
    </w:p>
    <w:p w14:paraId="34C37125" w14:textId="77777777" w:rsidR="00437CB6" w:rsidRDefault="00437CB6" w:rsidP="00B74A76"/>
    <w:p w14:paraId="67045600" w14:textId="77777777" w:rsidR="006800F5" w:rsidRDefault="00550090" w:rsidP="00B74A76">
      <w:r>
        <w:t xml:space="preserve">Das </w:t>
      </w:r>
      <w:proofErr w:type="gramStart"/>
      <w:r>
        <w:t>allerneuste</w:t>
      </w:r>
      <w:proofErr w:type="gramEnd"/>
      <w:r>
        <w:t xml:space="preserve"> ist nun </w:t>
      </w:r>
      <w:r w:rsidR="00437CB6">
        <w:t>das sog. Netzpaket der CDU/SPD Koalition, es ist erst einmal ein Referentenentwurf. Die erneuerbaren Energien sollen ihr Anschlussprivileg verlieren, wenn sie an einer Stelle im Netz angeschlossen werden wollen, dass noch nicht genug ausgebaut ist, dann verlieren sie das Recht auf Kompensation für ihren abgeregelten Strom; weiterhin sollen die Netzbetreiber sich auch gegen erneuerbare Energien entscheiden können, wenn jemand angeschlossen werden will, etwa auch eine Industriefirma, die ihre Prozesse elektrifizieren will oder ein KI Rechenzentrum kann angeschlossen werden, und auch zu Netzausbau führen. Dazu sollen sich Betreiber erneuerbarer Energien stärker an den Netzausbaukosten beteiligen.</w:t>
      </w:r>
      <w:r w:rsidR="002F21F1">
        <w:rPr>
          <w:rStyle w:val="Funotenzeichen"/>
        </w:rPr>
        <w:footnoteReference w:id="756"/>
      </w:r>
      <w:r w:rsidR="00437CB6">
        <w:t xml:space="preserve"> </w:t>
      </w:r>
    </w:p>
    <w:p w14:paraId="195D68FA" w14:textId="77777777" w:rsidR="006800F5" w:rsidRDefault="006800F5" w:rsidP="00B74A76"/>
    <w:p w14:paraId="063597D7" w14:textId="2C6427F3" w:rsidR="006800F5" w:rsidRDefault="00437CB6" w:rsidP="00B74A76">
      <w:r>
        <w:t xml:space="preserve">Dieses Paket kann man natürlich kritisieren, </w:t>
      </w:r>
      <w:r w:rsidR="006800F5">
        <w:t xml:space="preserve">weil es zu einem Rückgang des Ausbaus von erneuerbaren Energien führen wird, </w:t>
      </w:r>
      <w:r>
        <w:t xml:space="preserve">es ist aber sinnvoll, wenn es zu sinkenden Netzausbaukosten führt. </w:t>
      </w:r>
      <w:r w:rsidR="006800F5">
        <w:t xml:space="preserve">Siehe dazu </w:t>
      </w:r>
      <w:proofErr w:type="spellStart"/>
      <w:r w:rsidR="006800F5">
        <w:t>Youtube</w:t>
      </w:r>
      <w:proofErr w:type="spellEnd"/>
      <w:r w:rsidR="006800F5">
        <w:t>: Michael Sterner, Erneuerbare am Ende?</w:t>
      </w:r>
    </w:p>
    <w:p w14:paraId="61CA5D41" w14:textId="77777777" w:rsidR="00437CB6" w:rsidRDefault="00437CB6" w:rsidP="00B74A76"/>
    <w:p w14:paraId="7453CDC1" w14:textId="28D9E09C" w:rsidR="00550090" w:rsidRDefault="00DD6169" w:rsidP="00B74A76">
      <w:r>
        <w:t>Zu Änderungen wird weiterhin d</w:t>
      </w:r>
      <w:r w:rsidR="00F769C8">
        <w:t>er Fakt</w:t>
      </w:r>
      <w:r>
        <w:t xml:space="preserve"> führen</w:t>
      </w:r>
      <w:r w:rsidR="00F769C8">
        <w:t xml:space="preserve">, dass viele Großbatterien beantragt worden sind, die nicht an Standorten erneuerbarer Energien stehen, sondern an Verteilnetzknotenpunkten, hat </w:t>
      </w:r>
      <w:proofErr w:type="gramStart"/>
      <w:r w:rsidR="00F769C8">
        <w:t>zur Irritationen</w:t>
      </w:r>
      <w:proofErr w:type="gramEnd"/>
      <w:r w:rsidR="00F769C8">
        <w:t xml:space="preserve"> geführt. Ich bin hier aber nicht in der Lage eine bestimmte Meinung zu vertreten, es ist nur bekannt geworden, dass die Kraftwerks-Netzanschlus</w:t>
      </w:r>
      <w:r w:rsidR="00A96504">
        <w:t>s</w:t>
      </w:r>
      <w:r w:rsidR="00F769C8">
        <w:t xml:space="preserve">verordnung </w:t>
      </w:r>
      <w:proofErr w:type="spellStart"/>
      <w:r w:rsidR="00F769C8">
        <w:t>KraftNAV</w:t>
      </w:r>
      <w:proofErr w:type="spellEnd"/>
      <w:r w:rsidR="00F769C8">
        <w:t xml:space="preserve"> geändert werden soll</w:t>
      </w:r>
      <w:r>
        <w:t>, die den Anschluss dieser Großbatterien mit regelt</w:t>
      </w:r>
      <w:r w:rsidR="00F769C8">
        <w:t xml:space="preserve"> (dies kann ohne Gesetzesverfahren geschehen)</w:t>
      </w:r>
      <w:r>
        <w:t>.</w:t>
      </w:r>
      <w:r>
        <w:rPr>
          <w:rStyle w:val="Funotenzeichen"/>
        </w:rPr>
        <w:footnoteReference w:id="757"/>
      </w:r>
      <w:r w:rsidR="00F769C8">
        <w:t xml:space="preserve"> </w:t>
      </w:r>
    </w:p>
    <w:p w14:paraId="56AF268F" w14:textId="77777777" w:rsidR="00550090" w:rsidRDefault="00550090" w:rsidP="00B74A76"/>
    <w:p w14:paraId="462BB582" w14:textId="637E9938" w:rsidR="006800F5" w:rsidRDefault="006800F5" w:rsidP="006800F5">
      <w:r>
        <w:t>Es muss sowieso noch eine Debatte über die</w:t>
      </w:r>
      <w:r>
        <w:t xml:space="preserve"> Standorte von erneuerbaren Energien</w:t>
      </w:r>
      <w:r>
        <w:t xml:space="preserve">, </w:t>
      </w:r>
      <w:r>
        <w:t>Großbatterien</w:t>
      </w:r>
      <w:r>
        <w:t xml:space="preserve"> und sonstigen Kraftwerken, geführt werden</w:t>
      </w:r>
      <w:r>
        <w:t xml:space="preserve">, denn die E-Autos müssen regional geladen werden. </w:t>
      </w:r>
    </w:p>
    <w:p w14:paraId="6A186D73" w14:textId="77777777" w:rsidR="006800F5" w:rsidRDefault="006800F5" w:rsidP="00B74A76"/>
    <w:p w14:paraId="4573DB4A" w14:textId="4852E254" w:rsidR="00550090" w:rsidRDefault="00DD6169" w:rsidP="00B74A76">
      <w:r>
        <w:t xml:space="preserve">Damit sind wir aber nicht am Ende, ich schätze, dass ca. im Mai Juni 2026 eine weitere Diskussion geführt werden wird. Dies ist die Diskussion darüber, dass Großbatterien eigentlich an Standorten erneuerbarer Energien stehen müssen und die erneuerbaren Energien eigentlich in der Nähe von größeren Städten oder Städteregionen auch stehen müssen und zwar allein schon deshalb, weil das Laden der Elektroautos viel zu viel Strom braucht, um von weit weg irgendwie hergezaubert zu werden (über eine Vielzahl von Freileitungen bzw. teuren Netzausbau etwa). </w:t>
      </w:r>
    </w:p>
    <w:p w14:paraId="7665A194" w14:textId="77777777" w:rsidR="0035284D" w:rsidRDefault="0035284D" w:rsidP="00DD6169"/>
    <w:p w14:paraId="49FF00D9" w14:textId="77777777" w:rsidR="00A96504" w:rsidRDefault="00A96504" w:rsidP="00A96504">
      <w:r w:rsidRPr="00A96504">
        <w:t xml:space="preserve">Als Anhaltspunkt: Eine 250.000 Einwohnerstadt braucht grob geschätzt als 2 Personen Haushalt 2700 kWh pro Jahr * 125.000 kWh = 337.500.000 kWh / 8760 = 38.527 kW ca. 38 MW Leistung, das sind 1 </w:t>
      </w:r>
      <w:r w:rsidRPr="00A96504">
        <w:lastRenderedPageBreak/>
        <w:t xml:space="preserve">Werder </w:t>
      </w:r>
      <w:proofErr w:type="spellStart"/>
      <w:r w:rsidRPr="00A96504">
        <w:t>Kessin</w:t>
      </w:r>
      <w:proofErr w:type="spellEnd"/>
      <w:r w:rsidRPr="00A96504">
        <w:t xml:space="preserve"> Windpark, 140 MW Höchstleistung, angenommen wird hier durchschnittlich eine 50 MW Leistung des Windparks. Dazu wäre eine Großbatterie a 50 MW zur Pufferung für die Nacht nötig. 1 wasserstofffähiges Gaskraftwerk a 500 MW reicht insofern für </w:t>
      </w:r>
      <w:proofErr w:type="gramStart"/>
      <w:r w:rsidRPr="00A96504">
        <w:t>10 mal</w:t>
      </w:r>
      <w:proofErr w:type="gramEnd"/>
      <w:r w:rsidRPr="00A96504">
        <w:t xml:space="preserve"> eine 250.000 Einwohnerstadt für die Dunkelflaute aus, jedenfalls für den Haushaltsbedarf. Man kann sich auf dieser Ebene locker vorstellen, dass 2 Windparks jedenfalls auch gut wären und die Versorgung noch stabiler machen würden. Hier könnte man sich auch gut vorstellen, dass diese Windparks in der Nähe stehen.</w:t>
      </w:r>
    </w:p>
    <w:p w14:paraId="27364CB9" w14:textId="77777777" w:rsidR="00A96504" w:rsidRPr="00A96504" w:rsidRDefault="00A96504" w:rsidP="00A96504"/>
    <w:p w14:paraId="56D06B42" w14:textId="77777777" w:rsidR="00A96504" w:rsidRDefault="00A96504" w:rsidP="00A96504">
      <w:r w:rsidRPr="00A96504">
        <w:t xml:space="preserve">Problem sind aber die Elektroautos. </w:t>
      </w:r>
    </w:p>
    <w:p w14:paraId="0DC9C5AC" w14:textId="77777777" w:rsidR="00A96504" w:rsidRPr="00A96504" w:rsidRDefault="00A96504" w:rsidP="00A96504"/>
    <w:p w14:paraId="14AFA86F" w14:textId="77777777" w:rsidR="00A96504" w:rsidRDefault="00A96504" w:rsidP="00A96504">
      <w:r w:rsidRPr="00A96504">
        <w:t xml:space="preserve">In einer Kleinstadt laden z.B. 10.000 E-Autos mit 11 kW (langsam), dann sind das 10.000 * 11 kW = 110.000 kW, das sind 110 MW, das sind / 50 MW durchschnittlicher geschätzter Leistung von Werder Kessin, 2 Werder </w:t>
      </w:r>
      <w:proofErr w:type="spellStart"/>
      <w:r w:rsidRPr="00A96504">
        <w:t>Kessin</w:t>
      </w:r>
      <w:proofErr w:type="spellEnd"/>
      <w:r w:rsidRPr="00A96504">
        <w:t xml:space="preserve"> Windparks und 2 Großbatterien, die können neben der Stadt stehen. </w:t>
      </w:r>
    </w:p>
    <w:p w14:paraId="7152044E" w14:textId="77777777" w:rsidR="00A96504" w:rsidRPr="00A96504" w:rsidRDefault="00A96504" w:rsidP="00A96504"/>
    <w:p w14:paraId="31DD5B8E" w14:textId="77777777" w:rsidR="00A96504" w:rsidRDefault="00A96504" w:rsidP="00A96504">
      <w:r w:rsidRPr="00A96504">
        <w:t xml:space="preserve">Wenn 100.000 E-Autos mit 11 kW (langsam) laden, dann sind dies 1.100.000 kW, das sind 1.100 MW / 50 MW, das sind: 22 Werder </w:t>
      </w:r>
      <w:proofErr w:type="spellStart"/>
      <w:r w:rsidRPr="00A96504">
        <w:t>Kessin</w:t>
      </w:r>
      <w:proofErr w:type="spellEnd"/>
      <w:r w:rsidRPr="00A96504">
        <w:t xml:space="preserve"> Windparks. Und 22 50 MW Großbatterien. Das </w:t>
      </w:r>
      <w:proofErr w:type="gramStart"/>
      <w:r w:rsidRPr="00A96504">
        <w:t>ganze</w:t>
      </w:r>
      <w:proofErr w:type="gramEnd"/>
      <w:r w:rsidRPr="00A96504">
        <w:t xml:space="preserve"> verdoppeln, für 22 kW schnelleres Laden, sind 44 Windparks. Auch bei 22 oder 44 Windparks kann man sich immer noch vorstellen, dass sie in der Nähe stehe.</w:t>
      </w:r>
    </w:p>
    <w:p w14:paraId="1F89F432" w14:textId="77777777" w:rsidR="00A96504" w:rsidRPr="00A96504" w:rsidRDefault="00A96504" w:rsidP="00A96504"/>
    <w:p w14:paraId="2CCA72E5" w14:textId="77777777" w:rsidR="00EF710F" w:rsidRDefault="00A96504" w:rsidP="00A96504">
      <w:r w:rsidRPr="00A96504">
        <w:t xml:space="preserve">Wenn 1.000.000 E-Autos mit 11 kW (langsam) laden, braucht man dafür 11.000.000 kW bzw. 11.000 MW, 11 GW Leistung / 50 MW = sind dies 220 Werder </w:t>
      </w:r>
      <w:proofErr w:type="spellStart"/>
      <w:r w:rsidRPr="00A96504">
        <w:t>Kessin</w:t>
      </w:r>
      <w:proofErr w:type="spellEnd"/>
      <w:r w:rsidRPr="00A96504">
        <w:t xml:space="preserve"> Windparks. Für 22 kW </w:t>
      </w:r>
      <w:proofErr w:type="gramStart"/>
      <w:r w:rsidRPr="00A96504">
        <w:t>Ladeleistung  440</w:t>
      </w:r>
      <w:proofErr w:type="gramEnd"/>
      <w:r w:rsidRPr="00A96504">
        <w:t xml:space="preserve"> Werder </w:t>
      </w:r>
      <w:proofErr w:type="spellStart"/>
      <w:r w:rsidRPr="00A96504">
        <w:t>Kessin</w:t>
      </w:r>
      <w:proofErr w:type="spellEnd"/>
      <w:r w:rsidRPr="00A96504">
        <w:t xml:space="preserve"> Windparks. Dafür braucht man schon eine regionale Planung und einen Ausbau von Stromnetzen, denn 440 Windparks passen nicht direkt neben Köln. </w:t>
      </w:r>
    </w:p>
    <w:p w14:paraId="267A3614" w14:textId="77777777" w:rsidR="00EF710F" w:rsidRDefault="00EF710F" w:rsidP="00A96504"/>
    <w:p w14:paraId="7440A379" w14:textId="28098084" w:rsidR="00550090" w:rsidRDefault="00A96504" w:rsidP="00B74A76">
      <w:r w:rsidRPr="00A96504">
        <w:t>Wie viel Freileitungen braucht man dafür?</w:t>
      </w:r>
    </w:p>
    <w:p w14:paraId="2240FFA9" w14:textId="638C09D7" w:rsidR="00EF710F" w:rsidRPr="00EF710F" w:rsidRDefault="00EF710F" w:rsidP="00EF710F">
      <w:r w:rsidRPr="00EF710F">
        <w:t xml:space="preserve">Netzebene 1: 380 kV: überregionale Übertragung, 2000 MW </w:t>
      </w:r>
      <w:r>
        <w:t xml:space="preserve">bzw. 2 GW </w:t>
      </w:r>
      <w:r w:rsidRPr="00EF710F">
        <w:t xml:space="preserve">pro Stromkreis, bei zwei Stromkreisen, bzw. einem Doppelsystem </w:t>
      </w:r>
      <w:r>
        <w:t>4000 MW bzw. 4 GW</w:t>
      </w:r>
      <w:r w:rsidRPr="00EF710F">
        <w:t xml:space="preserve">   </w:t>
      </w:r>
    </w:p>
    <w:p w14:paraId="4194C602" w14:textId="34AE3819" w:rsidR="00EF710F" w:rsidRPr="00EF710F" w:rsidRDefault="00EF710F" w:rsidP="00EF710F">
      <w:r w:rsidRPr="00EF710F">
        <w:t xml:space="preserve">Netzebene 2: 110 kV: überregionale Übertragung, mittelgroße Kraftwerke, Industriebetriebe, pro Stromkreis 150 bis 250 MW, bei einem Doppelsystem auf einem Mast 300 bis 500 MW.  </w:t>
      </w:r>
    </w:p>
    <w:p w14:paraId="708AD058" w14:textId="1AAADDBE" w:rsidR="00EF710F" w:rsidRPr="00EF710F" w:rsidRDefault="00EF710F" w:rsidP="00EF710F">
      <w:r w:rsidRPr="00EF710F">
        <w:t xml:space="preserve">Netzebene 3: regionale Verteilung 30 kV, 20 kV, 10 kV, 30 kV schafft pro Stromkreis 10-25 MW, 20 kV schafft 5-15 MW, 10 kV 3-6 MW.     </w:t>
      </w:r>
    </w:p>
    <w:p w14:paraId="49120F03" w14:textId="1867BFB9" w:rsidR="00A96504" w:rsidRDefault="00EF710F" w:rsidP="00EF710F">
      <w:r w:rsidRPr="00EF710F">
        <w:t>Netzebene 4: 0,4 kV (400 Volt), schafft 100 bis 250 kW (Quelle: ChatGPT)</w:t>
      </w:r>
    </w:p>
    <w:p w14:paraId="4C127034" w14:textId="77777777" w:rsidR="00A96504" w:rsidRDefault="00A96504" w:rsidP="00B74A76"/>
    <w:p w14:paraId="2C3F30F4" w14:textId="02D3B067" w:rsidR="00EF710F" w:rsidRPr="00EF710F" w:rsidRDefault="00EF710F" w:rsidP="00EF710F">
      <w:r w:rsidRPr="00EF710F">
        <w:t>Auf Netzebene 4 kann man mit einem Doppelsystem mit 500 MW ca.</w:t>
      </w:r>
      <w:r>
        <w:t xml:space="preserve"> </w:t>
      </w:r>
      <w:r w:rsidRPr="00EF710F">
        <w:t>45.000 Autos laden. (500.000 / 11)</w:t>
      </w:r>
    </w:p>
    <w:p w14:paraId="0F45CB92" w14:textId="77777777" w:rsidR="00EF710F" w:rsidRPr="00EF710F" w:rsidRDefault="00EF710F" w:rsidP="00EF710F"/>
    <w:p w14:paraId="7C493FA6" w14:textId="629CFCC3" w:rsidR="00EF710F" w:rsidRPr="00EF710F" w:rsidRDefault="00EF710F" w:rsidP="00EF710F">
      <w:r w:rsidRPr="00EF710F">
        <w:t>Auf der Netzebene 3 kann man bei 25 MW</w:t>
      </w:r>
      <w:r>
        <w:t xml:space="preserve"> </w:t>
      </w:r>
      <w:r w:rsidRPr="00EF710F">
        <w:t>2272 Elektroautos bei 11 kW laden (25.000 / 11)</w:t>
      </w:r>
    </w:p>
    <w:p w14:paraId="211BBFB0" w14:textId="77777777" w:rsidR="00EF710F" w:rsidRPr="00EF710F" w:rsidRDefault="00EF710F" w:rsidP="00EF710F"/>
    <w:p w14:paraId="6A21907B" w14:textId="62BAD5F0" w:rsidR="00A96504" w:rsidRDefault="00EF710F" w:rsidP="00EF710F">
      <w:r w:rsidRPr="00EF710F">
        <w:t>Auf Netzebene 4 kann man vielleicht</w:t>
      </w:r>
      <w:r>
        <w:t xml:space="preserve"> </w:t>
      </w:r>
      <w:proofErr w:type="gramStart"/>
      <w:r w:rsidRPr="00EF710F">
        <w:t>18 mal</w:t>
      </w:r>
      <w:proofErr w:type="gramEnd"/>
      <w:r w:rsidRPr="00EF710F">
        <w:t xml:space="preserve"> eine 11 kW Wallbox anschließen (200 / 11)</w:t>
      </w:r>
    </w:p>
    <w:p w14:paraId="2A27ECB1" w14:textId="77777777" w:rsidR="00A96504" w:rsidRDefault="00A96504" w:rsidP="00B74A76"/>
    <w:p w14:paraId="5383153E" w14:textId="30FEC1BA" w:rsidR="00EF710F" w:rsidRDefault="00EF710F" w:rsidP="00EF710F">
      <w:r w:rsidRPr="00EF710F">
        <w:t xml:space="preserve">Die Kleinstadt, deren </w:t>
      </w:r>
      <w:r>
        <w:t xml:space="preserve">10.000 </w:t>
      </w:r>
      <w:r w:rsidRPr="00EF710F">
        <w:t>E-Autos 110 MW Leistung benötigen, ist mit einer normalen Freileitung leicht anschließbar. Es müssen allerdings bei 30 kV, vier Stromkreise mit ca. 25 MW Leistung in die Stadt hereinführen (</w:t>
      </w:r>
      <w:r w:rsidR="00D9428A">
        <w:t xml:space="preserve">mit </w:t>
      </w:r>
      <w:r w:rsidRPr="00EF710F">
        <w:t>25 MW</w:t>
      </w:r>
      <w:r w:rsidR="00D9428A">
        <w:t xml:space="preserve"> </w:t>
      </w:r>
      <w:r w:rsidRPr="00EF710F">
        <w:t>kann man 2272 Elektroautos bei 11 kW laden … 2272 * 4 = 9088)</w:t>
      </w:r>
    </w:p>
    <w:p w14:paraId="3BCC1C5C" w14:textId="77777777" w:rsidR="00EF710F" w:rsidRPr="00EF710F" w:rsidRDefault="00EF710F" w:rsidP="00EF710F"/>
    <w:p w14:paraId="66D2DA0A" w14:textId="77777777" w:rsidR="00EF710F" w:rsidRPr="00EF710F" w:rsidRDefault="00EF710F" w:rsidP="00EF710F">
      <w:r w:rsidRPr="00EF710F">
        <w:t xml:space="preserve">Bei einer mittelgroßen Stadt mit 100.000 Elektrofahrzeugen, braucht man 1100 MW. Wenn diese von 100 km entfernt kommen, weil dazwischen alle Menschen gegen den Ausbau erneuerbarer Energien sind (aber weiter E-Auto fahren wollen), dann müssen die 100 km Netzausbau mit zwei Freileitungen mit je einem 110 kV Doppelsystem (ein Stromkreis 250 MW, Doppelsystem 500 MW) vorhanden sein, bei Redundanz 3 solcher Freileitungen. Kosten: 160-420 Mill. * 3 = 480 Mill.-1,26 Mrd. Euro. </w:t>
      </w:r>
    </w:p>
    <w:p w14:paraId="4203AEC3" w14:textId="5D130CC0" w:rsidR="00EF710F" w:rsidRDefault="00EF710F" w:rsidP="00EF710F">
      <w:r w:rsidRPr="00EF710F">
        <w:lastRenderedPageBreak/>
        <w:t>Kosten sind 1,6 Mill. – 4,2 Mill. pro km beim Neubau, also 160-420 Mill. pro 100 km, Daten: Bundesnetzagentur Kostenschätzungen</w:t>
      </w:r>
      <w:r w:rsidR="00D9428A">
        <w:rPr>
          <w:rStyle w:val="Funotenzeichen"/>
        </w:rPr>
        <w:footnoteReference w:id="758"/>
      </w:r>
      <w:r w:rsidRPr="00EF710F">
        <w:t xml:space="preserve">, </w:t>
      </w:r>
      <w:proofErr w:type="spellStart"/>
      <w:r w:rsidRPr="00EF710F">
        <w:t>Ampiron</w:t>
      </w:r>
      <w:proofErr w:type="spellEnd"/>
      <w:r w:rsidRPr="00EF710F">
        <w:t xml:space="preserve"> hat aber für 100 km Netzausbau sogar 3 Mrd. gemeldet.  </w:t>
      </w:r>
    </w:p>
    <w:p w14:paraId="0D930655" w14:textId="77777777" w:rsidR="00D9428A" w:rsidRPr="00EF710F" w:rsidRDefault="00D9428A" w:rsidP="00EF710F"/>
    <w:p w14:paraId="225455B8" w14:textId="77777777" w:rsidR="00EF710F" w:rsidRDefault="00EF710F" w:rsidP="00EF710F">
      <w:r w:rsidRPr="00EF710F">
        <w:t xml:space="preserve">Eine Großstadt wie Berlin braucht im Moment 1,4 GW Leistung, das sind ca. 28 Werder </w:t>
      </w:r>
      <w:proofErr w:type="spellStart"/>
      <w:r w:rsidRPr="00EF710F">
        <w:t>Kessin</w:t>
      </w:r>
      <w:proofErr w:type="spellEnd"/>
      <w:r w:rsidRPr="00EF710F">
        <w:t xml:space="preserve"> Windparks bei 50 MW durchschnittlicher Leistung, 26 Großbatterien a 50 MW, und 3 wasserstofffähige Gaskraftwerke a 500 MW ein. Dafür würden 3 Freileitungen mit jeweils einem 110 kV Doppelsystem reichen, bei Redundanz 4. </w:t>
      </w:r>
    </w:p>
    <w:p w14:paraId="29B1ABFE" w14:textId="77777777" w:rsidR="00D9428A" w:rsidRPr="00EF710F" w:rsidRDefault="00D9428A" w:rsidP="00EF710F"/>
    <w:p w14:paraId="4F53ED35" w14:textId="52A459FA" w:rsidR="00A96504" w:rsidRDefault="00EF710F" w:rsidP="00EF710F">
      <w:r w:rsidRPr="00EF710F">
        <w:t xml:space="preserve">Nimmt man hier 1.000.000 E-Autos braucht Berlin zusätzlich 11.000 MW bzw. 11 GW Leistung, dann sind 220 Werder </w:t>
      </w:r>
      <w:proofErr w:type="spellStart"/>
      <w:r w:rsidRPr="00EF710F">
        <w:t>Kessin</w:t>
      </w:r>
      <w:proofErr w:type="spellEnd"/>
      <w:r w:rsidRPr="00EF710F">
        <w:t xml:space="preserve"> Windparks, fürs Schnellladen mit 22 kW wären dies 440 Werder </w:t>
      </w:r>
      <w:proofErr w:type="spellStart"/>
      <w:r w:rsidRPr="00EF710F">
        <w:t>Kessin</w:t>
      </w:r>
      <w:proofErr w:type="spellEnd"/>
      <w:r w:rsidRPr="00EF710F">
        <w:t xml:space="preserve"> Windparks bzw. 220 50 MW Großbatterien bzw. 440 MW Großbatterien. Wenn dieser Strom etwas von der Offshore Windparks von der Ostsee oder von Landwindparks weither kommen würde, wären dies 22 große 500 MW Freileitungen, jeweils mit Doppelsystemen a 250 MW, die friedlich nebeneinander her durch die Landschaft 300 km lang auf Berlin zulaufen müssten. Kosten: 22 * 160 Mill. = 3520 Mill. bzw. 3,5 Mrd. Das würde also viel höhere Kosten für den Netzausbau verursachen, als regional um Berlin herum</w:t>
      </w:r>
      <w:r w:rsidR="00D9428A">
        <w:t xml:space="preserve"> </w:t>
      </w:r>
      <w:proofErr w:type="spellStart"/>
      <w:r w:rsidRPr="00EF710F">
        <w:t>plazierte</w:t>
      </w:r>
      <w:proofErr w:type="spellEnd"/>
      <w:r w:rsidRPr="00EF710F">
        <w:t xml:space="preserve"> Windparks.    </w:t>
      </w:r>
    </w:p>
    <w:p w14:paraId="033666D2" w14:textId="77777777" w:rsidR="00D9428A" w:rsidRDefault="00D9428A" w:rsidP="00EF710F"/>
    <w:p w14:paraId="1819C762" w14:textId="4E97AB04" w:rsidR="00D9428A" w:rsidRDefault="00D9428A" w:rsidP="00EF710F">
      <w:r>
        <w:t>Gut ist natürlich auch, wenn die Haushalte ihre E-Autos mit Solarpanels aufladen, dies funktioniert aber leider nur im Sommer!</w:t>
      </w:r>
    </w:p>
    <w:p w14:paraId="73109919" w14:textId="77777777" w:rsidR="00D9428A" w:rsidRDefault="00D9428A" w:rsidP="00EF710F"/>
    <w:p w14:paraId="1EA8EF71" w14:textId="5CE62187" w:rsidR="00550090" w:rsidRDefault="00D46168" w:rsidP="00B74A76">
      <w:r>
        <w:t xml:space="preserve">Aus diesem Grund wird man in die regionale Planung des Netzausbaus auch noch den Strombedarf der Elektro-Autos einbeziehen müssen, wie derzeit eben bereits die Elektrolyseure immerhin schonmal angemeldet werden. Und es muss für den Ausbau von erneuerbaren Energien vor Ort und für den Ausbau von Speichern vor Ort, in den Städteregionen spezielle Anreize geben (und Platz gemacht werden), weil es sonst schon wieder dazu kommt, dass die Netzausbaukosten stark steigen würden (die man gerade geschafft hat, abzusenken bzw. </w:t>
      </w:r>
      <w:proofErr w:type="spellStart"/>
      <w:r>
        <w:t>dagegenzusteuern</w:t>
      </w:r>
      <w:proofErr w:type="spellEnd"/>
      <w:r>
        <w:t xml:space="preserve">).   </w:t>
      </w:r>
    </w:p>
    <w:p w14:paraId="794953B8" w14:textId="77777777" w:rsidR="00550090" w:rsidRDefault="00550090" w:rsidP="00B74A76"/>
    <w:p w14:paraId="5BB391F2" w14:textId="599D53D8" w:rsidR="00D9428A" w:rsidRDefault="00D9428A" w:rsidP="00B74A76">
      <w:r w:rsidRPr="00D9428A">
        <w:t xml:space="preserve">Aus meiner Sicht muss für den Ausbau von erneuerbaren Energien vor Ort und für den Ausbau von Speichern vor Ort für </w:t>
      </w:r>
      <w:r>
        <w:t xml:space="preserve">die E-Autos </w:t>
      </w:r>
      <w:r w:rsidRPr="00D9428A">
        <w:t>d</w:t>
      </w:r>
      <w:r>
        <w:t>er</w:t>
      </w:r>
      <w:r w:rsidRPr="00D9428A">
        <w:t xml:space="preserve"> Städte und Städteregionen auch spezielle Anreize geben. </w:t>
      </w:r>
      <w:r>
        <w:t>Und man sollte auch mal konkret die Industriebetriebe nennen, die versorgt werden müssen.</w:t>
      </w:r>
    </w:p>
    <w:p w14:paraId="07E8D953" w14:textId="77777777" w:rsidR="00D9428A" w:rsidRDefault="00D9428A" w:rsidP="00B74A76"/>
    <w:p w14:paraId="302D86C2" w14:textId="16483336" w:rsidR="00D9428A" w:rsidRDefault="00D9428A" w:rsidP="00B74A76">
      <w:r>
        <w:t>Dabei sollte es auch eine größere politische Beteiligung geben, als heute, die verbunden wird, mit einer</w:t>
      </w:r>
      <w:r w:rsidRPr="00D9428A">
        <w:t xml:space="preserve"> viel größere Bürgerbeteiligung </w:t>
      </w:r>
      <w:r>
        <w:t xml:space="preserve">an den Vorteilen erneuerbarer Energien </w:t>
      </w:r>
      <w:r w:rsidRPr="00D9428A">
        <w:t>als heute, dass in Regionen</w:t>
      </w:r>
      <w:r>
        <w:t>, die einem</w:t>
      </w:r>
      <w:r w:rsidRPr="00D9428A">
        <w:t xml:space="preserve"> hohem Ausbau </w:t>
      </w:r>
      <w:r>
        <w:t xml:space="preserve">erneuerbarer Energien zustimmen </w:t>
      </w:r>
      <w:r w:rsidRPr="00D9428A">
        <w:t>z.B. auch E-Auto tanken zu sehr günstigen Tarifen, angeboten wird.</w:t>
      </w:r>
    </w:p>
    <w:p w14:paraId="190E295F" w14:textId="77777777" w:rsidR="00D9428A" w:rsidRDefault="00D9428A" w:rsidP="00B74A76"/>
    <w:p w14:paraId="55F268BF" w14:textId="6D578850" w:rsidR="00B74A76" w:rsidRDefault="00B74A76" w:rsidP="00B74A76">
      <w:r>
        <w:t xml:space="preserve">Der </w:t>
      </w:r>
      <w:r w:rsidRPr="00804DEF">
        <w:rPr>
          <w:u w:val="single"/>
        </w:rPr>
        <w:t>Stand des Netzausbaus</w:t>
      </w:r>
      <w:r>
        <w:t xml:space="preserve"> wird berichtet von der Bundesnetzagentur, im Monitoring des Stromnetzausbaus</w:t>
      </w:r>
      <w:r>
        <w:rPr>
          <w:rStyle w:val="Funotenzeichen"/>
        </w:rPr>
        <w:footnoteReference w:id="759"/>
      </w:r>
      <w:r>
        <w:t xml:space="preserve">, etwa dem aktuellen Bereich Drittes Quartal 2023. </w:t>
      </w:r>
      <w:r w:rsidR="00096CFF">
        <w:t>Das deutsche Stromnetz ist 1.842.000 km lang, mit 38.000 km Höchstspannungsnetz, 1.804.000 km Hoch-, Mittel-, und Niederspannungsnetz (Stand 2022).</w:t>
      </w:r>
      <w:r w:rsidR="00096CFF">
        <w:rPr>
          <w:rStyle w:val="Funotenzeichen"/>
        </w:rPr>
        <w:footnoteReference w:id="760"/>
      </w:r>
      <w:r w:rsidR="00096CFF">
        <w:t xml:space="preserve"> </w:t>
      </w:r>
      <w:r>
        <w:t xml:space="preserve">Christian Geinitz von der FAZ fasst den Stand des Netzausbaus folgendermaßen zusammen: „Demnach sind inzwischen 119 Vorhaben mit mehr als 13.600 </w:t>
      </w:r>
      <w:r>
        <w:lastRenderedPageBreak/>
        <w:t xml:space="preserve">Trassenkilometern gesetzlich festgeschrieben. Für 7400 Kilometer ist die Netzagentur zuständig, für den Rest sind es die Länder, vor allem Niedersachsen, Nordrhein-Westfalen, Schleswig-Holstein und Bayern. Rund 2000 der 13.600 Kilometer sind im Betrieb, 1800 im Bau, 5200 in der Planfeststellung. 1500 Kilometer befinden sich in der Raumordnungs- oder Bundesfachplanung, der Rest befindet sich in einem früheren Stadium. Vorgesehen sind 19 Grenzkuppelstellen, sogenannte </w:t>
      </w:r>
      <w:proofErr w:type="spellStart"/>
      <w:r>
        <w:t>Interkonnektoren</w:t>
      </w:r>
      <w:proofErr w:type="spellEnd"/>
      <w:r>
        <w:t xml:space="preserve">, für den Import und Export von Strom; davon sind 6 in Betrieb. Es gibt momentan 19 Offshore-Netzanbindungen zu Windparks ins Meer auf einer Strecke von knapp 3000 Kilometern. Genauso viele – 14 in der Nord- und 5 in der Ostsee – auf 4800 Kilometern sind in Planung oder im Bau. Bis 2030 soll die Offshore-Leistung von derzeit 8,5 auf dann 30 Gigawatt wachsen. Der Großteil der dafür nötigen Anbindungssysteme „konnte bereits beauftragt werden“, schreibt Habecks Haus. (…) </w:t>
      </w:r>
      <w:r w:rsidRPr="00FF7D1C">
        <w:t xml:space="preserve">Der auf See erzeugte Wechselstrom wird auf </w:t>
      </w:r>
      <w:proofErr w:type="spellStart"/>
      <w:r w:rsidRPr="00FF7D1C">
        <w:t>Konverterplattformen</w:t>
      </w:r>
      <w:proofErr w:type="spellEnd"/>
      <w:r w:rsidRPr="00FF7D1C">
        <w:t xml:space="preserve"> in Gleichstrom umgewandelt und aufs Festland übertragen. Dort machen Konverter daraus wieder Wechselstrom; Konverter setzt man auch an Land für verlustarme Gleichstromübertragungen ein. Bis 2050 werden in europäischen Gewässern 135 </w:t>
      </w:r>
      <w:proofErr w:type="spellStart"/>
      <w:r w:rsidRPr="00FF7D1C">
        <w:t>Konverterplattformen</w:t>
      </w:r>
      <w:proofErr w:type="spellEnd"/>
      <w:r w:rsidRPr="00FF7D1C">
        <w:t xml:space="preserve"> benötigt, allein 33 in Deutschland. Sehr gefragt ist die neue Generation mit 2 Gigawatt Leistung. Dafür sind neue Fertigungskapazitäten in Werften entlang der Küsten nötig. Um Finanzierungsengpässe zu mildern, schlägt die Regierung Ausfallbürgschaften unter Beteiligung der Länder vor. Zur Koordinierung gibt es eine „Taskforce </w:t>
      </w:r>
      <w:proofErr w:type="spellStart"/>
      <w:r w:rsidRPr="00FF7D1C">
        <w:t>Konverterplattformen</w:t>
      </w:r>
      <w:proofErr w:type="spellEnd"/>
      <w:r w:rsidRPr="00FF7D1C">
        <w:t>“ unter Leitung des Maritimen Koordinators Dieter Janecek (Grüne).</w:t>
      </w:r>
      <w:r>
        <w:t>“</w:t>
      </w:r>
      <w:r w:rsidRPr="002675CE">
        <w:rPr>
          <w:rStyle w:val="Funotenzeichen"/>
        </w:rPr>
        <w:t xml:space="preserve"> </w:t>
      </w:r>
      <w:r>
        <w:rPr>
          <w:rStyle w:val="Funotenzeichen"/>
        </w:rPr>
        <w:footnoteReference w:id="761"/>
      </w:r>
    </w:p>
    <w:p w14:paraId="4FA93B15" w14:textId="77777777" w:rsidR="00B74A76" w:rsidRDefault="00B74A76" w:rsidP="00B74A76"/>
    <w:p w14:paraId="2A4C6A59" w14:textId="55CED672" w:rsidR="00B74A76" w:rsidRDefault="00B74A76" w:rsidP="00B74A76">
      <w:r>
        <w:t>Es müssen aber auch auf regionaler Ebene die Netze ausgebaut werden, da teils nicht einmal möglich ist, an einem Straßenzug mehrere E-Autos zu laden. Bis April 2024 hatten die 80 größten Verteilnetzbetreiber Zeit regionale Netzausbaupläne vorzulegen.</w:t>
      </w:r>
      <w:r>
        <w:rPr>
          <w:rStyle w:val="Funotenzeichen"/>
        </w:rPr>
        <w:footnoteReference w:id="762"/>
      </w:r>
      <w:r>
        <w:t xml:space="preserve"> </w:t>
      </w:r>
      <w:r w:rsidR="00096CFF">
        <w:t xml:space="preserve">Noch 2022 war der Stand des Ausbaus im Verteilnetz (Hoch-, Mittel-, und Niederspannungsnetz) </w:t>
      </w:r>
      <w:r w:rsidR="007B6F0D">
        <w:t>nicht genau bekannt, 587 Maßnahmen wurden als verzögert gemeldet, 25 %.</w:t>
      </w:r>
      <w:r w:rsidR="007B6F0D">
        <w:rPr>
          <w:rStyle w:val="Funotenzeichen"/>
        </w:rPr>
        <w:footnoteReference w:id="763"/>
      </w:r>
      <w:r w:rsidR="007B6F0D">
        <w:t xml:space="preserve"> Siehe den Dena </w:t>
      </w:r>
      <w:proofErr w:type="spellStart"/>
      <w:r w:rsidR="007B6F0D">
        <w:t>StiPE</w:t>
      </w:r>
      <w:proofErr w:type="spellEnd"/>
      <w:r w:rsidR="007B6F0D">
        <w:t xml:space="preserve"> Bericht 2022 für viele weitere Vorschläge u.a. zur Beschleunigung des Netzausbaus.</w:t>
      </w:r>
      <w:r w:rsidR="007B6F0D">
        <w:rPr>
          <w:rStyle w:val="Funotenzeichen"/>
        </w:rPr>
        <w:footnoteReference w:id="764"/>
      </w:r>
      <w:r w:rsidR="007B6F0D">
        <w:t xml:space="preserve"> </w:t>
      </w:r>
      <w:r>
        <w:t xml:space="preserve">Die Bundesnetzagentur hat es erlaubt, dass Stromversorger bei einer höheren </w:t>
      </w:r>
      <w:proofErr w:type="spellStart"/>
      <w:r>
        <w:t>Netzlast</w:t>
      </w:r>
      <w:proofErr w:type="spellEnd"/>
      <w:r>
        <w:t xml:space="preserve"> (‚Spitzenlastglättung‘) den Stromverbrauch drosseln dürfen und zwar bei Wallboxen und Wärmepumpen, allerdings nur bis zu einem Wert von 3,7 kWh, der erhalten bleiben muss. Dazu darf die Abschaltung nur für einen bestimmten Zeitraum erfolgen, möglichst damit die Verbraucher dies nicht merken.</w:t>
      </w:r>
      <w:r>
        <w:rPr>
          <w:rStyle w:val="Funotenzeichen"/>
        </w:rPr>
        <w:footnoteReference w:id="765"/>
      </w:r>
      <w:r>
        <w:t xml:space="preserve"> Das ist ein beliebtes Stammtischthema, dass die lokalen Stromleitungen nicht einmal für das Laden von E-Autos reichen</w:t>
      </w:r>
      <w:r w:rsidR="004F0206">
        <w:t>.</w:t>
      </w:r>
      <w:r>
        <w:t xml:space="preserve"> </w:t>
      </w:r>
    </w:p>
    <w:p w14:paraId="5098AA61" w14:textId="77777777" w:rsidR="00B74A76" w:rsidRDefault="00B74A76" w:rsidP="00B74A76"/>
    <w:p w14:paraId="0BCD211C" w14:textId="2EF1C100" w:rsidR="00B74A76" w:rsidRDefault="002F1818" w:rsidP="00B74A76">
      <w:bookmarkStart w:id="44" w:name="_Hlk198423669"/>
      <w:r>
        <w:t>In einem</w:t>
      </w:r>
      <w:r w:rsidR="00B74A76">
        <w:t xml:space="preserve"> Netzentwicklungsplan</w:t>
      </w:r>
      <w:r>
        <w:t xml:space="preserve"> werden </w:t>
      </w:r>
      <w:r w:rsidR="00B74A76">
        <w:t>bis 2037 Investitionen von 272 Mrd. Euro, bis 2050 300 Mrd. Euro</w:t>
      </w:r>
      <w:r w:rsidR="00804DEF">
        <w:t>, siehe FAZ-Artikel, Stand: April 2024</w:t>
      </w:r>
      <w:r w:rsidR="00B74A76">
        <w:t>.</w:t>
      </w:r>
      <w:r w:rsidR="00B74A76">
        <w:rPr>
          <w:rStyle w:val="Funotenzeichen"/>
        </w:rPr>
        <w:footnoteReference w:id="766"/>
      </w:r>
      <w:r w:rsidR="00804DEF">
        <w:t xml:space="preserve">  </w:t>
      </w:r>
    </w:p>
    <w:bookmarkEnd w:id="44"/>
    <w:p w14:paraId="577BE8CA" w14:textId="77777777" w:rsidR="00B74A76" w:rsidRDefault="00B74A76" w:rsidP="00B74A76"/>
    <w:p w14:paraId="479E815F" w14:textId="77777777" w:rsidR="00B74A76" w:rsidRDefault="00B74A76" w:rsidP="00B74A76">
      <w:r>
        <w:t>Zur Kritik des Netzausbaus siehe den Bericht des Bundesrechnungshofs (07.03.2024).</w:t>
      </w:r>
      <w:r>
        <w:rPr>
          <w:rStyle w:val="Funotenzeichen"/>
        </w:rPr>
        <w:footnoteReference w:id="767"/>
      </w:r>
      <w:r>
        <w:t xml:space="preserve"> Dort wird festgehalten, dass die </w:t>
      </w:r>
      <w:r w:rsidRPr="00A0440A">
        <w:t>Energieleitungsausbaugesetz (</w:t>
      </w:r>
      <w:proofErr w:type="spellStart"/>
      <w:r w:rsidRPr="00A0440A">
        <w:t>EnLAG</w:t>
      </w:r>
      <w:proofErr w:type="spellEnd"/>
      <w:r w:rsidRPr="00A0440A">
        <w:t>)</w:t>
      </w:r>
      <w:r>
        <w:t xml:space="preserve"> </w:t>
      </w:r>
      <w:r w:rsidRPr="00A0440A">
        <w:t>und das Bundesbedarfsplangesetz (</w:t>
      </w:r>
      <w:proofErr w:type="spellStart"/>
      <w:r w:rsidRPr="00A0440A">
        <w:t>BBPlG</w:t>
      </w:r>
      <w:proofErr w:type="spellEnd"/>
      <w:r>
        <w:t>) Vorhaben von 13.984 km enthalten, davon sind im dritten Quartal von 2023 erst 2695 km fertiggestellt, 19,3 %, dies hätte der Stand schon vor 7 Jahren sein müssen.</w:t>
      </w:r>
      <w:r>
        <w:rPr>
          <w:rStyle w:val="Funotenzeichen"/>
        </w:rPr>
        <w:footnoteReference w:id="768"/>
      </w:r>
      <w:r>
        <w:t xml:space="preserve"> Der neue Netzentwicklungsplan Strom 2037 / 2045, Version 2023, 2. Entwurf, NEP kompakt, enthält nun eine </w:t>
      </w:r>
      <w:r>
        <w:lastRenderedPageBreak/>
        <w:t>Trassenlänge von 21663 km, u.a. um mit der Erhöhung der Offshore Wind Leistung auf 70 MW zurechtzukommen.</w:t>
      </w:r>
      <w:r>
        <w:rPr>
          <w:rStyle w:val="Funotenzeichen"/>
        </w:rPr>
        <w:footnoteReference w:id="769"/>
      </w:r>
      <w:r>
        <w:t xml:space="preserve"> </w:t>
      </w:r>
      <w:bookmarkStart w:id="45" w:name="_Hlk198423766"/>
      <w:r>
        <w:t>Von 2024 bis 2045 wird vom Bundesrechnungshof geschätzt, dass 463,8 Mrd. Euro für den Netzausbau, Übertragungsnetze (im Meer, auf dem Land), Verteilnetze, mit Systemdienstleistungen zu erwarten sind. Der Bundesrechnungshof geht davon aus, dass die von der Bundesnetzagentur angegebenen Schätzungen zu niedrig liegen.</w:t>
      </w:r>
      <w:r>
        <w:rPr>
          <w:rStyle w:val="Funotenzeichen"/>
        </w:rPr>
        <w:footnoteReference w:id="770"/>
      </w:r>
      <w:r>
        <w:t xml:space="preserve"> </w:t>
      </w:r>
    </w:p>
    <w:bookmarkEnd w:id="45"/>
    <w:p w14:paraId="26D5FA3F" w14:textId="77777777" w:rsidR="00B74A76" w:rsidRDefault="00B74A76" w:rsidP="00B74A76"/>
    <w:p w14:paraId="79EE0977" w14:textId="77777777" w:rsidR="00B74A76" w:rsidRDefault="00B74A76" w:rsidP="00B74A76">
      <w:bookmarkStart w:id="46" w:name="_Hlk199107560"/>
      <w:r>
        <w:t>Der Übertragungsnetzbetreiber Amprion berichtet, dass er 3 Mrd. Euro investiert hat (mehr als jemals davor) und damit 100 Kilometer Leitungen fertiggestellt hat.</w:t>
      </w:r>
      <w:r>
        <w:rPr>
          <w:rStyle w:val="Funotenzeichen"/>
        </w:rPr>
        <w:footnoteReference w:id="771"/>
      </w:r>
      <w:r>
        <w:t xml:space="preserve"> </w:t>
      </w:r>
    </w:p>
    <w:bookmarkEnd w:id="46"/>
    <w:p w14:paraId="3BEE1E7B" w14:textId="77777777" w:rsidR="00B74A76" w:rsidRDefault="00B74A76" w:rsidP="00B74A76"/>
    <w:tbl>
      <w:tblPr>
        <w:tblStyle w:val="Tabellenraster"/>
        <w:tblW w:w="0" w:type="auto"/>
        <w:tblLook w:val="04A0" w:firstRow="1" w:lastRow="0" w:firstColumn="1" w:lastColumn="0" w:noHBand="0" w:noVBand="1"/>
      </w:tblPr>
      <w:tblGrid>
        <w:gridCol w:w="9062"/>
      </w:tblGrid>
      <w:tr w:rsidR="00B74A76" w14:paraId="53F976FE" w14:textId="77777777" w:rsidTr="00C1615B">
        <w:tc>
          <w:tcPr>
            <w:tcW w:w="9062" w:type="dxa"/>
          </w:tcPr>
          <w:p w14:paraId="39141F17" w14:textId="4BB3D03E" w:rsidR="00B74A76" w:rsidRDefault="00B74A76" w:rsidP="00C1615B">
            <w:r>
              <w:t xml:space="preserve">Bierdeckelrechnung: 100 Kilometer Leitungen für 3 Mrd. Euro. 10.000 Kilometer Leitungen </w:t>
            </w:r>
            <w:proofErr w:type="gramStart"/>
            <w:r>
              <w:t>= ?</w:t>
            </w:r>
            <w:proofErr w:type="gramEnd"/>
            <w:r>
              <w:t xml:space="preserve"> 10.000 / 100 sind 100. 100 * 3 Mrd., sind 300 Mrd. Somit kommen die Schätzungen des Bundesrechnungshofes hin.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3A3DF2">
              <w:t xml:space="preserve"> Freileitungen können aber offenbar günstiger sein. </w:t>
            </w:r>
            <w:r w:rsidR="003A3DF2" w:rsidRPr="006E5A34">
              <w:rPr>
                <w:u w:val="single"/>
              </w:rPr>
              <w:t>Vor 10 Jahren wurde davon ausgegangen, dass 1 km Stromnetz Freileitungen 1 bis 1,4 Mill. Euro kosten</w:t>
            </w:r>
            <w:r w:rsidR="003A3DF2">
              <w:t>, auch damals wurde darauf hingewiesen, dass es teils teurer sein kann, Stand: 2013.</w:t>
            </w:r>
            <w:r w:rsidR="003A3DF2">
              <w:rPr>
                <w:rStyle w:val="Funotenzeichen"/>
              </w:rPr>
              <w:t xml:space="preserve"> </w:t>
            </w:r>
            <w:r w:rsidR="003A3DF2">
              <w:rPr>
                <w:rStyle w:val="Funotenzeichen"/>
              </w:rPr>
              <w:footnoteReference w:id="772"/>
            </w:r>
            <w:r w:rsidR="003A3DF2">
              <w:t xml:space="preserve"> D.h. bei diesen Kosten würden 100 km nur 300 Mill. Euro kosten. Woher kommen die </w:t>
            </w:r>
            <w:proofErr w:type="gramStart"/>
            <w:r w:rsidR="003A3DF2">
              <w:t>10 fachen</w:t>
            </w:r>
            <w:proofErr w:type="gramEnd"/>
            <w:r w:rsidR="003A3DF2">
              <w:t xml:space="preserve"> Kosten bei </w:t>
            </w:r>
            <w:proofErr w:type="spellStart"/>
            <w:r w:rsidR="003A3DF2">
              <w:t>Ampiron</w:t>
            </w:r>
            <w:proofErr w:type="spellEnd"/>
            <w:r w:rsidR="003A3DF2">
              <w:t xml:space="preserve">? </w:t>
            </w:r>
          </w:p>
        </w:tc>
      </w:tr>
    </w:tbl>
    <w:p w14:paraId="09F446E3" w14:textId="5186E6DF" w:rsidR="00804DEF" w:rsidRDefault="00B74A76" w:rsidP="00804DEF">
      <w:r>
        <w:t xml:space="preserve"> </w:t>
      </w:r>
    </w:p>
    <w:tbl>
      <w:tblPr>
        <w:tblStyle w:val="Tabellenraster"/>
        <w:tblW w:w="0" w:type="auto"/>
        <w:tblLook w:val="04A0" w:firstRow="1" w:lastRow="0" w:firstColumn="1" w:lastColumn="0" w:noHBand="0" w:noVBand="1"/>
      </w:tblPr>
      <w:tblGrid>
        <w:gridCol w:w="9062"/>
      </w:tblGrid>
      <w:tr w:rsidR="00804DEF" w14:paraId="4E8FABEB" w14:textId="77777777" w:rsidTr="00C0580A">
        <w:tc>
          <w:tcPr>
            <w:tcW w:w="9062" w:type="dxa"/>
          </w:tcPr>
          <w:p w14:paraId="7B5031B3" w14:textId="28D15C41" w:rsidR="00804DEF" w:rsidRDefault="00804DEF" w:rsidP="003A3DF2">
            <w:r>
              <w:t xml:space="preserve">Kosten für Pipelines: Wenn man </w:t>
            </w:r>
            <w:r w:rsidR="003A3DF2">
              <w:t xml:space="preserve">für </w:t>
            </w:r>
            <w:r>
              <w:t xml:space="preserve">3 Mrd. </w:t>
            </w:r>
            <w:r w:rsidR="003A3DF2">
              <w:t xml:space="preserve">Euro </w:t>
            </w:r>
            <w:r>
              <w:t xml:space="preserve">für eine Pipeline von ca. 900 km von den </w:t>
            </w:r>
            <w:proofErr w:type="spellStart"/>
            <w:r>
              <w:t>Orkney</w:t>
            </w:r>
            <w:proofErr w:type="spellEnd"/>
            <w:r>
              <w:t xml:space="preserve"> Inseln nach Emden bezahlt</w:t>
            </w:r>
            <w:r>
              <w:rPr>
                <w:rStyle w:val="Funotenzeichen"/>
              </w:rPr>
              <w:footnoteReference w:id="773"/>
            </w:r>
            <w:r>
              <w:t xml:space="preserve">, ist das </w:t>
            </w:r>
            <w:r w:rsidR="003A3DF2">
              <w:t xml:space="preserve">offenbar recht günstig, 100 km für 333 Mill. Euro. </w:t>
            </w:r>
          </w:p>
        </w:tc>
      </w:tr>
    </w:tbl>
    <w:p w14:paraId="5DDD32D7" w14:textId="77777777" w:rsidR="00804DEF" w:rsidRDefault="00804DEF" w:rsidP="00B74A76"/>
    <w:p w14:paraId="30F44A73" w14:textId="77777777" w:rsidR="00B74A76" w:rsidRDefault="00B74A76" w:rsidP="00B74A76">
      <w:r>
        <w:t>Für 2024 wird angegeben, dass sich die Netzentgelte von 3,19 Cent (dies hätte aber durch 5,5 Mrd. subventioniert werden müssen), auf 6,43 Cent erhöht haben. Der Arbeitspreis für Netzentgelte würde um 8,57 % zulegen, dies seien durchschnittlich 14 %, die führe zu einer Mehrbelastung von 12 % oder 40 % auf 367 Euro im Jahr (Netzentgelte Anteil der Stromrechnung).</w:t>
      </w:r>
      <w:r w:rsidRPr="005527E0">
        <w:rPr>
          <w:rStyle w:val="Funotenzeichen"/>
        </w:rPr>
        <w:t xml:space="preserve"> </w:t>
      </w:r>
      <w:r>
        <w:rPr>
          <w:rStyle w:val="Funotenzeichen"/>
        </w:rPr>
        <w:footnoteReference w:id="774"/>
      </w:r>
    </w:p>
    <w:p w14:paraId="26D8E616" w14:textId="77777777" w:rsidR="00B74A76" w:rsidRDefault="00B74A76" w:rsidP="00B74A76"/>
    <w:tbl>
      <w:tblPr>
        <w:tblStyle w:val="Tabellenraster"/>
        <w:tblW w:w="0" w:type="auto"/>
        <w:tblLook w:val="04A0" w:firstRow="1" w:lastRow="0" w:firstColumn="1" w:lastColumn="0" w:noHBand="0" w:noVBand="1"/>
      </w:tblPr>
      <w:tblGrid>
        <w:gridCol w:w="9062"/>
      </w:tblGrid>
      <w:tr w:rsidR="00B74A76" w14:paraId="0D83D384" w14:textId="77777777" w:rsidTr="00C1615B">
        <w:tc>
          <w:tcPr>
            <w:tcW w:w="9062" w:type="dxa"/>
          </w:tcPr>
          <w:p w14:paraId="69FF9855" w14:textId="77777777" w:rsidR="00B74A76" w:rsidRDefault="00B74A76" w:rsidP="00C1615B">
            <w:r>
              <w:t xml:space="preserve">Freileitungen vs. Stromleitungen im Boden. Mittlerweile hat sich dies zu einem </w:t>
            </w:r>
            <w:proofErr w:type="gramStart"/>
            <w:r>
              <w:t>eigenen  Diskussionsstrang</w:t>
            </w:r>
            <w:proofErr w:type="gramEnd"/>
            <w:r>
              <w:t xml:space="preserve"> bzw. sogar </w:t>
            </w:r>
            <w:proofErr w:type="gramStart"/>
            <w:r>
              <w:t>zu einer politische Kontroverse</w:t>
            </w:r>
            <w:proofErr w:type="gramEnd"/>
            <w:r>
              <w:t xml:space="preserve"> entwickelt, der CDU-Wirtschaftsrat hat Mitte Mai 2024 damit begonnen, sich für Freileitungen einzusetzen. Zuvor hatte es eine Präferenz für Erdkabel gegeben. Es geht konkret um drei geplante Gleichstromverbindungen, den Ostwestlink zwischen Niedersachsen und Sachsen (DC40) und den Nordwestlink aus Niedersachsen nach Baden-Württemberg (DC41) sowie den Südwestlink (DC42, der den Südwesten mit Schleswig-Holstein verbinden soll. Klaus Müller, der Präsident der Bundesnetzagentur warnte davor, über diese drei Leitungen hinaus, bereits geplante Leitungen umzuplanen, etwa Offshore-Anbindungen, weil eine Umplanung noch mehr Zeit kosten würde. Die Einsparungen schätzte er auf 16,5 Mrd. Euro ein. Amprion hatte am 06.06.2024 bekanntgegeben, dass es für die Projekte Korridor B und Rhein-Main Link an die japanische Firma Sumitomo Electric einen Großauftrag für Erdkabel vergeben hat, für 3 Mrd. Euro, wobei die Produktion in Deutschland aufgebaut werden solle. Ein Umschwenken auf Freileitungen sei für die Zukunft allerdings denkbar, dazu müssten aber alle </w:t>
            </w:r>
            <w:r>
              <w:lastRenderedPageBreak/>
              <w:t>Bundesländer zustimmen, so Klaus Müller.</w:t>
            </w:r>
            <w:r>
              <w:rPr>
                <w:rStyle w:val="Funotenzeichen"/>
              </w:rPr>
              <w:footnoteReference w:id="775"/>
            </w:r>
            <w:r>
              <w:t xml:space="preserve"> Bislang stimmten aber nicht alle Bundesländer zu, auch weil dadurch Verzögerungen im Ausbau befürchtet werden. Deshalb ist bislang keine Abkehr von Erdkabeln geplant.</w:t>
            </w:r>
            <w:r>
              <w:rPr>
                <w:rStyle w:val="Funotenzeichen"/>
              </w:rPr>
              <w:footnoteReference w:id="776"/>
            </w:r>
          </w:p>
        </w:tc>
      </w:tr>
    </w:tbl>
    <w:p w14:paraId="1556323E" w14:textId="77777777" w:rsidR="00B74A76" w:rsidRDefault="00B74A76" w:rsidP="00B74A76"/>
    <w:tbl>
      <w:tblPr>
        <w:tblStyle w:val="Tabellenraster"/>
        <w:tblW w:w="0" w:type="auto"/>
        <w:tblLook w:val="04A0" w:firstRow="1" w:lastRow="0" w:firstColumn="1" w:lastColumn="0" w:noHBand="0" w:noVBand="1"/>
      </w:tblPr>
      <w:tblGrid>
        <w:gridCol w:w="9062"/>
      </w:tblGrid>
      <w:tr w:rsidR="00B74A76" w14:paraId="67FC122B" w14:textId="77777777" w:rsidTr="00C1615B">
        <w:tc>
          <w:tcPr>
            <w:tcW w:w="9062" w:type="dxa"/>
          </w:tcPr>
          <w:p w14:paraId="26D22C59" w14:textId="40CDAA2B" w:rsidR="00B74A76" w:rsidRDefault="00BE2DF6" w:rsidP="00C1615B">
            <w:r>
              <w:t>Selbst</w:t>
            </w:r>
            <w:r w:rsidR="00B74A76">
              <w:t xml:space="preserve"> Erdkabel führen zu Protesten</w:t>
            </w:r>
            <w:r>
              <w:t xml:space="preserv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B74A76">
              <w:t xml:space="preserve">. Die FAZ berichtet, dass der Landwirt Herr Kerssenbrock und der Naturschützer Mathias Wennemann vom Naturwissenschaftlichen Verein Bielefeld vor einer Baustelle für ein Erdkabel stehen und der Landwirt sagt: „Und mir als Landwirt blutet das Herz, wenn ich sehe, wenn so mit dem Boden umgegangen wird.“ Zu sehen ist eine Schneise, breiter als eine dreispurige Autobahn, von ca. 70 Meter breit, die sich durch die Felder zieht. Dies ist offenkundig nötig, weil Platz für den Aushub gebraucht wird und Röhren zwischengelagert werden. Nebenan sind die Felder des Landwirts zu sehen, große Roggenfelder. </w:t>
            </w:r>
            <w:proofErr w:type="spellStart"/>
            <w:r w:rsidR="00B74A76">
              <w:t>Kerssenbrock</w:t>
            </w:r>
            <w:proofErr w:type="spellEnd"/>
            <w:r w:rsidR="00B74A76">
              <w:t xml:space="preserve"> klagt vor dem Bundesverwaltungsgericht, weil seiner Meinung nach unzureichend die Methode von horizontalen Bohrungen genutzt wird. Er sei aber nicht gegen die Energiewende.</w:t>
            </w:r>
            <w:r w:rsidR="00B74A76">
              <w:rPr>
                <w:rStyle w:val="Funotenzeichen"/>
              </w:rPr>
              <w:footnoteReference w:id="777"/>
            </w:r>
            <w:r w:rsidR="00B74A76">
              <w:t xml:space="preserve">  Die Wärme der Erdkabel hat keine Auswirkungen auf den landwirtschaftlichen Ertrag.</w:t>
            </w:r>
            <w:r w:rsidR="00B74A76">
              <w:rPr>
                <w:rStyle w:val="Funotenzeichen"/>
              </w:rPr>
              <w:footnoteReference w:id="778"/>
            </w:r>
            <w:r w:rsidR="00B74A76">
              <w:t xml:space="preserve"> Über die Strecken der Erdkabeltrassen wird aber ausführlich beraten und es werden auf Anregung von Gemeinden Änderungen durchgeführt, nicht nur wegen einer Feldhamster Aufzuchtstation, sondern auch wegen Grundwasserschutz oder dem Schutz von Weinbergen, wie etwa bei einer Diskussion im Beisein der Bundesnetzagentur und </w:t>
            </w:r>
            <w:proofErr w:type="spellStart"/>
            <w:r w:rsidR="00B74A76">
              <w:t>Ampiron</w:t>
            </w:r>
            <w:proofErr w:type="spellEnd"/>
            <w:r w:rsidR="00B74A76">
              <w:t xml:space="preserve"> über den Rhein-Main-Link in Butzbach.</w:t>
            </w:r>
            <w:r w:rsidR="00B74A76">
              <w:rPr>
                <w:rStyle w:val="Funotenzeichen"/>
              </w:rPr>
              <w:footnoteReference w:id="779"/>
            </w:r>
          </w:p>
        </w:tc>
      </w:tr>
    </w:tbl>
    <w:p w14:paraId="4C51F288" w14:textId="77777777" w:rsidR="00B74A76" w:rsidRDefault="00B74A76" w:rsidP="00B74A76"/>
    <w:p w14:paraId="5FE9A5D0" w14:textId="090962D7" w:rsidR="00DF2C73" w:rsidRDefault="00DF2C73" w:rsidP="00B74A76">
      <w:r w:rsidRPr="00CF4775">
        <w:rPr>
          <w:u w:val="single"/>
        </w:rPr>
        <w:t>Netzentgelte</w:t>
      </w:r>
      <w:r>
        <w:t xml:space="preserve"> werden von der Bundesnetzagentur festgelegt.</w:t>
      </w:r>
      <w:r w:rsidR="00E01D77">
        <w:t xml:space="preserve"> </w:t>
      </w:r>
      <w:r w:rsidR="00CF5A77">
        <w:t xml:space="preserve">Hier eine Übersicht über die Beschlusskammern der Bundesnetzagentur, siehe </w:t>
      </w:r>
      <w:r w:rsidR="00CF5A77" w:rsidRPr="00804DEF">
        <w:rPr>
          <w:i/>
          <w:iCs/>
        </w:rPr>
        <w:t>Beschlusskammer 8 Regulierung Netzentgelte Strom</w:t>
      </w:r>
      <w:r w:rsidR="00CF5A77">
        <w:t>.</w:t>
      </w:r>
      <w:r w:rsidR="00CF5A77">
        <w:rPr>
          <w:rStyle w:val="Funotenzeichen"/>
        </w:rPr>
        <w:footnoteReference w:id="780"/>
      </w:r>
      <w:r w:rsidR="004F0206">
        <w:t xml:space="preserve"> </w:t>
      </w:r>
      <w:r>
        <w:t xml:space="preserve">Die Bundesnetzagentur hat </w:t>
      </w:r>
      <w:r w:rsidR="004F0206">
        <w:t xml:space="preserve">sogar </w:t>
      </w:r>
      <w:r>
        <w:t>die Möglichkeit sog. individuelle Netzentgelt</w:t>
      </w:r>
      <w:r w:rsidR="004F0206">
        <w:t>e</w:t>
      </w:r>
      <w:r>
        <w:t xml:space="preserve"> Strom gemäß $ 19 </w:t>
      </w:r>
      <w:proofErr w:type="spellStart"/>
      <w:r>
        <w:t>StromNEV</w:t>
      </w:r>
      <w:proofErr w:type="spellEnd"/>
      <w:r>
        <w:t xml:space="preserve"> festzusetzen, u.a. um der besonderen Situation bestimmter Akteure Rechnung zu tragen</w:t>
      </w:r>
      <w:r w:rsidR="00CF5A77">
        <w:t xml:space="preserve">. Stromspeicheranbieter können mit den Betreibern von Netzen ein individuelles </w:t>
      </w:r>
      <w:proofErr w:type="spellStart"/>
      <w:r w:rsidR="00CF5A77">
        <w:t>Netzentgeld</w:t>
      </w:r>
      <w:proofErr w:type="spellEnd"/>
      <w:r w:rsidR="00CF5A77">
        <w:t xml:space="preserve"> vereinbaren. Sondernetzentgelte für</w:t>
      </w:r>
      <w:r>
        <w:t xml:space="preserve"> Industriekunden</w:t>
      </w:r>
      <w:r w:rsidR="00CF5A77">
        <w:t xml:space="preserve">, </w:t>
      </w:r>
      <w:r>
        <w:t>bei einer at</w:t>
      </w:r>
      <w:r w:rsidR="00CF5A77">
        <w:t>y</w:t>
      </w:r>
      <w:r>
        <w:t>pische</w:t>
      </w:r>
      <w:r w:rsidR="00CF5A77">
        <w:t>r</w:t>
      </w:r>
      <w:r>
        <w:t xml:space="preserve"> Netznutzung</w:t>
      </w:r>
      <w:r w:rsidR="00CF5A77">
        <w:t xml:space="preserve"> und die</w:t>
      </w:r>
      <w:r>
        <w:t xml:space="preserve"> </w:t>
      </w:r>
      <w:r w:rsidR="00CF5A77">
        <w:t xml:space="preserve">sog. </w:t>
      </w:r>
      <w:proofErr w:type="spellStart"/>
      <w:r w:rsidR="00CF5A77">
        <w:t>Bandlastpriviligierung</w:t>
      </w:r>
      <w:proofErr w:type="spellEnd"/>
      <w:r w:rsidR="00CF5A77">
        <w:t xml:space="preserve"> sollen aber wohl abgeschafft werden.</w:t>
      </w:r>
      <w:r>
        <w:t xml:space="preserve"> </w:t>
      </w:r>
      <w:r>
        <w:rPr>
          <w:rStyle w:val="Funotenzeichen"/>
        </w:rPr>
        <w:footnoteReference w:id="781"/>
      </w:r>
      <w:r>
        <w:t xml:space="preserve"> </w:t>
      </w:r>
    </w:p>
    <w:p w14:paraId="0938610F" w14:textId="77777777" w:rsidR="00DF2C73" w:rsidRDefault="00DF2C73" w:rsidP="00B74A76"/>
    <w:p w14:paraId="697543F7" w14:textId="459D5DD5" w:rsidR="00CF5A77" w:rsidRDefault="00CF5A77" w:rsidP="00B74A76">
      <w:r>
        <w:t xml:space="preserve">Siehe das Eckpunktepapier der </w:t>
      </w:r>
      <w:r w:rsidRPr="0042208C">
        <w:rPr>
          <w:i/>
          <w:iCs/>
        </w:rPr>
        <w:t>Beschlusskammer Industrienetzentgelte im Elektrizitätsbereich</w:t>
      </w:r>
      <w:r>
        <w:t>, Datum: 24.07.2024.</w:t>
      </w:r>
      <w:r>
        <w:rPr>
          <w:rStyle w:val="Funotenzeichen"/>
        </w:rPr>
        <w:footnoteReference w:id="782"/>
      </w:r>
      <w:r>
        <w:t xml:space="preserve"> </w:t>
      </w:r>
    </w:p>
    <w:p w14:paraId="43D805B2" w14:textId="77777777" w:rsidR="00CF5A77" w:rsidRDefault="00CF5A77" w:rsidP="00B74A76"/>
    <w:p w14:paraId="7ED22F5B" w14:textId="0C8FF1B5" w:rsidR="00B74A76" w:rsidRDefault="00B74A76" w:rsidP="00B74A76">
      <w:r>
        <w:t xml:space="preserve">Dazu kommt, dass wenn man damit rechnet, dass die Leistung von Offshore- und </w:t>
      </w:r>
      <w:proofErr w:type="spellStart"/>
      <w:r>
        <w:t>Onshore</w:t>
      </w:r>
      <w:proofErr w:type="spellEnd"/>
      <w:r>
        <w:t xml:space="preserve">-Wind und Solar noch höher sein muss, der derzeit geplante Netzausbau nicht reichen würde. Zwar ist die </w:t>
      </w:r>
      <w:proofErr w:type="gramStart"/>
      <w:r>
        <w:t>EEG Umlage</w:t>
      </w:r>
      <w:proofErr w:type="gramEnd"/>
      <w:r>
        <w:t xml:space="preserve"> weggefallen, dennoch wird der Netzbetrieb und auch der Netzausbau durch die </w:t>
      </w:r>
      <w:r w:rsidRPr="00DD3EA6">
        <w:rPr>
          <w:u w:val="single"/>
        </w:rPr>
        <w:t>Netzentgelte finanziert</w:t>
      </w:r>
      <w:r>
        <w:t xml:space="preserve">, die wiederum auf den Strompreis aufgeschlagen werden. </w:t>
      </w:r>
    </w:p>
    <w:p w14:paraId="606FC219" w14:textId="77777777" w:rsidR="00B74A76" w:rsidRDefault="00B74A76" w:rsidP="00B74A76"/>
    <w:p w14:paraId="618F5913" w14:textId="6E0AD88F" w:rsidR="00B74A76" w:rsidRDefault="00B74A76" w:rsidP="00B74A76">
      <w:r w:rsidRPr="00510CD6">
        <w:t>Der Bundesrechnungshof stellt weiterhin fest:</w:t>
      </w:r>
      <w:r>
        <w:t xml:space="preserve"> Durch das Urteil des BVerfG sind Subventionen für die Netzentgelte für 2023 im Rahmen der Strompreisbremse von 12,84 Mrd. weggefallen. Die Übertragungsnetzbetreiber verdoppelten deshalb für 2024 die Netzentgelte von 3,12 Cent / kWh auf </w:t>
      </w:r>
      <w:r>
        <w:lastRenderedPageBreak/>
        <w:t>6,23 Cent / kWh.</w:t>
      </w:r>
      <w:r>
        <w:rPr>
          <w:rStyle w:val="Funotenzeichen"/>
        </w:rPr>
        <w:footnoteReference w:id="783"/>
      </w:r>
      <w:r>
        <w:t xml:space="preserve"> Für die Wirtschaft wurde aber die Stromsteuer von 2,00 Cent auf 0,05 Cent abgesenkt</w:t>
      </w:r>
      <w:r>
        <w:rPr>
          <w:rStyle w:val="Funotenzeichen"/>
        </w:rPr>
        <w:footnoteReference w:id="784"/>
      </w:r>
      <w:r>
        <w:t>, dies erklärt, siehe oben, offenkundig auch mit, dass die Industriestrompreise nicht so hoch liegen. Zitat: „Die Netzentgelte (inklusive Messstellenbetrieb) stiegen im Zeitraum 2013 bis 2023: für Haushaltskunden um 43 % von 6,52 auf 9,35 Cent/kWh; für Gewerbekunden um 32,3 % von 5,61 auf 7,42 Cent/kWh und; für Industriekunden um 84,4 % von 1,79 auf 3,30 Cent/kWh. Bei Haushaltskunden entsprachen die Netzentgelte (inklusive Messstellenbetrieb) im Jahr 2023 ca. 21 % des Strompreises.“</w:t>
      </w:r>
      <w:r>
        <w:rPr>
          <w:rStyle w:val="Funotenzeichen"/>
        </w:rPr>
        <w:footnoteReference w:id="785"/>
      </w:r>
      <w:r>
        <w:t xml:space="preserve"> Der Preis für Haushalte mit 45,19 Cent / kWh ist hoch und enthält Abgaben 1,62 Cent, Steuern 9,26 Cent, Netzentgel</w:t>
      </w:r>
      <w:r w:rsidR="007432C6">
        <w:t>t</w:t>
      </w:r>
      <w:r>
        <w:t xml:space="preserve"> 9,35, Umlagen 1,37 Cent.</w:t>
      </w:r>
      <w:r>
        <w:rPr>
          <w:rStyle w:val="Funotenzeichen"/>
        </w:rPr>
        <w:footnoteReference w:id="786"/>
      </w:r>
      <w:r>
        <w:t xml:space="preserve"> Für 2025 wird geschätzt, dass die Netzentgelte um 0,22 Cent steigen, von 6,43 auf 6,65 Cent/kWh.</w:t>
      </w:r>
      <w:r w:rsidRPr="00B86BF8">
        <w:t xml:space="preserve"> </w:t>
      </w:r>
      <w:r>
        <w:rPr>
          <w:rStyle w:val="Funotenzeichen"/>
        </w:rPr>
        <w:footnoteReference w:id="787"/>
      </w:r>
    </w:p>
    <w:p w14:paraId="53590CD6" w14:textId="77777777" w:rsidR="00B74A76" w:rsidRDefault="00B74A76" w:rsidP="00B74A76"/>
    <w:p w14:paraId="1A4E4CE7" w14:textId="1FB0FCDA" w:rsidR="00B74A76" w:rsidRDefault="00B74A76" w:rsidP="00B74A76">
      <w:r>
        <w:t>Der Effekt, dass in Gebieten mit viel erneuerbaren Energien die Netzentgelte höher lagen, wurde im August 2024 von der Bundesnetzagentur gestoppt und eine bundesweite Verteilung der Mehrkosten durch eine neue Berechnungsmethode etabliert, dadurch wird z.B. Mecklenburg Vorpommern von einer Netzentgel</w:t>
      </w:r>
      <w:r w:rsidR="007432C6">
        <w:t>t</w:t>
      </w:r>
      <w:r>
        <w:t>reduzierung profitieren, aber z.B. in Baden-Württemberg und in Teile von NRW werden die Netzentgelte ansteigen.</w:t>
      </w:r>
      <w:r>
        <w:rPr>
          <w:rStyle w:val="Funotenzeichen"/>
        </w:rPr>
        <w:footnoteReference w:id="788"/>
      </w:r>
      <w:r>
        <w:t xml:space="preserve"> Neu ist, dass Netzbetreiber im Fall von Überlastungen eine Leistungsreduzierung vornehmen können, im Gegenzug wurden ab dem 1. Januar 2024 zeitvariable Tarife ermöglich, wobei ab dem 1. Januar 2025 auch zeitvariable Netzentgelte angeboten werden müssen, die ab dem 1. April 2025 erstmals in der Abrechnung berücksichtigt werden. Dies werden von den meisten Anbietern auf das 1. Und 4. Quartal des Jahres beschränkt. Ab 2025 werden dynamischen Stromtarife angeboten (§ 41a (2) EnWG), meist sind die günstigen Tarife nur in der Nacht oder den frühen Morgenstunden verfügbar.</w:t>
      </w:r>
      <w:r w:rsidRPr="007F1427">
        <w:t xml:space="preserve"> </w:t>
      </w:r>
      <w:r>
        <w:t>Dazu sollen smarte Stromzähler verbreitet werden.</w:t>
      </w:r>
      <w:r>
        <w:rPr>
          <w:rStyle w:val="Funotenzeichen"/>
        </w:rPr>
        <w:footnoteReference w:id="789"/>
      </w:r>
      <w:r>
        <w:t xml:space="preserve"> Die Bundesnetzagentur hat in einem Eckpunktepapier gefordert, die Regulierungsperioden auf 3 Jahre zu verkürzen, damit sie schneller auf Veränderungen reagieren kann. Ebenso wurde ein Positionspapier zur Erhebung von Baukostenzuschüssen für den Netzausbau durch die Bundesnetzagentur veröffentlicht.</w:t>
      </w:r>
      <w:r w:rsidRPr="001078EC">
        <w:rPr>
          <w:rStyle w:val="Funotenzeichen"/>
        </w:rPr>
        <w:t xml:space="preserve"> </w:t>
      </w:r>
      <w:r>
        <w:rPr>
          <w:rStyle w:val="Funotenzeichen"/>
        </w:rPr>
        <w:footnoteReference w:id="790"/>
      </w:r>
    </w:p>
    <w:p w14:paraId="48E9079E" w14:textId="77777777" w:rsidR="00B74A76" w:rsidRDefault="00B74A76" w:rsidP="00B74A76"/>
    <w:p w14:paraId="2ED6201A" w14:textId="77777777" w:rsidR="00B74A76" w:rsidRDefault="00B74A76" w:rsidP="00B74A76">
      <w:r>
        <w:t>Wenn das bisherige System beibehalten wird, dann werden die Kosten für den Netzausbau teils von den Haushalten und von Gewerbe und Industrie getragen werden müssen und die Netzentgelte führen zu höheren Strompreisen. Der Bundesrechnungshof schließt: „</w:t>
      </w:r>
      <w:r w:rsidRPr="0099695B">
        <w:t xml:space="preserve">Der Bundesrechnungshof sieht das Ziel einer preisgünstigen Versorgung der Allgemeinheit mit Strom als nicht gesichert an. Daraus ergeben sich erhebliche Risiken für den Wirtschaftsstandort Deutschland und die Akzeptanz der Energiewende in der Bevölkerung. Die Bundesregierung scheint diese Einschätzung zu teilen: Denn hielte sie die aktuellen Strompreise für bezahlbar, wären Zuschüsse zum Stabilisieren der </w:t>
      </w:r>
      <w:r w:rsidRPr="0099695B">
        <w:lastRenderedPageBreak/>
        <w:t>Netzentgelte oder die temporäre Absenkung der Stromsteuer für das produzierende Gewerbe nicht nötig.</w:t>
      </w:r>
      <w:r>
        <w:t>“</w:t>
      </w:r>
      <w:r>
        <w:rPr>
          <w:rStyle w:val="Funotenzeichen"/>
        </w:rPr>
        <w:footnoteReference w:id="791"/>
      </w:r>
    </w:p>
    <w:p w14:paraId="679A47E8" w14:textId="77777777" w:rsidR="00B74A76" w:rsidRDefault="00B74A76" w:rsidP="00B74A76"/>
    <w:p w14:paraId="24C56D8B" w14:textId="32544402" w:rsidR="00B74A76" w:rsidRDefault="00B74A76" w:rsidP="00B74A76">
      <w:r>
        <w:t xml:space="preserve">Wirtschaftsminister Robert Habeck </w:t>
      </w:r>
      <w:r w:rsidR="008B7E2F">
        <w:t>wollte im</w:t>
      </w:r>
      <w:r>
        <w:t xml:space="preserve"> März 2024</w:t>
      </w:r>
      <w:r w:rsidR="008B7E2F">
        <w:t xml:space="preserve"> </w:t>
      </w:r>
      <w:r>
        <w:t>prüf</w:t>
      </w:r>
      <w:r w:rsidR="008B7E2F">
        <w:t>en</w:t>
      </w:r>
      <w:r>
        <w:t xml:space="preserve"> nun, ob es im Bereich Netzentgelte, wie im Bereich </w:t>
      </w:r>
      <w:r w:rsidRPr="00332CA3">
        <w:rPr>
          <w:u w:val="single"/>
        </w:rPr>
        <w:t>Wasserstoffnetzausbau</w:t>
      </w:r>
      <w:r>
        <w:t xml:space="preserve">, eine Lösung mit einem </w:t>
      </w:r>
      <w:r w:rsidRPr="00332CA3">
        <w:rPr>
          <w:u w:val="single"/>
        </w:rPr>
        <w:t>Amortisationskonto</w:t>
      </w:r>
      <w:r>
        <w:t xml:space="preserve"> geben kann. Hier würde nur der kleine Teil auf die Kunden übergewälzt, ein großer Teil der Investitionen vom Staat finanziert, aber diese Beträge später über ein Amortisationskonto über spätere Netzentgelte, wieder zurückgezahlt.</w:t>
      </w:r>
      <w:r>
        <w:rPr>
          <w:rStyle w:val="Funotenzeichen"/>
        </w:rPr>
        <w:footnoteReference w:id="792"/>
      </w:r>
      <w:r>
        <w:t xml:space="preserve"> Siehe auch den folgenden sehr guten </w:t>
      </w:r>
      <w:proofErr w:type="gramStart"/>
      <w:r>
        <w:t>FAZ Artikel</w:t>
      </w:r>
      <w:proofErr w:type="gramEnd"/>
      <w:r>
        <w:t>.</w:t>
      </w:r>
      <w:r>
        <w:rPr>
          <w:rStyle w:val="Funotenzeichen"/>
        </w:rPr>
        <w:footnoteReference w:id="793"/>
      </w:r>
    </w:p>
    <w:p w14:paraId="4508344E" w14:textId="77777777" w:rsidR="00B74A76" w:rsidRDefault="00B74A76" w:rsidP="00B74A76"/>
    <w:p w14:paraId="66CB60C3" w14:textId="329720CB" w:rsidR="00B74A76" w:rsidRDefault="00B74A76" w:rsidP="00B74A76">
      <w:r>
        <w:t xml:space="preserve">Ein Problem ist aber, dass zu den </w:t>
      </w:r>
      <w:r w:rsidRPr="008B7E2F">
        <w:rPr>
          <w:u w:val="single"/>
        </w:rPr>
        <w:t>Netzentgelten eine ganze Reihe von weiteren Kosten gehören, darunter auch die Kosten zur Vorhaltung von Netzreservekraftwerken und auch die sog. Redispatch-Kosten</w:t>
      </w:r>
      <w:r>
        <w:rPr>
          <w:rStyle w:val="Funotenzeichen"/>
        </w:rPr>
        <w:footnoteReference w:id="794"/>
      </w:r>
      <w:r>
        <w:t>, zu denen es eine eigene Webseite bei der Bundesnetzagentur gibt, mit dem Titel ‚Netzengpassmanagement‘.</w:t>
      </w:r>
      <w:r>
        <w:rPr>
          <w:rStyle w:val="Funotenzeichen"/>
        </w:rPr>
        <w:footnoteReference w:id="795"/>
      </w:r>
      <w:r w:rsidR="00A27E7C">
        <w:t xml:space="preserve"> Auf der Energy-Charts Webseite gibt es jährliche Redispatch Infos, aufgeteilt in Kraftwerkstypen, die eine Absenkung und Erhöhung hatten.</w:t>
      </w:r>
      <w:r w:rsidR="00A27E7C">
        <w:rPr>
          <w:rStyle w:val="Funotenzeichen"/>
        </w:rPr>
        <w:footnoteReference w:id="796"/>
      </w:r>
    </w:p>
    <w:p w14:paraId="234BFD2C" w14:textId="77777777" w:rsidR="00B74A76" w:rsidRDefault="00B74A76" w:rsidP="00B74A76"/>
    <w:p w14:paraId="11BD7907" w14:textId="169B49BD" w:rsidR="00A27E7C" w:rsidRDefault="00A27E7C" w:rsidP="00B74A76">
      <w:r>
        <w:t>Die Redispatch Kosten lagen auf einem Niveau von 1 Mrd. Euro seit 2015, dann 1397 Mrd. 2021, 2837 Mrd. 2022, 2456 Mrd. 2023, 1673 Mrd. 2024 (Werte bis Dezember 2024).</w:t>
      </w:r>
      <w:r>
        <w:rPr>
          <w:rStyle w:val="Funotenzeichen"/>
        </w:rPr>
        <w:footnoteReference w:id="797"/>
      </w:r>
      <w:r w:rsidR="002F1818">
        <w:t xml:space="preserve"> Es gab also </w:t>
      </w:r>
      <w:r w:rsidR="002F1818" w:rsidRPr="002F1818">
        <w:rPr>
          <w:u w:val="single"/>
        </w:rPr>
        <w:t>einen Rückgang der Redispatch Kosten</w:t>
      </w:r>
      <w:r w:rsidR="002F1818">
        <w:t xml:space="preserve">. </w:t>
      </w:r>
    </w:p>
    <w:p w14:paraId="13D5ADC3" w14:textId="77777777" w:rsidR="00A27E7C" w:rsidRDefault="00A27E7C" w:rsidP="00B74A76"/>
    <w:p w14:paraId="3117938C" w14:textId="67105730" w:rsidR="00192268" w:rsidRDefault="002F1818" w:rsidP="00192268">
      <w:r>
        <w:t>E</w:t>
      </w:r>
      <w:r w:rsidR="00192268">
        <w:t xml:space="preserve">s </w:t>
      </w:r>
      <w:r>
        <w:t xml:space="preserve">gab </w:t>
      </w:r>
      <w:r w:rsidR="00192268">
        <w:t xml:space="preserve">eine Umstellung von </w:t>
      </w:r>
      <w:r w:rsidR="00192268" w:rsidRPr="00150496">
        <w:rPr>
          <w:u w:val="single"/>
        </w:rPr>
        <w:t>Redispatch zu Redispatch 2.0</w:t>
      </w:r>
      <w:r w:rsidR="00192268">
        <w:t xml:space="preserve">, das zu geringeren Kompensationskosten führen soll, </w:t>
      </w:r>
      <w:r>
        <w:t xml:space="preserve">für die, </w:t>
      </w:r>
      <w:r w:rsidR="00192268">
        <w:t xml:space="preserve">die </w:t>
      </w:r>
      <w:proofErr w:type="gramStart"/>
      <w:r w:rsidR="00192268">
        <w:t>ihren Leistung</w:t>
      </w:r>
      <w:proofErr w:type="gramEnd"/>
      <w:r w:rsidR="00192268">
        <w:t xml:space="preserve"> abschalten müssen.</w:t>
      </w:r>
      <w:r w:rsidR="00192268">
        <w:rPr>
          <w:rStyle w:val="Funotenzeichen"/>
        </w:rPr>
        <w:footnoteReference w:id="798"/>
      </w:r>
      <w:r w:rsidR="00192268">
        <w:t xml:space="preserve"> </w:t>
      </w:r>
    </w:p>
    <w:p w14:paraId="56A272B6" w14:textId="77777777" w:rsidR="00192268" w:rsidRDefault="00192268" w:rsidP="00B74A76"/>
    <w:p w14:paraId="5766C563" w14:textId="4587786C" w:rsidR="00B74A76" w:rsidRDefault="00BA3F74" w:rsidP="00B74A76">
      <w:r>
        <w:t>Was ist</w:t>
      </w:r>
      <w:r w:rsidR="00B74A76">
        <w:t xml:space="preserve"> Redispatch</w:t>
      </w:r>
      <w:r>
        <w:t>? Redispatch</w:t>
      </w:r>
      <w:r w:rsidR="00B74A76">
        <w:t xml:space="preserve"> ist</w:t>
      </w:r>
      <w:r w:rsidR="00192268">
        <w:t xml:space="preserve"> mehreres: </w:t>
      </w:r>
      <w:r>
        <w:t>Dispatch bedeutet Kraftwerkseinsatzplanung. Kraftwerksbetreibende melden täglich ihre Einsatzplanung für den Folgetag an die Übertragungsnetzbetreiber (ÜNB), dies wird als Fahrplan gemeldet, der für jede Viertelstunde am Folgetag eine geplante Energieproduktion zeigt. Die Übertragungsn</w:t>
      </w:r>
      <w:r w:rsidR="00AD1F72">
        <w:t xml:space="preserve">etzbetreiber </w:t>
      </w:r>
      <w:r>
        <w:t xml:space="preserve">gucken sich dies dann an, machen möglichen Engpässe aus, und sprechen </w:t>
      </w:r>
      <w:r w:rsidR="00AD1F72">
        <w:t>untereinander ab, wie sie genügend Strom bereitstellen könne</w:t>
      </w:r>
      <w:r>
        <w:t xml:space="preserve">n, dabei spielen auch </w:t>
      </w:r>
      <w:r w:rsidR="00AD1F72">
        <w:t xml:space="preserve">Wetterdaten </w:t>
      </w:r>
      <w:r>
        <w:t>eine Rolle</w:t>
      </w:r>
      <w:r w:rsidR="00AD1F72">
        <w:t xml:space="preserve">, ob es viel Windenergie oder Solarenergie geben wird, oder eher weniger. </w:t>
      </w:r>
      <w:r w:rsidR="00150496">
        <w:t xml:space="preserve">Bei einer Überlastung können etwa Leitungsabschnitte oder Trafos gefährdet werden. </w:t>
      </w:r>
      <w:r>
        <w:t>Wenn Engpässe oder Überlastungen ausgemacht werden, dann ordnet der Übertragungsnetzbetreiber eine Änderung des Fahrplans an, dies wird Redispatch genannt</w:t>
      </w:r>
      <w:r w:rsidR="00150496">
        <w:t>, siehe hierzu die genaue Erklärung auf der EnBW-Webseite</w:t>
      </w:r>
      <w:r>
        <w:t>.</w:t>
      </w:r>
      <w:r>
        <w:rPr>
          <w:rStyle w:val="Funotenzeichen"/>
        </w:rPr>
        <w:footnoteReference w:id="799"/>
      </w:r>
      <w:r>
        <w:t xml:space="preserve"> </w:t>
      </w:r>
      <w:r w:rsidR="00AD1F72">
        <w:t xml:space="preserve">Der Redispatch oder das Netzanpassungsmanagement ist </w:t>
      </w:r>
      <w:r>
        <w:t xml:space="preserve">damit noch nicht ganz erklärt, denn er enthält </w:t>
      </w:r>
      <w:r w:rsidR="00B74A76">
        <w:t xml:space="preserve">mehrere Aspekte. Es </w:t>
      </w:r>
      <w:r w:rsidR="00B74A76">
        <w:lastRenderedPageBreak/>
        <w:t xml:space="preserve">geht zuerst einmal darum, das ist bekannt, um die Abregelung der Offshore und </w:t>
      </w:r>
      <w:proofErr w:type="spellStart"/>
      <w:r w:rsidR="00B74A76">
        <w:t>Onshore</w:t>
      </w:r>
      <w:proofErr w:type="spellEnd"/>
      <w:r w:rsidR="00B74A76">
        <w:t xml:space="preserve"> Windenergieanlagen, aber auch anderer Kraftwerkstypen, wenn diese zu viel Energie erzeugen, die nicht in den Süden geleitet werden kann (aufgrund der zu ‚dünnen‘ Leitungen oder aufgrund dessen, dass dort unten etwa ein Kohlekraftwerk angesprungen ist und nun produziert). Für diese Abregelung wird man kompensiert, obwohl man keinen Strom liefert. </w:t>
      </w:r>
      <w:proofErr w:type="gramStart"/>
      <w:r w:rsidR="00B74A76">
        <w:t>Auf der Karten</w:t>
      </w:r>
      <w:proofErr w:type="gramEnd"/>
      <w:r w:rsidR="00B74A76">
        <w:t xml:space="preserve"> mit den besonders betroffenen Netzabschnitten ist zumindest an einer Stelle klar zu erkenne, dass es um die Abschaltung von Windkraft geht, zwischen Pasewalk und Neuenhagen, hier gibt es große Landwindanlagen an der A 20 nach Berlin.</w:t>
      </w:r>
      <w:r w:rsidR="00B74A76">
        <w:rPr>
          <w:rStyle w:val="Funotenzeichen"/>
        </w:rPr>
        <w:footnoteReference w:id="800"/>
      </w:r>
      <w:r w:rsidR="00192268">
        <w:t xml:space="preserve"> </w:t>
      </w:r>
      <w:r w:rsidR="00B74A76">
        <w:t xml:space="preserve">Ein Teil der </w:t>
      </w:r>
      <w:proofErr w:type="spellStart"/>
      <w:r w:rsidR="00B74A76">
        <w:t>Redispatchmenge</w:t>
      </w:r>
      <w:proofErr w:type="spellEnd"/>
      <w:r w:rsidR="00B74A76">
        <w:t xml:space="preserve"> kann auch an der Börse beschafft werden. Es geht </w:t>
      </w:r>
      <w:r w:rsidR="00AD1F72">
        <w:t xml:space="preserve">aber </w:t>
      </w:r>
      <w:r w:rsidR="00B74A76">
        <w:t>auch um das Hochfahren von Marktkraftwerken und Reservekraftwerken.</w:t>
      </w:r>
      <w:r w:rsidR="00B74A76">
        <w:rPr>
          <w:rStyle w:val="Funotenzeichen"/>
        </w:rPr>
        <w:footnoteReference w:id="801"/>
      </w:r>
      <w:r w:rsidR="00B74A76">
        <w:t xml:space="preserve"> </w:t>
      </w:r>
      <w:r w:rsidR="003A3DF2">
        <w:t>Ich verstehe dies so, dass man im Süden auch Strom an der Börse kaufen kann und es dann, wenn aus dem Norden voraussichtlich aufgrund der Engpässe nicht geliefert werden kann, es so von den Netzbetreibern organisiert wird</w:t>
      </w:r>
      <w:r w:rsidR="00BC56B0">
        <w:t xml:space="preserve"> bzw. werden muss</w:t>
      </w:r>
      <w:r w:rsidR="003A3DF2">
        <w:t xml:space="preserve">, dass dann im Süden Kraftwerke angehen, die diesen Strom liefern können. </w:t>
      </w:r>
    </w:p>
    <w:p w14:paraId="107B7036" w14:textId="77777777" w:rsidR="00A27E7C" w:rsidRDefault="00A27E7C" w:rsidP="00B74A76">
      <w:bookmarkStart w:id="47" w:name="_Hlk170761792"/>
    </w:p>
    <w:p w14:paraId="7D47D899" w14:textId="0C91A8A1" w:rsidR="00B74A76" w:rsidRDefault="00A27E7C" w:rsidP="00B74A76">
      <w:r>
        <w:t xml:space="preserve">Redispatch </w:t>
      </w:r>
      <w:r w:rsidR="00AD1F72">
        <w:t xml:space="preserve">meint auch die Gruppe der Wissenschaftler, die für eine Regionalisierung der Stromgebotszonen sind, wenn sie behaupten, dass die Gaskraftwerke in Bayern </w:t>
      </w:r>
      <w:proofErr w:type="gramStart"/>
      <w:r w:rsidR="00AD1F72">
        <w:t>still stehen</w:t>
      </w:r>
      <w:proofErr w:type="gramEnd"/>
      <w:r w:rsidR="00AD1F72">
        <w:t xml:space="preserve"> und dort die Stromnachfrage nicht gedeckt wird.</w:t>
      </w:r>
      <w:r w:rsidR="00AD1F72">
        <w:rPr>
          <w:rStyle w:val="Funotenzeichen"/>
        </w:rPr>
        <w:footnoteReference w:id="802"/>
      </w:r>
      <w:r w:rsidR="00D70AD7">
        <w:t xml:space="preserve"> Damit war nicht gemeint, dass es dort nicht genug Strom gibt, sondern </w:t>
      </w:r>
      <w:r w:rsidR="00192268">
        <w:t xml:space="preserve">dass </w:t>
      </w:r>
      <w:r w:rsidR="00D70AD7">
        <w:t>die Gaskraftwerke bei bundesweit moderat hohen Strompreisen eigentlich nicht in den Markt eintreten</w:t>
      </w:r>
      <w:r w:rsidR="00192268">
        <w:t xml:space="preserve"> müssten</w:t>
      </w:r>
      <w:r w:rsidR="00D70AD7">
        <w:t>, weil sich dies erst bei sehr hohen Strompreisen lohn</w:t>
      </w:r>
      <w:r>
        <w:t>e</w:t>
      </w:r>
      <w:r w:rsidR="00D70AD7">
        <w:t xml:space="preserve">. Sie müssen im Redispatch </w:t>
      </w:r>
      <w:r w:rsidR="00192268">
        <w:t xml:space="preserve">aber </w:t>
      </w:r>
      <w:r w:rsidR="00D70AD7">
        <w:t>dann gezwungen werden</w:t>
      </w:r>
      <w:r>
        <w:t>,</w:t>
      </w:r>
      <w:r w:rsidR="00D70AD7">
        <w:t xml:space="preserve"> dennoch zu produzieren (es bleibt unklar, ob sie es in ihrer Funktion als Marktkraftwerke oder Reservekraftwerke tun</w:t>
      </w:r>
      <w:r w:rsidR="00192268">
        <w:t xml:space="preserve"> – sie werden zudem dafür offenkundig auch kompensiert – außer die Reservekraftwerke, hier deckt der Bund nur die Betriebskosten</w:t>
      </w:r>
      <w:r w:rsidR="00D70AD7">
        <w:t>).</w:t>
      </w:r>
      <w:r w:rsidR="00D70AD7">
        <w:rPr>
          <w:rStyle w:val="Funotenzeichen"/>
        </w:rPr>
        <w:footnoteReference w:id="803"/>
      </w:r>
    </w:p>
    <w:p w14:paraId="593BA4BD" w14:textId="77777777" w:rsidR="00B74A76" w:rsidRDefault="00B74A76" w:rsidP="00B74A76"/>
    <w:p w14:paraId="6CB34B9D" w14:textId="5BAEA25A" w:rsidR="00D70AD7" w:rsidRDefault="00D70AD7" w:rsidP="00B74A76">
      <w:r>
        <w:t xml:space="preserve">Solange das Stromnetz nicht in der Lage ist, die Strommengen in Deutschland zu bewegen, wie auf einer </w:t>
      </w:r>
      <w:r w:rsidRPr="008B7E2F">
        <w:rPr>
          <w:i/>
          <w:iCs/>
        </w:rPr>
        <w:t>Kupferplatte</w:t>
      </w:r>
      <w:r>
        <w:t xml:space="preserve"> (diese Metapher wird verwendet), ist dies aber offen</w:t>
      </w:r>
      <w:r w:rsidR="00A27E7C">
        <w:t>kundig</w:t>
      </w:r>
      <w:r>
        <w:t xml:space="preserve"> unvermeidlich, d</w:t>
      </w:r>
      <w:r w:rsidR="00A27E7C">
        <w:t>e</w:t>
      </w:r>
      <w:r>
        <w:t>nn die Gruppe der Wissenschaftler</w:t>
      </w:r>
      <w:r w:rsidR="003A3DF2">
        <w:t>, die für die Regionalisierung der Stromgebotszonen sind,</w:t>
      </w:r>
      <w:r>
        <w:t xml:space="preserve"> wünschen sich dann hohe Strompreise in Bayern, die Anreize zum Ausbau von Großspeichern setzen, oder dass Wasserspeicherkraftwerke darauf warten, dann Strom zu liefern. Diese Großspeicher gibt es aber noch nicht. Kurz: </w:t>
      </w:r>
      <w:r w:rsidR="002F1818">
        <w:t xml:space="preserve">Regionale Stromgebotszonen sind problemlos möglich, </w:t>
      </w:r>
      <w:r>
        <w:t xml:space="preserve">müssen aber </w:t>
      </w:r>
      <w:r w:rsidR="002F1818">
        <w:t>genauso</w:t>
      </w:r>
      <w:r>
        <w:t xml:space="preserve"> </w:t>
      </w:r>
      <w:r w:rsidR="002F1818">
        <w:t>ge</w:t>
      </w:r>
      <w:r>
        <w:t>plan</w:t>
      </w:r>
      <w:r w:rsidR="002F1818">
        <w:t xml:space="preserve">t werden, wie ganz Deutschland gerade geplant wird. </w:t>
      </w:r>
      <w:r w:rsidR="00BD2F80">
        <w:t xml:space="preserve">Es ist natürlich denkbar, dass Bayern </w:t>
      </w:r>
      <w:r w:rsidR="003A3DF2">
        <w:t xml:space="preserve">oder eine Zone im Süden </w:t>
      </w:r>
      <w:r w:rsidR="00BD2F80">
        <w:t xml:space="preserve">dies </w:t>
      </w:r>
      <w:r w:rsidR="00511E78">
        <w:t xml:space="preserve">schneller, besser etc. </w:t>
      </w:r>
      <w:r w:rsidR="00BD2F80">
        <w:t xml:space="preserve">schafft, aber auch dies wird zu Kosten führen und Großspeicher allein können z.B. auch nicht über eine Dunkelflaute führen, </w:t>
      </w:r>
      <w:r w:rsidR="00511E78">
        <w:t xml:space="preserve">man braucht Elektrolyseure, Wasserstoff und </w:t>
      </w:r>
      <w:r w:rsidR="00BD2F80">
        <w:t>wasserstofffähige Gaskraftwerk</w:t>
      </w:r>
      <w:r w:rsidR="003A3DF2">
        <w:t>e</w:t>
      </w:r>
      <w:r w:rsidR="00BD2F80">
        <w:t xml:space="preserve">. Genau dies wird aber auf deutschlandweiter Ebene gerade geplant. Außerdem impliziert dies </w:t>
      </w:r>
      <w:r w:rsidR="00511E78">
        <w:t xml:space="preserve">natürlich </w:t>
      </w:r>
      <w:r w:rsidR="00BD2F80">
        <w:t>dann auch, dass viel</w:t>
      </w:r>
      <w:r w:rsidR="00511E78">
        <w:t>e</w:t>
      </w:r>
      <w:r w:rsidR="00BD2F80">
        <w:t xml:space="preserve"> Solarparks und Windparks in Bayern gebaut werden müssen. </w:t>
      </w:r>
      <w:r w:rsidR="00511E78">
        <w:t xml:space="preserve">Das ist aber möglich, auch der Platz für erneuerbare Energien reicht aus, </w:t>
      </w:r>
      <w:r w:rsidR="001A4896">
        <w:t xml:space="preserve">um eine Region letztlich autark zu machen, </w:t>
      </w:r>
      <w:r w:rsidR="00511E78">
        <w:t>ich habe dies a</w:t>
      </w:r>
      <w:r w:rsidR="001A4896">
        <w:t xml:space="preserve">nhand </w:t>
      </w:r>
      <w:r w:rsidR="001A4896">
        <w:lastRenderedPageBreak/>
        <w:t>der Metropolregion</w:t>
      </w:r>
      <w:r w:rsidR="00511E78">
        <w:t xml:space="preserve"> Nürnberg</w:t>
      </w:r>
      <w:r w:rsidR="001A4896">
        <w:rPr>
          <w:rStyle w:val="Funotenzeichen"/>
        </w:rPr>
        <w:footnoteReference w:id="804"/>
      </w:r>
      <w:r w:rsidR="00511E78">
        <w:t xml:space="preserve"> durchgerechnet</w:t>
      </w:r>
      <w:r w:rsidR="001A4896">
        <w:t>, weil deren Daten gut im Internet zugänglich sind, dies befindet sich aber nicht hier im Text.</w:t>
      </w:r>
      <w:r w:rsidR="00511E78">
        <w:t xml:space="preserve"> </w:t>
      </w:r>
    </w:p>
    <w:bookmarkEnd w:id="47"/>
    <w:p w14:paraId="486F8E8E" w14:textId="77777777" w:rsidR="00B74A76" w:rsidRDefault="00B74A76" w:rsidP="00B74A76"/>
    <w:tbl>
      <w:tblPr>
        <w:tblStyle w:val="Tabellenraster"/>
        <w:tblW w:w="0" w:type="auto"/>
        <w:tblLook w:val="04A0" w:firstRow="1" w:lastRow="0" w:firstColumn="1" w:lastColumn="0" w:noHBand="0" w:noVBand="1"/>
      </w:tblPr>
      <w:tblGrid>
        <w:gridCol w:w="9062"/>
      </w:tblGrid>
      <w:tr w:rsidR="002733AB" w14:paraId="7601D79E" w14:textId="77777777" w:rsidTr="002733AB">
        <w:tc>
          <w:tcPr>
            <w:tcW w:w="9062" w:type="dxa"/>
          </w:tcPr>
          <w:p w14:paraId="2BA1B74D" w14:textId="4F249B81" w:rsidR="002733AB" w:rsidRDefault="002733AB" w:rsidP="00B74A76">
            <w:r>
              <w:t xml:space="preserve">Den derzeitigen Boom beim Aufbau und der Anträge auf Genehmigung und Anschlüssen für Großspeicher kann ich hier nicht mehr ausführlich dokumentieren, bemerkenswert ist aber, dass die Anbindung der Großspeicher an das Stromnetz offenbar Sache der Übertragungsnetzbetreiber ist (und z.B. nicht der Bundesnetzagentur, die dies sicher gut in ihre Planungen einbeziehen könnte, es wird auch diskutiert, die Bundesnetzagentur damit zu befassen). Nun haben aber </w:t>
            </w:r>
            <w:proofErr w:type="spellStart"/>
            <w:r>
              <w:t>Westnetz</w:t>
            </w:r>
            <w:proofErr w:type="spellEnd"/>
            <w:r>
              <w:t xml:space="preserve"> und 50 Hertz aber offenkundig im Ernst mitgeteilt, dass sie bis 2030 keine Großspeicher an ihre Netze anschließen werden, wegen mangelnder Kapazitäten und mangelnder Fachkräfte. Großspeicher können keine längere Dunkelflaute überbrücken, aber Strom der am Tag produziert wurden in die Nacht herüberführen. Dies wird in Geladen, der Batteriepodcast, u.a. im Interview mit Dr. Andreas Lenz, Energiepolitischer Sprecher der CDU/CSU Fraktion, diskutiert.</w:t>
            </w:r>
            <w:r>
              <w:rPr>
                <w:rStyle w:val="Funotenzeichen"/>
              </w:rPr>
              <w:footnoteReference w:id="805"/>
            </w:r>
            <w:r>
              <w:t xml:space="preserve"> </w:t>
            </w:r>
          </w:p>
        </w:tc>
      </w:tr>
    </w:tbl>
    <w:p w14:paraId="182ADC83" w14:textId="77777777" w:rsidR="002733AB" w:rsidRDefault="002733AB" w:rsidP="00B74A76"/>
    <w:p w14:paraId="618F88A5" w14:textId="298B577B" w:rsidR="00BC56B0" w:rsidRDefault="00B74A76" w:rsidP="00B74A76">
      <w:r>
        <w:t xml:space="preserve">Zweitens - scheint es so zu sein </w:t>
      </w:r>
      <w:proofErr w:type="gramStart"/>
      <w:r>
        <w:t>- ,</w:t>
      </w:r>
      <w:proofErr w:type="gramEnd"/>
      <w:r>
        <w:t xml:space="preserve"> dass die </w:t>
      </w:r>
      <w:proofErr w:type="spellStart"/>
      <w:r>
        <w:t>Redispatchkosten</w:t>
      </w:r>
      <w:proofErr w:type="spellEnd"/>
      <w:r>
        <w:t xml:space="preserve"> auch deshalb steigen, weil die erneuerbaren Energien mehr einspeisen, dadurch mehr Strom fließt, aber dann, wenn dieser wegbricht, auch höhere Strommengen durch konventionelle Kraftwerke und Reservekraftwerke </w:t>
      </w:r>
      <w:r w:rsidR="001A4896">
        <w:t>‚</w:t>
      </w:r>
      <w:r>
        <w:t>nachgefüttert</w:t>
      </w:r>
      <w:r w:rsidR="001A4896">
        <w:t>‘</w:t>
      </w:r>
      <w:r>
        <w:t xml:space="preserve"> werden müssen, die dafür auch kompensiert werden.</w:t>
      </w:r>
      <w:r>
        <w:rPr>
          <w:rStyle w:val="Funotenzeichen"/>
        </w:rPr>
        <w:footnoteReference w:id="806"/>
      </w:r>
      <w:r>
        <w:t xml:space="preserve"> Dies wird auch in einem </w:t>
      </w:r>
      <w:proofErr w:type="gramStart"/>
      <w:r>
        <w:t>FAZ Artikel</w:t>
      </w:r>
      <w:proofErr w:type="gramEnd"/>
      <w:r>
        <w:rPr>
          <w:rStyle w:val="Funotenzeichen"/>
        </w:rPr>
        <w:footnoteReference w:id="807"/>
      </w:r>
      <w:r>
        <w:t xml:space="preserve"> beschreiben. Das Netzengpassmanagement enthält das Phänomen, </w:t>
      </w:r>
      <w:proofErr w:type="spellStart"/>
      <w:r>
        <w:t>dass</w:t>
      </w:r>
      <w:proofErr w:type="spellEnd"/>
      <w:r>
        <w:t xml:space="preserve"> konventionelle Kraftwerke die sog. </w:t>
      </w:r>
      <w:proofErr w:type="spellStart"/>
      <w:r>
        <w:t>Momentanreserve</w:t>
      </w:r>
      <w:proofErr w:type="spellEnd"/>
      <w:r>
        <w:t xml:space="preserve"> bereitstellen, um Systemstabilität zu ermöglichen. Dies ist eine Leistung, um stabile Netze zu ermöglichen. Die </w:t>
      </w:r>
      <w:proofErr w:type="spellStart"/>
      <w:r>
        <w:t>Momentanreserve</w:t>
      </w:r>
      <w:proofErr w:type="spellEnd"/>
      <w:r>
        <w:t xml:space="preserve"> hält die Frequenz</w:t>
      </w:r>
      <w:r w:rsidR="001A4896">
        <w:t xml:space="preserve"> von 50 Hertz</w:t>
      </w:r>
      <w:r>
        <w:t>, die Blindleistung garantiert dabei, dass die Spannung nicht abfällt. Dies ist nötig, um Strom über größere Entfernungen zu transportieren.</w:t>
      </w:r>
      <w:r>
        <w:rPr>
          <w:rStyle w:val="Funotenzeichen"/>
        </w:rPr>
        <w:footnoteReference w:id="808"/>
      </w:r>
    </w:p>
    <w:p w14:paraId="18FB8872" w14:textId="77777777" w:rsidR="00BC56B0" w:rsidRDefault="00BC56B0" w:rsidP="00B74A76"/>
    <w:tbl>
      <w:tblPr>
        <w:tblStyle w:val="Tabellenraster"/>
        <w:tblW w:w="0" w:type="auto"/>
        <w:tblLook w:val="04A0" w:firstRow="1" w:lastRow="0" w:firstColumn="1" w:lastColumn="0" w:noHBand="0" w:noVBand="1"/>
      </w:tblPr>
      <w:tblGrid>
        <w:gridCol w:w="9062"/>
      </w:tblGrid>
      <w:tr w:rsidR="00BC56B0" w14:paraId="1FE60E6E" w14:textId="77777777" w:rsidTr="00BC56B0">
        <w:tc>
          <w:tcPr>
            <w:tcW w:w="9062" w:type="dxa"/>
          </w:tcPr>
          <w:p w14:paraId="086B8550" w14:textId="2ED87B2F" w:rsidR="00BC56B0" w:rsidRDefault="00BC56B0" w:rsidP="00B74A76">
            <w:r>
              <w:t xml:space="preserve">In der Roadmap Systemstabilität des BMWK, vom November 2023, wird u.a. die Frage aufgeworfen, wie die Netzfrequenz von 50 Hertz aufrechterhalten werden kann, wenn es </w:t>
            </w:r>
            <w:proofErr w:type="gramStart"/>
            <w:r>
              <w:t>weniger  große</w:t>
            </w:r>
            <w:proofErr w:type="gramEnd"/>
            <w:r>
              <w:t xml:space="preserve"> Generatoren im Netz gibt, die die sog. </w:t>
            </w:r>
            <w:proofErr w:type="spellStart"/>
            <w:r>
              <w:t>Momentanreserve</w:t>
            </w:r>
            <w:proofErr w:type="spellEnd"/>
            <w:r>
              <w:t xml:space="preserve"> bereitstellen. 50 Hertz bedeutet, dass man </w:t>
            </w:r>
            <w:proofErr w:type="gramStart"/>
            <w:r>
              <w:t>50 mal</w:t>
            </w:r>
            <w:proofErr w:type="gramEnd"/>
            <w:r>
              <w:t xml:space="preserve"> in einer Sekunde schwingt, und eine Schwingung nicht länger oder kürzer als 0,02 Sekunden </w:t>
            </w:r>
            <w:r w:rsidR="001A4896">
              <w:t>Abweichung davon haben darf</w:t>
            </w:r>
            <w:r>
              <w:t>. Diese Leistung k</w:t>
            </w:r>
            <w:r w:rsidR="00834CAE">
              <w:t>ann mit Generatoren, aber</w:t>
            </w:r>
            <w:r>
              <w:t xml:space="preserve"> auch mit einem neuen sog. Stromrichterkonzept erbracht werden, dies wird </w:t>
            </w:r>
            <w:r w:rsidR="005478A8">
              <w:t>bereits im Ausland installiert</w:t>
            </w:r>
            <w:r w:rsidR="005478A8">
              <w:rPr>
                <w:rStyle w:val="Funotenzeichen"/>
              </w:rPr>
              <w:footnoteReference w:id="809"/>
            </w:r>
            <w:r w:rsidR="005478A8">
              <w:t xml:space="preserve">, </w:t>
            </w:r>
            <w:r>
              <w:t xml:space="preserve">hier </w:t>
            </w:r>
            <w:r w:rsidR="001A4896">
              <w:t xml:space="preserve">in Deutschland </w:t>
            </w:r>
            <w:r>
              <w:t xml:space="preserve">ist </w:t>
            </w:r>
            <w:r w:rsidR="001A4896">
              <w:t xml:space="preserve">dazu </w:t>
            </w:r>
            <w:r>
              <w:t>offenbar noch einige Arbeit zu tun.</w:t>
            </w:r>
            <w:r w:rsidR="005478A8">
              <w:t xml:space="preserve"> Auf der Webseite dazu gibt es weitere Spezialpublikationen dazu, die offene Fragen aufzeigen.</w:t>
            </w:r>
            <w:r w:rsidR="005478A8">
              <w:rPr>
                <w:rStyle w:val="Funotenzeichen"/>
              </w:rPr>
              <w:footnoteReference w:id="810"/>
            </w:r>
            <w:r>
              <w:t xml:space="preserve">  </w:t>
            </w:r>
          </w:p>
        </w:tc>
      </w:tr>
    </w:tbl>
    <w:p w14:paraId="061FB7CD" w14:textId="77777777" w:rsidR="00BC56B0" w:rsidRDefault="00BC56B0" w:rsidP="00B74A76"/>
    <w:p w14:paraId="66531394" w14:textId="267D3164" w:rsidR="00150496" w:rsidRDefault="00B74A76" w:rsidP="00B74A76">
      <w:r>
        <w:t>Welche Aspekte genau bei den 202</w:t>
      </w:r>
      <w:r w:rsidR="00192268">
        <w:t>2 und 2023</w:t>
      </w:r>
      <w:r>
        <w:t xml:space="preserve"> gestiegenen Kosten ein</w:t>
      </w:r>
      <w:r w:rsidR="002733AB">
        <w:t>e</w:t>
      </w:r>
      <w:r>
        <w:t xml:space="preserve"> Rolle gespielt haben, kann ich als Laie nicht bewerten, ich kann hier nur darauf hinweisen, dass Klaus Müller, der Präsident der Bundesnetzagentur in seiner Rede beim Bundesverband Erneuerbare Energien Energiedialog am 16.01.2025 feststellte, dass die </w:t>
      </w:r>
      <w:r w:rsidRPr="00B327E6">
        <w:rPr>
          <w:u w:val="single"/>
        </w:rPr>
        <w:t>Umstellung zu Redispatch 2.0 zu sinkenden Kosten geführt hat</w:t>
      </w:r>
      <w:r>
        <w:t xml:space="preserve">, siehe </w:t>
      </w:r>
      <w:proofErr w:type="spellStart"/>
      <w:r>
        <w:t>Youtube</w:t>
      </w:r>
      <w:proofErr w:type="spellEnd"/>
      <w:r>
        <w:t>.</w:t>
      </w:r>
      <w:r>
        <w:rPr>
          <w:rStyle w:val="Funotenzeichen"/>
        </w:rPr>
        <w:footnoteReference w:id="811"/>
      </w:r>
      <w:r w:rsidR="00BA3F74">
        <w:t xml:space="preserve"> </w:t>
      </w:r>
    </w:p>
    <w:p w14:paraId="48DF2C24" w14:textId="77777777" w:rsidR="00FA1537" w:rsidRDefault="00FA1537" w:rsidP="00B74A76"/>
    <w:p w14:paraId="0913FEFF" w14:textId="411288E8" w:rsidR="00B74A76" w:rsidRDefault="001A4896" w:rsidP="00B74A76">
      <w:r>
        <w:lastRenderedPageBreak/>
        <w:t xml:space="preserve">Was ist </w:t>
      </w:r>
      <w:r w:rsidR="00FA1537">
        <w:t>Redispatch 2.0</w:t>
      </w:r>
      <w:r>
        <w:t>?</w:t>
      </w:r>
      <w:r w:rsidR="00FA1537">
        <w:t xml:space="preserve"> </w:t>
      </w:r>
      <w:r w:rsidR="00BA3F74">
        <w:t xml:space="preserve">Mit Redispatch 2.0 </w:t>
      </w:r>
      <w:r w:rsidR="00150496">
        <w:t>wurden auch die Verteilnetzbetreiber in den Redispatch einbezogen und kleinere ‚jederzeit fernsteuerbare‘ Anlagen in den Redispatch einbezogen, darunter offenbar auch vermehrt erneuerbare Energien Anlagen und Kraft-Wärmekopplungsanlagen u.a. in Süddeutschland, dadurch werden die konventionellen Kraftwerke dort weniger stark benutzt, ebenso sollen die erneuerbaren Energien im Norden offenbar später als bisher abgeschaltet werden, so deute ich die Formulierungen auf dieser EnBW-Webseite</w:t>
      </w:r>
      <w:r w:rsidR="00BA3F74">
        <w:t>.</w:t>
      </w:r>
      <w:r w:rsidR="00150496">
        <w:rPr>
          <w:rStyle w:val="Funotenzeichen"/>
        </w:rPr>
        <w:footnoteReference w:id="812"/>
      </w:r>
      <w:r w:rsidR="000E5939">
        <w:t xml:space="preserve"> Der EnBW kann offenbar viele Anlagen zusammenschalten und zu einem großen Kraftwerk formen, siehe seine </w:t>
      </w:r>
      <w:proofErr w:type="spellStart"/>
      <w:r w:rsidR="000E5939">
        <w:t>Interconnector</w:t>
      </w:r>
      <w:proofErr w:type="spellEnd"/>
      <w:r w:rsidR="000E5939">
        <w:t xml:space="preserve"> Webseite.</w:t>
      </w:r>
      <w:r w:rsidR="000E5939">
        <w:rPr>
          <w:rStyle w:val="Funotenzeichen"/>
        </w:rPr>
        <w:footnoteReference w:id="813"/>
      </w:r>
    </w:p>
    <w:p w14:paraId="5F2A30DC" w14:textId="77777777" w:rsidR="00B74A76" w:rsidRDefault="00B74A76" w:rsidP="00B74A76"/>
    <w:p w14:paraId="601E8B89" w14:textId="77777777" w:rsidR="00787F06" w:rsidRDefault="00787F06" w:rsidP="00787F06">
      <w:r>
        <w:t>Es wird derzeit in der Bundesnetzagentur an einem Konzept ‚Nutzen statt Abregeln‘ gearbeitet, dass vorsieht Wärmepumpen oder Elektrolyseure vermehrt an das Stromnetz im Norden anzuschließen, um Abschaltungen bzw. die hohen Kosten davon zu vermeiden.</w:t>
      </w:r>
      <w:r w:rsidRPr="00FF7D1C">
        <w:rPr>
          <w:rStyle w:val="Funotenzeichen"/>
        </w:rPr>
        <w:t xml:space="preserve"> </w:t>
      </w:r>
      <w:r>
        <w:rPr>
          <w:rStyle w:val="Funotenzeichen"/>
        </w:rPr>
        <w:footnoteReference w:id="814"/>
      </w:r>
    </w:p>
    <w:p w14:paraId="0F58E38F" w14:textId="77777777" w:rsidR="00787F06" w:rsidRDefault="00787F06" w:rsidP="00B74A76"/>
    <w:p w14:paraId="59F14992" w14:textId="2DAD653C" w:rsidR="00F046E9" w:rsidRDefault="00F046E9" w:rsidP="00B74A76">
      <w:r>
        <w:t xml:space="preserve">Hierbei kann man auch eine Perspektive aus einem Bundesland einnehmen: </w:t>
      </w:r>
      <w:proofErr w:type="gramStart"/>
      <w:r>
        <w:t>Schleswig Holstein</w:t>
      </w:r>
      <w:proofErr w:type="gramEnd"/>
      <w:r>
        <w:t xml:space="preserve"> meldet am 09.05.2025, dass die Abregelung von 2019 3350 GWh auf 828 Gigawattstunden zurückgegangen ist.</w:t>
      </w:r>
      <w:r>
        <w:rPr>
          <w:rStyle w:val="Funotenzeichen"/>
        </w:rPr>
        <w:footnoteReference w:id="815"/>
      </w:r>
    </w:p>
    <w:p w14:paraId="577D23E0" w14:textId="77777777" w:rsidR="00F046E9" w:rsidRDefault="00F046E9" w:rsidP="00B74A76"/>
    <w:p w14:paraId="2DE8811B" w14:textId="3DD5B4C9" w:rsidR="00787F06" w:rsidRDefault="00787F06" w:rsidP="00787F06">
      <w:r>
        <w:t xml:space="preserve">Damit ist noch nicht alles erklärt, geklärt werden müsste z.B. noch, was </w:t>
      </w:r>
      <w:proofErr w:type="spellStart"/>
      <w:r>
        <w:t>Countertrading</w:t>
      </w:r>
      <w:proofErr w:type="spellEnd"/>
      <w:r>
        <w:t xml:space="preserve"> ist. Siehe die Webseite ‚Netzengpassmanagement‘.</w:t>
      </w:r>
      <w:r>
        <w:rPr>
          <w:rStyle w:val="Funotenzeichen"/>
        </w:rPr>
        <w:footnoteReference w:id="816"/>
      </w:r>
    </w:p>
    <w:p w14:paraId="3BEA7DCA" w14:textId="77777777" w:rsidR="00787F06" w:rsidRDefault="00787F06" w:rsidP="00B74A76"/>
    <w:p w14:paraId="70A158E9" w14:textId="77777777" w:rsidR="00B74A76" w:rsidRDefault="00B74A76" w:rsidP="00B74A76">
      <w:r>
        <w:t>Der Chef des Stromnetzbetreibers Amprion, Hans-Jürgen Brick schlägt vor, die Kosten für das Netzengpassmanagement von den Kosten für den Netzausbau abzukoppeln. Die Kosten sollte die Bundesregierung tragen.</w:t>
      </w:r>
      <w:r w:rsidRPr="003701A5">
        <w:rPr>
          <w:rStyle w:val="Funotenzeichen"/>
        </w:rPr>
        <w:t xml:space="preserve"> </w:t>
      </w:r>
      <w:r>
        <w:rPr>
          <w:rStyle w:val="Funotenzeichen"/>
        </w:rPr>
        <w:footnoteReference w:id="817"/>
      </w:r>
      <w:r>
        <w:t xml:space="preserve"> </w:t>
      </w:r>
    </w:p>
    <w:p w14:paraId="197C86B8" w14:textId="77777777" w:rsidR="00B74A76" w:rsidRDefault="00B74A76" w:rsidP="00B74A76"/>
    <w:tbl>
      <w:tblPr>
        <w:tblStyle w:val="Tabellenraster"/>
        <w:tblW w:w="0" w:type="auto"/>
        <w:tblLook w:val="04A0" w:firstRow="1" w:lastRow="0" w:firstColumn="1" w:lastColumn="0" w:noHBand="0" w:noVBand="1"/>
      </w:tblPr>
      <w:tblGrid>
        <w:gridCol w:w="9062"/>
      </w:tblGrid>
      <w:tr w:rsidR="00B74A76" w14:paraId="5FE892EA" w14:textId="77777777" w:rsidTr="00C1615B">
        <w:tc>
          <w:tcPr>
            <w:tcW w:w="9062" w:type="dxa"/>
          </w:tcPr>
          <w:p w14:paraId="5948FB96" w14:textId="77777777" w:rsidR="00B74A76" w:rsidRDefault="00B74A76" w:rsidP="00C1615B">
            <w:r>
              <w:t xml:space="preserve">Der Übertragungsnetzbetreiber Tennet, </w:t>
            </w:r>
            <w:proofErr w:type="gramStart"/>
            <w:r>
              <w:t>mit niederländischen Firmensitz</w:t>
            </w:r>
            <w:proofErr w:type="gramEnd"/>
            <w:r>
              <w:t>, ist hoch verschuldet und soll aktuell von der Bundesregierung gekauft werden, für 20 Mrd. Euro, davon sind 16 Mrd. Schulden, die übernommen werden.</w:t>
            </w:r>
            <w:r>
              <w:rPr>
                <w:rStyle w:val="Funotenzeichen"/>
              </w:rPr>
              <w:footnoteReference w:id="818"/>
            </w:r>
            <w:r>
              <w:t xml:space="preserve"> Derzeit wird gemeldet, dass der Verkauf doch nicht zustande kommen könnte, da in den Niederlanden </w:t>
            </w:r>
            <w:proofErr w:type="gramStart"/>
            <w:r>
              <w:t>einen neue Regierung</w:t>
            </w:r>
            <w:proofErr w:type="gramEnd"/>
            <w:r>
              <w:t xml:space="preserve"> aktiv ist, die sich nach neuen Finanzierungsmöglichkeiten umsieht, um Tennet behalten zu können. Es wird gemeldet, dass Tennet von einen Investitionsbedarf von 160 Mrd. bis 2033 ausgeht (der natürlich auch über die Netzentgelte finanziert wird).</w:t>
            </w:r>
            <w:r>
              <w:rPr>
                <w:rStyle w:val="Funotenzeichen"/>
              </w:rPr>
              <w:footnoteReference w:id="819"/>
            </w:r>
            <w:r>
              <w:t xml:space="preserve"> Am 21. Juni 2024 wird gemeldet, dass der Tennet Kauf durch die Bundesregierung nicht zustande kommt, aufgrund der deutschen Haushaltsproblematik, so der niederländische Finanzminister.</w:t>
            </w:r>
            <w:r>
              <w:rPr>
                <w:rStyle w:val="Funotenzeichen"/>
              </w:rPr>
              <w:footnoteReference w:id="820"/>
            </w:r>
            <w:r>
              <w:t xml:space="preserve"> Es wird aber eine Minderheitsbeteiligung des deutschen Staates weiterhin nicht ausgeschlossen, bei dem dann weitere Investoren ins Boot geholt werden.</w:t>
            </w:r>
            <w:r>
              <w:rPr>
                <w:rStyle w:val="Funotenzeichen"/>
              </w:rPr>
              <w:footnoteReference w:id="821"/>
            </w:r>
            <w:r>
              <w:t xml:space="preserve"> Am 18.09.2024 wird berichtet, dass die Niederlande eine Kredit von 19 Mrd. an Tennet gibt, der aber </w:t>
            </w:r>
            <w:r>
              <w:lastRenderedPageBreak/>
              <w:t>nicht in den deutschen Unternehmensteil fließen darf.</w:t>
            </w:r>
            <w:r>
              <w:rPr>
                <w:rStyle w:val="Funotenzeichen"/>
              </w:rPr>
              <w:footnoteReference w:id="822"/>
            </w:r>
            <w:r>
              <w:t xml:space="preserve"> Nun wird entweder ein Börsengang oder ein Direktverkauf des deutschen Unternehmensteils vorbereitet.</w:t>
            </w:r>
            <w:r>
              <w:rPr>
                <w:rStyle w:val="Funotenzeichen"/>
              </w:rPr>
              <w:footnoteReference w:id="823"/>
            </w:r>
          </w:p>
        </w:tc>
      </w:tr>
    </w:tbl>
    <w:p w14:paraId="78590AA6" w14:textId="77777777" w:rsidR="00B74A76" w:rsidRDefault="00B74A76" w:rsidP="00B74A76"/>
    <w:tbl>
      <w:tblPr>
        <w:tblStyle w:val="Tabellenraster"/>
        <w:tblW w:w="0" w:type="auto"/>
        <w:tblLook w:val="04A0" w:firstRow="1" w:lastRow="0" w:firstColumn="1" w:lastColumn="0" w:noHBand="0" w:noVBand="1"/>
      </w:tblPr>
      <w:tblGrid>
        <w:gridCol w:w="9062"/>
      </w:tblGrid>
      <w:tr w:rsidR="00B74A76" w14:paraId="45625E83" w14:textId="77777777" w:rsidTr="00C1615B">
        <w:tc>
          <w:tcPr>
            <w:tcW w:w="9062" w:type="dxa"/>
          </w:tcPr>
          <w:p w14:paraId="0AFA74E0" w14:textId="77777777" w:rsidR="00B74A76" w:rsidRDefault="00B74A76" w:rsidP="00C1615B">
            <w:r>
              <w:t xml:space="preserve">Der Übertragungsnetzbetreiber EON, der Strom- und Gasnetze betreibt, hat am 13.03.2024 mit 9,4 Mrd. Euro operatives Ergebnis (bereinigtes </w:t>
            </w:r>
            <w:proofErr w:type="spellStart"/>
            <w:r>
              <w:t>Ebitda</w:t>
            </w:r>
            <w:proofErr w:type="spellEnd"/>
            <w:r>
              <w:t>) und 3,1 Mrd. Euro Konzernüberschuss, ein glänzendes Ergebnis gehabt. Bis 2028 soll 42 Mrd. in den Netzausbau investiert werden, davon 70 % in Deutschland. Bierdeckelrechnung. 70 % sind 29,4 Mrd., da mit 3 Mrd. 100 km Netz finanziert werden kann, kann EON bis 2028 in Deutschland 1000 km Netze bauen (immerhin, es geht aber um mehr als 10.000 km Netzausbau). Es werden 51 Cent Dividende gezahlt. Der Konzern betreibt 1,6 Mill. Kilometer Strom- und Gasleitungen in neun europäischen Ländern, in Deutschland hat das Stromnetz 700.000 Kilometer. EON hat 14 Millionen Strom- und Gaskunden. 2023 hat EON 6,4 Mrd. investiert und eine halbe Millionen Anlagen ans Netz angeschlossen, z.B. Wind- oder Solarstrom, Wärmepumpen und E-Auto Ladesäulen. Im Artikel wird festgestellt, dass man Gewinne machen muss, um auch investieren zu können, es muss aber auch auf die Zustimmung zur Energiewende in der Bevölkerung geachtet werden. EON hat die Preise in der Grundversorgung gesenkt, macht aber noch hohe Gewinne.</w:t>
            </w:r>
            <w:r>
              <w:rPr>
                <w:rStyle w:val="Funotenzeichen"/>
              </w:rPr>
              <w:footnoteReference w:id="824"/>
            </w:r>
            <w:r>
              <w:t xml:space="preserve"> Der Übertragungsnetzbetreiber Amprion hat einen Gewinn von 980 Millionen Euro gemacht, vor Steuern, Zinsen und Abschreibungen (</w:t>
            </w:r>
            <w:proofErr w:type="spellStart"/>
            <w:r>
              <w:t>Ebitda</w:t>
            </w:r>
            <w:proofErr w:type="spellEnd"/>
            <w:r>
              <w:t>).</w:t>
            </w:r>
            <w:r w:rsidRPr="009F2FFC">
              <w:rPr>
                <w:rStyle w:val="Funotenzeichen"/>
              </w:rPr>
              <w:t xml:space="preserve"> </w:t>
            </w:r>
            <w:r>
              <w:rPr>
                <w:rStyle w:val="Funotenzeichen"/>
              </w:rPr>
              <w:footnoteReference w:id="825"/>
            </w:r>
          </w:p>
        </w:tc>
      </w:tr>
    </w:tbl>
    <w:p w14:paraId="60CB6246" w14:textId="77777777" w:rsidR="00B74A76" w:rsidRDefault="00B74A76" w:rsidP="00112190"/>
    <w:tbl>
      <w:tblPr>
        <w:tblStyle w:val="Tabellenraster"/>
        <w:tblW w:w="0" w:type="auto"/>
        <w:tblLook w:val="04A0" w:firstRow="1" w:lastRow="0" w:firstColumn="1" w:lastColumn="0" w:noHBand="0" w:noVBand="1"/>
      </w:tblPr>
      <w:tblGrid>
        <w:gridCol w:w="9062"/>
      </w:tblGrid>
      <w:tr w:rsidR="00875A4E" w14:paraId="3B3CF33E" w14:textId="77777777" w:rsidTr="00875A4E">
        <w:tc>
          <w:tcPr>
            <w:tcW w:w="9062" w:type="dxa"/>
          </w:tcPr>
          <w:p w14:paraId="6AC5A44C" w14:textId="65168A51" w:rsidR="00875A4E" w:rsidRDefault="00875A4E" w:rsidP="00112190">
            <w:r>
              <w:t xml:space="preserve">Der große Energieversorger EnBW, der auch Offshore Windparks und Ladestationen aufbaut und finanziert, aber auch Netzausbau leider unter der politischen Unsicherheit, z.B. beim Aufbau wasserstofffähiger Gaskraftwerke. Er will von 2023 bis 2030 50 Mrd. Euro investieren. Und möchte Gewinn machen, auch aus dem Netzausbau. Um diese Gelder zur Verfügung zu haben hat er derzeit sogar eine Anleihe auf dem australischen Kapitalmarkt platziert. </w:t>
            </w:r>
            <w:r w:rsidR="00787F06">
              <w:t xml:space="preserve">Er </w:t>
            </w:r>
            <w:r>
              <w:t>bitte</w:t>
            </w:r>
            <w:r w:rsidR="00787F06">
              <w:t>t</w:t>
            </w:r>
            <w:r>
              <w:t xml:space="preserve"> den Landkreisverbund OEW darum, im 3 Mrd. Euro </w:t>
            </w:r>
            <w:r w:rsidR="003C0380">
              <w:t xml:space="preserve">zu geben, um seine Kreditwürdigkeit auf den internationalen Kapitalmarkten </w:t>
            </w:r>
            <w:proofErr w:type="gramStart"/>
            <w:r w:rsidR="003C0380">
              <w:t>auf dem derzeitigem Niveau</w:t>
            </w:r>
            <w:proofErr w:type="gramEnd"/>
            <w:r w:rsidR="003C0380">
              <w:t xml:space="preserve"> zu halten, siehe diesen </w:t>
            </w:r>
            <w:proofErr w:type="gramStart"/>
            <w:r w:rsidR="003C0380">
              <w:t>FAZ Artikel</w:t>
            </w:r>
            <w:proofErr w:type="gramEnd"/>
            <w:r w:rsidR="00787F06">
              <w:t>, 27.03.2025</w:t>
            </w:r>
            <w:r w:rsidR="003C0380">
              <w:t>.</w:t>
            </w:r>
            <w:r w:rsidR="003C0380">
              <w:rPr>
                <w:rStyle w:val="Funotenzeichen"/>
              </w:rPr>
              <w:footnoteReference w:id="826"/>
            </w:r>
          </w:p>
        </w:tc>
      </w:tr>
    </w:tbl>
    <w:p w14:paraId="2D242627" w14:textId="77777777" w:rsidR="00B74A76" w:rsidRDefault="00B74A76" w:rsidP="00112190"/>
    <w:p w14:paraId="594B2677" w14:textId="726777F6" w:rsidR="00112190" w:rsidRDefault="005940F2" w:rsidP="00112190">
      <w:r w:rsidRPr="005940F2">
        <w:rPr>
          <w:u w:val="single"/>
        </w:rPr>
        <w:t>Wasserstoff.</w:t>
      </w:r>
      <w:r>
        <w:t xml:space="preserve"> </w:t>
      </w:r>
      <w:r w:rsidR="000D3C43">
        <w:t xml:space="preserve">Im Bereich Wasserstoff gibt es die sog. </w:t>
      </w:r>
      <w:r w:rsidR="000D3C43" w:rsidRPr="002F1818">
        <w:rPr>
          <w:u w:val="single"/>
        </w:rPr>
        <w:t>fortgeschriebene Nationale Wasserstoffstrategie</w:t>
      </w:r>
      <w:r w:rsidR="000D3C43">
        <w:t xml:space="preserve"> vom Juli 2023 bzw. de</w:t>
      </w:r>
      <w:r w:rsidR="002F1818">
        <w:t>m</w:t>
      </w:r>
      <w:r w:rsidR="000D3C43">
        <w:t xml:space="preserve"> </w:t>
      </w:r>
      <w:r w:rsidR="000D3C43" w:rsidRPr="002F1818">
        <w:rPr>
          <w:u w:val="single"/>
        </w:rPr>
        <w:t>Update der Nationalen Wasserstoffstrategie</w:t>
      </w:r>
      <w:r w:rsidR="000D3C43">
        <w:t>.</w:t>
      </w:r>
      <w:r w:rsidR="000D3C43">
        <w:rPr>
          <w:rStyle w:val="Funotenzeichen"/>
        </w:rPr>
        <w:footnoteReference w:id="827"/>
      </w:r>
      <w:r w:rsidR="000D3C43">
        <w:t xml:space="preserve"> </w:t>
      </w:r>
      <w:r w:rsidR="00EB3485">
        <w:t>Sie formuliert das Ziel einer Elektrolysekapazität von mindestens 10 GW im Jahr 2030 und den Ausbau eines Wasserstoffnetzes sowie der Nutzung von Wasserstoff in der Industrie, bei schweren Nutzfahrzeugen und im Schiffs- und Flugverkehr. Deutschland soll „Leitanbieter“ für Wasserstofftechnologien werden.</w:t>
      </w:r>
      <w:r w:rsidR="00EB3485">
        <w:rPr>
          <w:rStyle w:val="Funotenzeichen"/>
        </w:rPr>
        <w:footnoteReference w:id="828"/>
      </w:r>
      <w:r w:rsidR="00EB3485">
        <w:t xml:space="preserve"> </w:t>
      </w:r>
      <w:r w:rsidR="00943232">
        <w:t>Die Nationale Wasserstoffstrategie (NWS) sieht auch einen Wasserstoffrat (mit eigener Webseite</w:t>
      </w:r>
      <w:r w:rsidR="00943232">
        <w:rPr>
          <w:rStyle w:val="Funotenzeichen"/>
        </w:rPr>
        <w:footnoteReference w:id="829"/>
      </w:r>
      <w:r w:rsidR="00943232">
        <w:t>) vorsieht.</w:t>
      </w:r>
      <w:r w:rsidR="00943232">
        <w:rPr>
          <w:rStyle w:val="Funotenzeichen"/>
        </w:rPr>
        <w:footnoteReference w:id="830"/>
      </w:r>
      <w:r w:rsidR="00943232">
        <w:t xml:space="preserve"> Die </w:t>
      </w:r>
      <w:r w:rsidR="00943232">
        <w:lastRenderedPageBreak/>
        <w:t>Bundesregierung hat folgende Webseite etabliert.</w:t>
      </w:r>
      <w:r w:rsidR="00943232">
        <w:rPr>
          <w:rStyle w:val="Funotenzeichen"/>
        </w:rPr>
        <w:footnoteReference w:id="831"/>
      </w:r>
      <w:r w:rsidR="00943232">
        <w:t xml:space="preserve"> </w:t>
      </w:r>
      <w:r>
        <w:t>Auf der Webseite Wasserstoffkompass sollen alle Entwicklung im Bereich Wasserstoff und Elektrolyse abgebildet werden.</w:t>
      </w:r>
      <w:r>
        <w:rPr>
          <w:rStyle w:val="Funotenzeichen"/>
        </w:rPr>
        <w:footnoteReference w:id="832"/>
      </w:r>
      <w:r>
        <w:t xml:space="preserve"> Auf dieser Webseite gibt</w:t>
      </w:r>
      <w:r w:rsidR="00943232">
        <w:t xml:space="preserve"> einen </w:t>
      </w:r>
      <w:r>
        <w:t>Elektrolyse Monitor, zum Zustand des Hochlaufs der Elektrolyse in Deutschland und weltweit</w:t>
      </w:r>
      <w:r w:rsidR="00943232">
        <w:t>, u.a. mit einer Excel-Tabelle über alle Wasserstoff Projekte weltweit.</w:t>
      </w:r>
      <w:r>
        <w:rPr>
          <w:rStyle w:val="Funotenzeichen"/>
        </w:rPr>
        <w:footnoteReference w:id="833"/>
      </w:r>
      <w:r>
        <w:t xml:space="preserve"> </w:t>
      </w:r>
    </w:p>
    <w:p w14:paraId="15C0492C" w14:textId="77777777" w:rsidR="006F38AA" w:rsidRDefault="006F38AA" w:rsidP="00112190"/>
    <w:p w14:paraId="4409A66B" w14:textId="77777777" w:rsidR="00B327E6" w:rsidRDefault="00515485" w:rsidP="00515485">
      <w:bookmarkStart w:id="48" w:name="_Hlk177336175"/>
      <w:r>
        <w:t xml:space="preserve">Die Bundesnetzagentur hat dem Wirtschaftsministerium 31. Dezember 2022 ein Konzept vorgelegt und soll bis zum 30. Juni 2025 einen Bericht vorlegen, </w:t>
      </w:r>
      <w:r w:rsidRPr="00C85563">
        <w:t>wie man Wasserstoffnetze regulieren könnte</w:t>
      </w:r>
      <w:r>
        <w:t>.</w:t>
      </w:r>
      <w:r>
        <w:rPr>
          <w:rStyle w:val="Funotenzeichen"/>
        </w:rPr>
        <w:footnoteReference w:id="834"/>
      </w:r>
      <w:r>
        <w:t xml:space="preserve"> Durch eine weitere Änderung des Energiewirtschaftsgesetze soll, so Robert Habeck am 14.11.2023, ein </w:t>
      </w:r>
      <w:r w:rsidRPr="00C85563">
        <w:t>Kernwasserstoffnetz</w:t>
      </w:r>
      <w:r>
        <w:t xml:space="preserve"> aufgebaut werden. Dies basiert zu 60 % auf dem vorhandenen Erdgasnetz. Kleinere Leitungen sollen daran angeschlossen werden. Es soll privat finanziert werden, über gedeckelte, einheitlich hohe Netzentgelte - gehen die Kosten darüber hinaus springt der Bund ein, er holt sich das Geld aber später über ein Amortisierungskonto zurück.</w:t>
      </w:r>
      <w:r>
        <w:rPr>
          <w:rStyle w:val="Funotenzeichen"/>
        </w:rPr>
        <w:footnoteReference w:id="835"/>
      </w:r>
      <w:r>
        <w:t xml:space="preserve"> </w:t>
      </w:r>
    </w:p>
    <w:p w14:paraId="2489F9D3" w14:textId="77777777" w:rsidR="00B327E6" w:rsidRDefault="00B327E6" w:rsidP="00515485"/>
    <w:p w14:paraId="47C314AE" w14:textId="414238CD" w:rsidR="00515485" w:rsidRDefault="00515485" w:rsidP="00515485">
      <w:r>
        <w:t xml:space="preserve">Im Juli 2023 wurde ein Update der National Hydrogen </w:t>
      </w:r>
      <w:proofErr w:type="spellStart"/>
      <w:r>
        <w:t>Strategy</w:t>
      </w:r>
      <w:proofErr w:type="spellEnd"/>
      <w:r>
        <w:t xml:space="preserve"> 2023 veröffentlicht, dort befindet sich das 10 GW Ausbauziel bis 2023 und der Plan ein Wasserstoffkernnetz von 1800 km im Jahr 2027/2028 bestehen zu haben, wobei auch IPCEI EU Gelder genutzt werden soll. Dieses Netz soll an ca. 4500 km Wasserstoffnetz in der EU angeschlossen werden (European Hydrogen Backbone). Bis 2030 ist das Ziel alle wichtigen Produktions- bzw. Konsum und Speicherstandorte zu verbinden.</w:t>
      </w:r>
      <w:r>
        <w:rPr>
          <w:rStyle w:val="Funotenzeichen"/>
        </w:rPr>
        <w:footnoteReference w:id="836"/>
      </w:r>
      <w:r>
        <w:t xml:space="preserve"> </w:t>
      </w:r>
    </w:p>
    <w:p w14:paraId="21FD3FE3" w14:textId="77777777" w:rsidR="00515485" w:rsidRDefault="00515485" w:rsidP="00515485"/>
    <w:p w14:paraId="0B88B7CB" w14:textId="77777777" w:rsidR="00515485" w:rsidRDefault="00515485" w:rsidP="00515485">
      <w:r>
        <w:t>Zuvor wurde es schon diskutiert und am 14.11.2023 kündigte Robert Habeck, ein Wasserstoffbeschleunigungsgesetz an, dass dazu dienen soll, schnelleren Bau von Wasserstoffpipelines zu ermöglichen.</w:t>
      </w:r>
      <w:r>
        <w:rPr>
          <w:rStyle w:val="Funotenzeichen"/>
        </w:rPr>
        <w:footnoteReference w:id="837"/>
      </w:r>
      <w:r>
        <w:t xml:space="preserve"> </w:t>
      </w:r>
    </w:p>
    <w:p w14:paraId="3B922D82" w14:textId="77777777" w:rsidR="00B327E6" w:rsidRDefault="00B327E6" w:rsidP="00B327E6"/>
    <w:p w14:paraId="6AF7A8F5" w14:textId="7DADCBD8" w:rsidR="00B327E6" w:rsidRDefault="00B327E6" w:rsidP="00B327E6">
      <w:r>
        <w:t xml:space="preserve">Am 22.10.2024 hat die Bundesnetzagentur das </w:t>
      </w:r>
      <w:r w:rsidRPr="0042208C">
        <w:rPr>
          <w:u w:val="single"/>
        </w:rPr>
        <w:t>Wasserstoff</w:t>
      </w:r>
      <w:r w:rsidR="0042208C" w:rsidRPr="0042208C">
        <w:rPr>
          <w:u w:val="single"/>
        </w:rPr>
        <w:t>k</w:t>
      </w:r>
      <w:r w:rsidRPr="0042208C">
        <w:rPr>
          <w:u w:val="single"/>
        </w:rPr>
        <w:t>ernnetz</w:t>
      </w:r>
      <w:r>
        <w:t xml:space="preserve"> genehmigt, „I</w:t>
      </w:r>
      <w:r w:rsidRPr="00831D77">
        <w:t>nsgesamt enthält das Netz 9.040 Kilometer an Leitungen, welche sukzessiv bis 2032 in Betrieb gehen sollen. Davon werden rund 60 Prozent von Gas auf Wasserstoff umgestellt und 40 Prozent neu gebaut. Die erwarteten Investitionskosten betragen 18,9 Milliarden Euro.</w:t>
      </w:r>
      <w:r>
        <w:t>“</w:t>
      </w:r>
      <w:r>
        <w:rPr>
          <w:rStyle w:val="Funotenzeichen"/>
        </w:rPr>
        <w:footnoteReference w:id="838"/>
      </w:r>
      <w:r>
        <w:t xml:space="preserve"> Siehe die Karte hier.</w:t>
      </w:r>
      <w:r>
        <w:rPr>
          <w:rStyle w:val="Funotenzeichen"/>
        </w:rPr>
        <w:footnoteReference w:id="839"/>
      </w:r>
      <w:r w:rsidR="001A4896">
        <w:t xml:space="preserve"> </w:t>
      </w:r>
      <w:r w:rsidR="00151613">
        <w:t>(dies ist ein viel geringerer Betrag als für das Stromnetz)</w:t>
      </w:r>
    </w:p>
    <w:p w14:paraId="3A19B9F6" w14:textId="77777777" w:rsidR="00B327E6" w:rsidRDefault="00B327E6" w:rsidP="00B327E6"/>
    <w:p w14:paraId="16FF8F6F" w14:textId="70CC50C9" w:rsidR="00515485" w:rsidRDefault="00B327E6" w:rsidP="00515485">
      <w:r>
        <w:t xml:space="preserve">Auch Orte, die nicht an das Wasserstoffkernnetz angeschlossen sind, können natürlich angeschlossen werden, dies muss allerdings dann vor auf regionaler Ebene geplant werden, in Schleswig-Holstein </w:t>
      </w:r>
      <w:r>
        <w:lastRenderedPageBreak/>
        <w:t>sieht man das etwa entspannt und sagt, dass dazu einfach bestehende Erdgasleitungen genommen werden können.</w:t>
      </w:r>
      <w:r>
        <w:rPr>
          <w:rStyle w:val="Funotenzeichen"/>
        </w:rPr>
        <w:footnoteReference w:id="840"/>
      </w:r>
      <w:r w:rsidR="000D099F">
        <w:t xml:space="preserve"> Nach allem was mir zu Ohren gekommen ist, ist somit klar: </w:t>
      </w:r>
      <w:r w:rsidR="000D099F" w:rsidRPr="000D099F">
        <w:rPr>
          <w:b/>
          <w:bCs/>
        </w:rPr>
        <w:t>Erdgasleitungen können Wasserstoff durchleiten</w:t>
      </w:r>
      <w:r w:rsidR="000D099F">
        <w:t>.</w:t>
      </w:r>
    </w:p>
    <w:p w14:paraId="4057D1CF" w14:textId="77777777" w:rsidR="00B327E6" w:rsidRDefault="00B327E6" w:rsidP="00515485"/>
    <w:p w14:paraId="770578C3" w14:textId="3B13FA1F" w:rsidR="000D099F" w:rsidRDefault="000D099F" w:rsidP="00515485">
      <w:r>
        <w:t xml:space="preserve">Eine ganz andere Frage ist, was mit </w:t>
      </w:r>
      <w:r w:rsidRPr="000D099F">
        <w:rPr>
          <w:u w:val="single"/>
        </w:rPr>
        <w:t>Erdgasleitungen passiert, die nicht mehr gebraucht werden</w:t>
      </w:r>
      <w:r>
        <w:t>, dies wirft schwierige Fragen auf, siehe hierzu etwa dieses Konsultationspapier des BWMK, undatiert, offenbar aus 2024.</w:t>
      </w:r>
      <w:r>
        <w:rPr>
          <w:rStyle w:val="Funotenzeichen"/>
        </w:rPr>
        <w:footnoteReference w:id="841"/>
      </w:r>
    </w:p>
    <w:p w14:paraId="42318B28" w14:textId="77777777" w:rsidR="000D099F" w:rsidRDefault="000D099F" w:rsidP="00515485"/>
    <w:p w14:paraId="67B5A983" w14:textId="0A50D499" w:rsidR="00515485" w:rsidRDefault="002F1818" w:rsidP="00515485">
      <w:r>
        <w:t xml:space="preserve">Wie oben schon erwähnt: </w:t>
      </w:r>
      <w:r w:rsidR="00515485">
        <w:t>Im Jahr 2026 wird erstmals von der Koordinationsstelle für Netzentwicklungsplanung Gas und Wasserstoff (KO NEP</w:t>
      </w:r>
      <w:r w:rsidR="00515485">
        <w:rPr>
          <w:rStyle w:val="Funotenzeichen"/>
        </w:rPr>
        <w:footnoteReference w:id="842"/>
      </w:r>
      <w:r w:rsidR="00515485">
        <w:t>) ein gemeinsamer Gas</w:t>
      </w:r>
      <w:r>
        <w:t>-</w:t>
      </w:r>
      <w:r w:rsidR="00515485">
        <w:t xml:space="preserve"> und Wasserstoff Netzentwicklungsplan vorgelegt</w:t>
      </w:r>
      <w:r w:rsidR="00B327E6">
        <w:t xml:space="preserve"> werden</w:t>
      </w:r>
      <w:r w:rsidR="00515485">
        <w:t>.</w:t>
      </w:r>
      <w:r w:rsidR="0077095B">
        <w:t xml:space="preserve"> </w:t>
      </w:r>
      <w:r w:rsidR="00515485">
        <w:t>Bisher sind in den Planungen für Wasserstoff vor allem die KWK-Anlagen und die Stahlindustrie enthalten und diverse Forschungsprojekte, es fehlt</w:t>
      </w:r>
      <w:r w:rsidR="0077095B">
        <w:t>e</w:t>
      </w:r>
      <w:r w:rsidR="00515485">
        <w:t xml:space="preserve"> die Chemieindustri</w:t>
      </w:r>
      <w:r w:rsidR="0077095B">
        <w:t>e</w:t>
      </w:r>
      <w:r w:rsidR="00515485">
        <w:t xml:space="preserve">, siehe </w:t>
      </w:r>
      <w:proofErr w:type="spellStart"/>
      <w:r w:rsidR="00515485">
        <w:t>den</w:t>
      </w:r>
      <w:proofErr w:type="spellEnd"/>
      <w:r w:rsidR="00515485">
        <w:t xml:space="preserve">: </w:t>
      </w:r>
      <w:r w:rsidR="00515485" w:rsidRPr="00091313">
        <w:t xml:space="preserve">Netzentwicklungsplan Gas 2022-2032 Ergänzungen zum </w:t>
      </w:r>
      <w:proofErr w:type="spellStart"/>
      <w:r w:rsidR="00515485" w:rsidRPr="00091313">
        <w:t>Szenariorahmen</w:t>
      </w:r>
      <w:proofErr w:type="spellEnd"/>
      <w:r w:rsidR="00515485" w:rsidRPr="00091313">
        <w:t>. Stand: 26. September 2022</w:t>
      </w:r>
      <w:r w:rsidR="00515485">
        <w:rPr>
          <w:rStyle w:val="Funotenzeichen"/>
        </w:rPr>
        <w:footnoteReference w:id="843"/>
      </w:r>
      <w:r w:rsidR="00515485">
        <w:t>, erwähnt u.a. im Monitoringbericht Energiewende 2024.</w:t>
      </w:r>
      <w:r w:rsidR="00515485">
        <w:rPr>
          <w:rStyle w:val="Funotenzeichen"/>
        </w:rPr>
        <w:footnoteReference w:id="844"/>
      </w:r>
      <w:r w:rsidR="00515485">
        <w:t xml:space="preserve"> Im </w:t>
      </w:r>
      <w:proofErr w:type="spellStart"/>
      <w:r w:rsidR="00515485">
        <w:t>Szenariorahmen</w:t>
      </w:r>
      <w:proofErr w:type="spellEnd"/>
      <w:r w:rsidR="00515485">
        <w:t xml:space="preserve"> zum Netzentwicklungsplan Strom, 2037/2045, Version 2025, vom Juni 2024, wurden auch Elektrolyseur-Projekte einbezogen und dies kann somit nun auch in die Strom- und Wasserstoffnetzplanung einfließen: hier wurden die meisten Projekte für Niedersachsen, dann für Mecklenburg-Vorpommern, dann für Schleswig-Holstein, dann für Nordrhein-Westfalen angemeldet. Also geht es um Windstrom, aus dem man Wasserstoff herstellen kann und diesen dann mit Pipeline (die schnell zu bauen und relativ günstig ist), zum Verbraucher bringen kann, es gibt aber offenbar auch Elektrolyseurprojekte bei der Industrie selbst, z.B. in NRW, und z.B. in Sachsen</w:t>
      </w:r>
      <w:r w:rsidR="0077095B">
        <w:t>, vielleicht aufgrund des geplanten Elektrolyseurs vom</w:t>
      </w:r>
      <w:r w:rsidR="00515485">
        <w:t xml:space="preserve"> SKW Piesteritz, siehe </w:t>
      </w:r>
      <w:proofErr w:type="spellStart"/>
      <w:r w:rsidR="00515485">
        <w:t>Szenariorahmen</w:t>
      </w:r>
      <w:proofErr w:type="spellEnd"/>
      <w:r w:rsidR="00515485">
        <w:t xml:space="preserve"> zum Netzentwicklungsplan Strom, 2037/2045, Version 2025.</w:t>
      </w:r>
      <w:r w:rsidR="00515485">
        <w:rPr>
          <w:rStyle w:val="Funotenzeichen"/>
        </w:rPr>
        <w:footnoteReference w:id="845"/>
      </w:r>
      <w:r w:rsidR="00515485">
        <w:t xml:space="preserve"> </w:t>
      </w:r>
    </w:p>
    <w:p w14:paraId="3F350119" w14:textId="77777777" w:rsidR="00515485" w:rsidRDefault="00515485" w:rsidP="00515485"/>
    <w:p w14:paraId="6F77F53E" w14:textId="28636E44" w:rsidR="00515485" w:rsidRDefault="0042208C" w:rsidP="00515485">
      <w:r>
        <w:t>Wie oben schon erwähnt hat a</w:t>
      </w:r>
      <w:r w:rsidR="00515485">
        <w:t xml:space="preserve">m 30.04.3035 hat die Bundesnetzagentur die </w:t>
      </w:r>
      <w:proofErr w:type="spellStart"/>
      <w:r w:rsidR="00515485">
        <w:t>Szenariorahmen</w:t>
      </w:r>
      <w:proofErr w:type="spellEnd"/>
      <w:r w:rsidR="00515485">
        <w:t xml:space="preserve"> 2025-2037/2045 Strom sowie Gas/Wasserstoff genehmigt.</w:t>
      </w:r>
      <w:r w:rsidR="00515485">
        <w:rPr>
          <w:rStyle w:val="Funotenzeichen"/>
        </w:rPr>
        <w:footnoteReference w:id="846"/>
      </w:r>
      <w:r w:rsidR="00515485">
        <w:t xml:space="preserve"> Hier ist der Link zum </w:t>
      </w:r>
      <w:proofErr w:type="spellStart"/>
      <w:r w:rsidR="00515485">
        <w:t>Szenariorahmen</w:t>
      </w:r>
      <w:proofErr w:type="spellEnd"/>
      <w:r w:rsidR="00515485">
        <w:t xml:space="preserve"> und Netzentwicklungsplan Strom, mit zwei Berichten, den der </w:t>
      </w:r>
      <w:proofErr w:type="spellStart"/>
      <w:r w:rsidR="00515485">
        <w:t>Übertragsnetzbetreiber</w:t>
      </w:r>
      <w:proofErr w:type="spellEnd"/>
      <w:r w:rsidR="00515485">
        <w:t xml:space="preserve"> vom Juni 2024</w:t>
      </w:r>
      <w:r w:rsidR="00515485">
        <w:rPr>
          <w:rStyle w:val="Funotenzeichen"/>
        </w:rPr>
        <w:footnoteReference w:id="847"/>
      </w:r>
      <w:r w:rsidR="00515485">
        <w:t xml:space="preserve"> der Grundlage von Konsultationen war und dann der nun </w:t>
      </w:r>
      <w:r w:rsidR="0077095B">
        <w:t xml:space="preserve">am 30.04.2025 </w:t>
      </w:r>
      <w:r w:rsidR="00515485">
        <w:t xml:space="preserve">genehmigte </w:t>
      </w:r>
      <w:proofErr w:type="spellStart"/>
      <w:r w:rsidR="00515485">
        <w:t>Szenariorahmen</w:t>
      </w:r>
      <w:proofErr w:type="spellEnd"/>
      <w:r w:rsidR="00515485">
        <w:rPr>
          <w:rStyle w:val="Funotenzeichen"/>
        </w:rPr>
        <w:footnoteReference w:id="848"/>
      </w:r>
      <w:r w:rsidR="00515485">
        <w:t xml:space="preserve">, hier die Übersichtsseite der Bundesnetzagentur, mit weiteren Excel-Tabellen der </w:t>
      </w:r>
      <w:r w:rsidR="00515485">
        <w:lastRenderedPageBreak/>
        <w:t>angemeldeten Elektrolyseure und einer Standortliste von Kraftwerken.</w:t>
      </w:r>
      <w:r w:rsidR="00515485">
        <w:rPr>
          <w:rStyle w:val="Funotenzeichen"/>
        </w:rPr>
        <w:footnoteReference w:id="849"/>
      </w:r>
      <w:r w:rsidR="00515485">
        <w:t xml:space="preserve"> Hier der Link zum </w:t>
      </w:r>
      <w:proofErr w:type="spellStart"/>
      <w:r w:rsidR="00515485">
        <w:t>Szenariorahmen</w:t>
      </w:r>
      <w:proofErr w:type="spellEnd"/>
      <w:r w:rsidR="00515485">
        <w:t xml:space="preserve"> Gas- und Wasserstoff.</w:t>
      </w:r>
      <w:r w:rsidR="00515485">
        <w:rPr>
          <w:rStyle w:val="Funotenzeichen"/>
        </w:rPr>
        <w:footnoteReference w:id="850"/>
      </w:r>
    </w:p>
    <w:p w14:paraId="6280FDC2" w14:textId="77777777" w:rsidR="002F1818" w:rsidRDefault="002F1818" w:rsidP="00515485"/>
    <w:p w14:paraId="222E263B" w14:textId="713FE19E" w:rsidR="00515485" w:rsidRDefault="00515485" w:rsidP="00515485">
      <w:r>
        <w:t xml:space="preserve">Es erfolgt </w:t>
      </w:r>
      <w:r w:rsidR="00B327E6">
        <w:t xml:space="preserve">nun - </w:t>
      </w:r>
      <w:r>
        <w:t xml:space="preserve">offenbar </w:t>
      </w:r>
      <w:r w:rsidR="00B327E6">
        <w:t xml:space="preserve">- </w:t>
      </w:r>
      <w:r>
        <w:t xml:space="preserve">die Einbeziehung dieser Erkenntnisse in die </w:t>
      </w:r>
      <w:r w:rsidR="002F1818">
        <w:t xml:space="preserve">Auswahl der Flächen und der </w:t>
      </w:r>
      <w:proofErr w:type="spellStart"/>
      <w:r>
        <w:t>Auktionierung</w:t>
      </w:r>
      <w:proofErr w:type="spellEnd"/>
      <w:r>
        <w:t xml:space="preserve"> der Flächen durch die Bundesnetzagentur, nach den folgenden Kriterien</w:t>
      </w:r>
      <w:r>
        <w:rPr>
          <w:rStyle w:val="Funotenzeichen"/>
        </w:rPr>
        <w:footnoteReference w:id="851"/>
      </w:r>
      <w:r>
        <w:t>, man ist also offenbar schon ganz kurz davor, einen vernünftigen Pan für die Energiewende zu haben</w:t>
      </w:r>
      <w:r w:rsidR="00B327E6">
        <w:t>, in der auch regionale Aspekte beachtet werden, also wo Industriestandorte sind, die einen Anschluss an erneuerbare Energien brauchen und dass man dann in der Nähe auch erneuerbare Energien ausbaut, um u.a. Netzausbau zu sparen</w:t>
      </w:r>
      <w:r>
        <w:t>. Warum ‚kurz davor‘, weil die Excel-Tabelle mit dem Wasserstoffbedarf für die kommenden Jahre schwer zu verstehende Einträge enthält, z.B. braucht Leverkusen Chempark H im Jahr 2035 nur 80.000 MWh Wasserstoff, das sind 2400 Tonnen.</w:t>
      </w:r>
      <w:r>
        <w:rPr>
          <w:rStyle w:val="Funotenzeichen"/>
        </w:rPr>
        <w:footnoteReference w:id="852"/>
      </w:r>
      <w:r>
        <w:t xml:space="preserve"> (Umrechnung: Heizwert 33,33 kWh pro kg: 80.000.000 kWh / 33,33 kWh / kg = 2.400.000 kg, das sind 2400 Tonnen). Ludwigshafen braucht 300.000 MWh, das sind 9000 Tonnen Wasserstoff … dies kann aber auch an den Einheiten liegen, die ich nicht verstehe … </w:t>
      </w:r>
    </w:p>
    <w:p w14:paraId="5E25420A" w14:textId="77777777" w:rsidR="0042208C" w:rsidRDefault="0042208C" w:rsidP="00D7070B"/>
    <w:tbl>
      <w:tblPr>
        <w:tblStyle w:val="Tabellenraster"/>
        <w:tblW w:w="0" w:type="auto"/>
        <w:tblLook w:val="04A0" w:firstRow="1" w:lastRow="0" w:firstColumn="1" w:lastColumn="0" w:noHBand="0" w:noVBand="1"/>
      </w:tblPr>
      <w:tblGrid>
        <w:gridCol w:w="9062"/>
      </w:tblGrid>
      <w:tr w:rsidR="002A4E95" w14:paraId="78A9DA6A" w14:textId="77777777">
        <w:tc>
          <w:tcPr>
            <w:tcW w:w="9062" w:type="dxa"/>
          </w:tcPr>
          <w:p w14:paraId="121632DC" w14:textId="257A414A" w:rsidR="002A4E95" w:rsidRDefault="002A4E95" w:rsidP="00D7070B">
            <w:r>
              <w:t xml:space="preserve">Einen Atlas für gute Standorte für Elektrolyseurprojekte stellt das Fraunhofer ISE zur Verfügung, hier kann das Potential (Flächen etc.) und ein Energiesystemoptimum (Nähe zu Umspannwerken) eingestellt werden, siehe H2 </w:t>
            </w:r>
            <w:proofErr w:type="spellStart"/>
            <w:r>
              <w:t>Powerd</w:t>
            </w:r>
            <w:proofErr w:type="spellEnd"/>
            <w:r>
              <w:t>.</w:t>
            </w:r>
            <w:r>
              <w:rPr>
                <w:rStyle w:val="Funotenzeichen"/>
              </w:rPr>
              <w:footnoteReference w:id="853"/>
            </w:r>
            <w:r>
              <w:t xml:space="preserve"> </w:t>
            </w:r>
          </w:p>
        </w:tc>
      </w:tr>
    </w:tbl>
    <w:p w14:paraId="08584840" w14:textId="77777777" w:rsidR="002A4E95" w:rsidRDefault="002A4E95" w:rsidP="00D7070B"/>
    <w:p w14:paraId="7C6CD3AD" w14:textId="3FFDD0A2" w:rsidR="00787F06" w:rsidRDefault="00D7070B" w:rsidP="00D7070B">
      <w:r>
        <w:t>Der Nationale Wasserstoffrat hat</w:t>
      </w:r>
      <w:r w:rsidR="00787F06">
        <w:t>te, vor 4 Jahren,</w:t>
      </w:r>
      <w:r>
        <w:t xml:space="preserve"> in einem Grundlagenpapier 2021 berechnet, dass bis 2050 insgesamt 18,54 Mill. </w:t>
      </w:r>
      <w:r w:rsidR="00D359FF">
        <w:t>Tonnen pro Jahr (t/a)</w:t>
      </w:r>
      <w:r>
        <w:t xml:space="preserve"> Wasserstoff für die Industrie nötig sind.</w:t>
      </w:r>
      <w:r>
        <w:rPr>
          <w:rStyle w:val="Funotenzeichen"/>
        </w:rPr>
        <w:footnoteReference w:id="854"/>
      </w:r>
      <w:r>
        <w:t xml:space="preserve"> </w:t>
      </w:r>
      <w:r w:rsidR="00787F06">
        <w:t>Dies ist bis heute der höchste genannte Wert, ich nehme ihn trotzdem hier gleich als Anhaltspunkt für eine Bierdeckelrechnung. (Anmerkung von mir: damals war noch nicht in der Diskussion, dass Wasserstoff auch für die intersaisonale Speicherung nötig ist bzw. im Winter Wasserstoffgaskraftwerke antreiben muss)</w:t>
      </w:r>
    </w:p>
    <w:p w14:paraId="343AD840" w14:textId="77777777" w:rsidR="00787F06" w:rsidRDefault="00787F06" w:rsidP="00D7070B"/>
    <w:p w14:paraId="411F5569" w14:textId="3D951A3F" w:rsidR="00284D75" w:rsidRDefault="00D7070B" w:rsidP="00284D75">
      <w:r>
        <w:t xml:space="preserve">Die EU hat im Rahmen des </w:t>
      </w:r>
      <w:proofErr w:type="spellStart"/>
      <w:r>
        <w:t>REPowerEU</w:t>
      </w:r>
      <w:proofErr w:type="spellEnd"/>
      <w:r>
        <w:t xml:space="preserve"> Kommunikation vom März 2022 das Ziel gesetzt, bis 2030 10 Mill. Tonnen Wasserstoff aus erneuerbaren Energien zur Verfügung zu haben.</w:t>
      </w:r>
      <w:r>
        <w:rPr>
          <w:rStyle w:val="Funotenzeichen"/>
        </w:rPr>
        <w:footnoteReference w:id="855"/>
      </w:r>
      <w:r>
        <w:t xml:space="preserve"> Die Europäische Kommission geht in </w:t>
      </w:r>
      <w:proofErr w:type="spellStart"/>
      <w:r>
        <w:t>RePowerEU</w:t>
      </w:r>
      <w:proofErr w:type="spellEnd"/>
      <w:r>
        <w:t xml:space="preserve"> von 20 Mill. t für die gesamte EU aus, davon 10 Mill. t importiert.</w:t>
      </w:r>
      <w:r>
        <w:rPr>
          <w:rStyle w:val="Funotenzeichen"/>
        </w:rPr>
        <w:footnoteReference w:id="856"/>
      </w:r>
      <w:r w:rsidR="004D40A1">
        <w:t xml:space="preserve"> </w:t>
      </w:r>
      <w:r w:rsidR="00284D75">
        <w:lastRenderedPageBreak/>
        <w:t>(200 Nucera Elektrolyseure mit 4,4 Terawattstunden Stromverbrauch = ca. 880 Terawattstunden Strom mehr in Europa benötigt)</w:t>
      </w:r>
    </w:p>
    <w:p w14:paraId="41EB301E" w14:textId="77777777" w:rsidR="00284D75" w:rsidRDefault="00284D75" w:rsidP="00284D75"/>
    <w:p w14:paraId="3984967A" w14:textId="76047E6C" w:rsidR="00284D75" w:rsidRDefault="00284D75" w:rsidP="00284D75">
      <w:r>
        <w:t xml:space="preserve">Im Sonderbericht 11 / 2024 des Europäischen Rechnungshofs sind viele Infos zum Hochlauf von Wasserstoff dokumentiert, u.a. beklagen sich Firmen beklagen, die Elektrolyseurprojekte aufbauen wollen, dass sie derzeit Schwierigkeiten haben, an ausreichend Strom aus erneuerbaren Quellen zu kommen, und das Kriterium der </w:t>
      </w:r>
      <w:proofErr w:type="spellStart"/>
      <w:r>
        <w:t>Zusätzlichkeit</w:t>
      </w:r>
      <w:proofErr w:type="spellEnd"/>
      <w:r>
        <w:t xml:space="preserve"> besagt, dass ab dem 1.1.2028 Elektrolyseure nur Strom aus Anlagen nehmen dürfen, die vor 3 Jahren gebaut wurden, gewünscht wird allerdings in dieser delegierten Verordnung ebenso, dass dies Elektrolyseurbetreiber sich dann den Strom aus solchen Anlagen über Power </w:t>
      </w:r>
      <w:proofErr w:type="spellStart"/>
      <w:r>
        <w:t>Purchasing</w:t>
      </w:r>
      <w:proofErr w:type="spellEnd"/>
      <w:r>
        <w:t xml:space="preserve"> Agreement ‚sichern‘.</w:t>
      </w:r>
      <w:r>
        <w:rPr>
          <w:rStyle w:val="Funotenzeichen"/>
        </w:rPr>
        <w:footnoteReference w:id="857"/>
      </w:r>
      <w:r>
        <w:t xml:space="preserve"> Die EU will eine zentrale Rolle bei Aufbau der Wasserstoffwirtschaft spielen, dazu ist u.a. das </w:t>
      </w:r>
      <w:proofErr w:type="spellStart"/>
      <w:r>
        <w:t>Gaspaket</w:t>
      </w:r>
      <w:proofErr w:type="spellEnd"/>
      <w:r>
        <w:t xml:space="preserve"> verabschiedet worden und eine Reihe von IPCEIS ‚Vorhaben von gemeinsamen Interesse‘ genehmigt worden, siehe hier</w:t>
      </w:r>
      <w:r>
        <w:rPr>
          <w:rStyle w:val="Funotenzeichen"/>
        </w:rPr>
        <w:footnoteReference w:id="858"/>
      </w:r>
      <w:r>
        <w:t>:  in dieser Listen tauchen auf: 31 Wasserstoffnetzprojekte, 7 Wasserstoffspeicherprojekte, 10 Übernahmeanlagen in Häfen und 17 Elektrolyseurprojekte.</w:t>
      </w:r>
      <w:r w:rsidRPr="00C52565">
        <w:rPr>
          <w:rStyle w:val="Funotenzeichen"/>
        </w:rPr>
        <w:t xml:space="preserve"> </w:t>
      </w:r>
      <w:r>
        <w:rPr>
          <w:rStyle w:val="Funotenzeichen"/>
        </w:rPr>
        <w:footnoteReference w:id="859"/>
      </w:r>
      <w:r>
        <w:t xml:space="preserve"> In der TEN-E Verordnung geht es um eine transeuropäische Energieinfrastruktur, und hier es offenbar bereits ein Zehnjahre</w:t>
      </w:r>
      <w:r w:rsidR="009B2022">
        <w:t>s</w:t>
      </w:r>
      <w:r>
        <w:t>entwicklungsplan zugrunde gelegt und es gibt 18 nationale Entwicklungspläne für Wasserstoff, eine Trennung von Wasserstofferzeugung- und Transport ist vorgesehen und auch die Tarifgestaltung soll geregelt werden, und an dem Zehnjahre</w:t>
      </w:r>
      <w:r w:rsidR="009B2022">
        <w:t>s</w:t>
      </w:r>
      <w:r>
        <w:t>entwicklungsplan sollen sich die Wasserstoffausbauprojekte orientierten.</w:t>
      </w:r>
      <w:r>
        <w:rPr>
          <w:rStyle w:val="Funotenzeichen"/>
        </w:rPr>
        <w:footnoteReference w:id="860"/>
      </w:r>
      <w:r>
        <w:t xml:space="preserve"> Diese Zehnjahrentwicklungsplan soll u.a. auch vom Europäischen Netz der Fernleitungsnetzbetreiber entwickelt werden (ENTSOG) (bei Strom sind es die ENTSO-E), es wird aber in der TEN-E Verordnung darauf hingewiesen, dass diese nicht alleine tätig werden können, der ‚Agentur für die Zusammenarbeit der Energieregulierungsbehörden‘ und der Kommission soll hierbei wichtigere Rolle in diesem Verfahren zukommen und die Planung sollte von einem wissenschaftlichen Gremium und vom Beirat für Klimawandel begleitet werden (Erwägungsgrund 24, S. 50).</w:t>
      </w:r>
      <w:r>
        <w:rPr>
          <w:rStyle w:val="Funotenzeichen"/>
        </w:rPr>
        <w:footnoteReference w:id="861"/>
      </w:r>
      <w:r>
        <w:t xml:space="preserve"> Die ENTSOG 2050 Roadmap </w:t>
      </w:r>
      <w:proofErr w:type="spellStart"/>
      <w:r>
        <w:t>for</w:t>
      </w:r>
      <w:proofErr w:type="spellEnd"/>
      <w:r>
        <w:t xml:space="preserve"> Gas Grids jedenfalls enthält noch keinen fertigen Plan, sondern eher Diskussionspunkte.</w:t>
      </w:r>
      <w:r>
        <w:rPr>
          <w:rStyle w:val="Funotenzeichen"/>
        </w:rPr>
        <w:footnoteReference w:id="862"/>
      </w:r>
      <w:r>
        <w:t xml:space="preserve"> </w:t>
      </w:r>
    </w:p>
    <w:bookmarkEnd w:id="48"/>
    <w:p w14:paraId="64C06B98" w14:textId="77777777" w:rsidR="00284D75" w:rsidRDefault="00284D75" w:rsidP="00A66FF1">
      <w:pPr>
        <w:rPr>
          <w:b/>
          <w:bCs/>
        </w:rPr>
      </w:pPr>
    </w:p>
    <w:p w14:paraId="5708A364" w14:textId="57CD8596" w:rsidR="00BF045F" w:rsidRDefault="00D359FF" w:rsidP="00A66FF1">
      <w:r>
        <w:t xml:space="preserve">Bierdeckelrechnung: </w:t>
      </w:r>
      <w:r w:rsidR="008B7E2F">
        <w:t xml:space="preserve">Das Thyssenkrupp Stahlwerk braucht ganz zum Schluss, wenn der Umbau vollzogen ist </w:t>
      </w:r>
      <w:r w:rsidR="001F339D">
        <w:t xml:space="preserve">720.000 Tonnen im Jahr / 56.000 Tonnen = 12, d.h. man braucht in Duisburg am </w:t>
      </w:r>
      <w:proofErr w:type="spellStart"/>
      <w:r w:rsidR="001F339D">
        <w:t>HydrOxy</w:t>
      </w:r>
      <w:proofErr w:type="spellEnd"/>
      <w:r w:rsidR="001F339D">
        <w:t xml:space="preserve"> Hub Walsum insgesamt 12 Elektrolyseure a 500 MW (und dies braucht immerhin 6 GW Strom, 0,5 GW mal 12 = 6 * 8760 = 52560 Gigawattstunden</w:t>
      </w:r>
      <w:r w:rsidR="00217425">
        <w:t xml:space="preserve"> bzw. </w:t>
      </w:r>
      <w:r w:rsidR="00217425" w:rsidRPr="00787F06">
        <w:rPr>
          <w:u w:val="single"/>
        </w:rPr>
        <w:t>52 Terawattstunden</w:t>
      </w:r>
      <w:r w:rsidR="001F339D">
        <w:t xml:space="preserve"> – der gesamte deutsche Stromverbrauch beträgt 5</w:t>
      </w:r>
      <w:r w:rsidR="00217425">
        <w:t>49</w:t>
      </w:r>
      <w:r w:rsidR="001F339D">
        <w:t xml:space="preserve">.000 Gigawattstunden bzw. </w:t>
      </w:r>
      <w:r w:rsidR="00217425">
        <w:t>549 Terawattstunden – das sind 9 % des gesamten deutschen Stromverbrauchs, wenn dort einmal ordentlich die Elektrolyseure laufen und aller Stahl Wasserstoffstahl ist</w:t>
      </w:r>
      <w:r w:rsidR="001F339D">
        <w:t xml:space="preserve">. </w:t>
      </w:r>
    </w:p>
    <w:p w14:paraId="68A2E156" w14:textId="77777777" w:rsidR="00BF045F" w:rsidRDefault="00BF045F" w:rsidP="00A66FF1"/>
    <w:p w14:paraId="6FB11F04" w14:textId="5EBBCFCA" w:rsidR="00D359FF" w:rsidRPr="001F339D" w:rsidRDefault="00787F06" w:rsidP="00A66FF1">
      <w:r>
        <w:t xml:space="preserve">Für die </w:t>
      </w:r>
      <w:r w:rsidR="001F339D">
        <w:t>gesamte prognostizierte Wasserstoffmenge des Nationalen Wasserstoffrats für 2050</w:t>
      </w:r>
      <w:r>
        <w:t xml:space="preserve"> braucht man wie viel </w:t>
      </w:r>
      <w:proofErr w:type="gramStart"/>
      <w:r>
        <w:t>Strom?</w:t>
      </w:r>
      <w:r w:rsidR="001F339D">
        <w:t>:</w:t>
      </w:r>
      <w:proofErr w:type="gramEnd"/>
      <w:r w:rsidR="001F339D">
        <w:t xml:space="preserve"> </w:t>
      </w:r>
      <w:r w:rsidR="00D359FF">
        <w:t>18.540.000 Tonnen / 56.000 Tonnen</w:t>
      </w:r>
      <w:r w:rsidR="004D40A1">
        <w:t xml:space="preserve"> pro Jahr der Elektrolyseanlage von </w:t>
      </w:r>
      <w:r w:rsidR="004D40A1">
        <w:lastRenderedPageBreak/>
        <w:t>Thyssenkrupp Nucera</w:t>
      </w:r>
      <w:r w:rsidR="00D359FF">
        <w:t xml:space="preserve"> = 331, d.h. </w:t>
      </w:r>
      <w:r w:rsidR="00D359FF" w:rsidRPr="00787F06">
        <w:rPr>
          <w:u w:val="single"/>
        </w:rPr>
        <w:t xml:space="preserve">von diesen </w:t>
      </w:r>
      <w:r w:rsidRPr="00787F06">
        <w:rPr>
          <w:u w:val="single"/>
        </w:rPr>
        <w:t xml:space="preserve">500 MW </w:t>
      </w:r>
      <w:r w:rsidR="00D359FF" w:rsidRPr="00787F06">
        <w:rPr>
          <w:u w:val="single"/>
        </w:rPr>
        <w:t>Elektrolyseanlagen brauchen wir 331</w:t>
      </w:r>
      <w:r w:rsidR="007F4A28" w:rsidRPr="00787F06">
        <w:rPr>
          <w:u w:val="single"/>
        </w:rPr>
        <w:t xml:space="preserve">, um </w:t>
      </w:r>
      <w:r>
        <w:rPr>
          <w:u w:val="single"/>
        </w:rPr>
        <w:t xml:space="preserve">18,5 Mill. Tonnen Wasserstoff </w:t>
      </w:r>
      <w:r w:rsidR="007F4A28" w:rsidRPr="00787F06">
        <w:rPr>
          <w:u w:val="single"/>
        </w:rPr>
        <w:t>zu produzieren</w:t>
      </w:r>
      <w:r w:rsidR="00D359FF">
        <w:t>.</w:t>
      </w:r>
      <w:r w:rsidR="007F4A28">
        <w:rPr>
          <w:b/>
          <w:bCs/>
        </w:rPr>
        <w:t xml:space="preserve"> </w:t>
      </w:r>
      <w:r w:rsidR="007F4A28" w:rsidRPr="007F4A28">
        <w:t>Der Elektrolyseur verbraucht</w:t>
      </w:r>
      <w:r w:rsidR="007F4A28">
        <w:rPr>
          <w:b/>
          <w:bCs/>
        </w:rPr>
        <w:t xml:space="preserve"> </w:t>
      </w:r>
      <w:r w:rsidR="00D359FF">
        <w:t>500 MW</w:t>
      </w:r>
      <w:r w:rsidR="007F4A28">
        <w:t>, dies</w:t>
      </w:r>
      <w:r w:rsidR="00D359FF">
        <w:t xml:space="preserve"> sind 0,5 GW * 8760 = 4380 GWh bzw. </w:t>
      </w:r>
      <w:r w:rsidR="00546D7E">
        <w:t>oder 4,</w:t>
      </w:r>
      <w:r>
        <w:t>4</w:t>
      </w:r>
      <w:r w:rsidR="00546D7E">
        <w:t xml:space="preserve"> Terawa</w:t>
      </w:r>
      <w:r w:rsidR="000D099F">
        <w:t>tt</w:t>
      </w:r>
      <w:r w:rsidR="00546D7E">
        <w:t xml:space="preserve">stunden </w:t>
      </w:r>
      <w:r w:rsidR="00D359FF">
        <w:t>benötigt diese Anlage</w:t>
      </w:r>
      <w:r w:rsidR="007F4A28">
        <w:t xml:space="preserve"> im Jahr</w:t>
      </w:r>
      <w:r w:rsidR="00D359FF">
        <w:t xml:space="preserve">. 331 dieser Anlagen brauchen </w:t>
      </w:r>
      <w:r w:rsidR="007F4A28">
        <w:t>1.449.780 Gigawattstunden Strom im Jahr</w:t>
      </w:r>
      <w:r w:rsidR="00217425">
        <w:t xml:space="preserve"> bzw. 14</w:t>
      </w:r>
      <w:r>
        <w:t>56</w:t>
      </w:r>
      <w:r w:rsidR="00217425">
        <w:t xml:space="preserve"> Terawattstunden</w:t>
      </w:r>
      <w:r w:rsidR="00D359FF" w:rsidRPr="00D359FF">
        <w:t>. Der Bruttostromverbrauch der BRD liegt 2022 bei 549.000 Gigawattstunden</w:t>
      </w:r>
      <w:r w:rsidR="00217425">
        <w:t xml:space="preserve"> bzw. 549 Terawattstunden</w:t>
      </w:r>
      <w:r w:rsidR="00D359FF" w:rsidRPr="00D359FF">
        <w:t>, laut Bundesumweltamt</w:t>
      </w:r>
      <w:r>
        <w:t>.</w:t>
      </w:r>
      <w:r w:rsidR="00D359FF" w:rsidRPr="00CC24B6">
        <w:rPr>
          <w:rStyle w:val="Funotenzeichen"/>
        </w:rPr>
        <w:footnoteReference w:id="863"/>
      </w:r>
      <w:r w:rsidR="007F4A28">
        <w:t xml:space="preserve"> </w:t>
      </w:r>
      <w:r w:rsidR="001B07FB">
        <w:t xml:space="preserve">Man braucht also </w:t>
      </w:r>
      <w:proofErr w:type="gramStart"/>
      <w:r w:rsidR="001B07FB">
        <w:t>3 mal</w:t>
      </w:r>
      <w:proofErr w:type="gramEnd"/>
      <w:r w:rsidR="001B07FB">
        <w:t xml:space="preserve"> mehr Strom, als heute in Deutschland verfügbar ist. </w:t>
      </w:r>
      <w:r>
        <w:t>Wie gesagt, 18,5 Mill. Tonnen Wasserstoffbedarf im Jahr ist eine hohe Schätzung</w:t>
      </w:r>
      <w:r w:rsidR="001B07FB">
        <w:t xml:space="preserve">, sie liegt aber im Rahmen des Denkbaren, </w:t>
      </w:r>
      <w:r w:rsidR="001B07FB" w:rsidRPr="001B07FB">
        <w:rPr>
          <w:b/>
          <w:bCs/>
        </w:rPr>
        <w:t xml:space="preserve">mir geht es hier sowieso nicht darum, die </w:t>
      </w:r>
      <w:r w:rsidRPr="001B07FB">
        <w:rPr>
          <w:b/>
          <w:bCs/>
        </w:rPr>
        <w:t xml:space="preserve">Energiewende </w:t>
      </w:r>
      <w:r w:rsidR="001B07FB" w:rsidRPr="001B07FB">
        <w:rPr>
          <w:b/>
          <w:bCs/>
        </w:rPr>
        <w:t>skandalös zu rechnen</w:t>
      </w:r>
      <w:r w:rsidR="001B07FB">
        <w:t xml:space="preserve">, sondern es mir darum, </w:t>
      </w:r>
      <w:r w:rsidR="001B07FB" w:rsidRPr="001B07FB">
        <w:rPr>
          <w:u w:val="single"/>
        </w:rPr>
        <w:t>mögliche Dimensionen abzustecken</w:t>
      </w:r>
      <w:r w:rsidR="001B07FB">
        <w:t xml:space="preserve">. Bei diesem hohen Bedarf an Wasserstoff bräuchte man viel Strom aus erneuerbaren Energien oder eben einen höheren Import an Wasserstoff bzw. man muss für den Import auch die Wasserstoffpreise zahlen, die von den Investitionen im Ausland dann erzwungen werden. 1500 TWh in erneuerbaren Energien: 1000 TWh in Werder </w:t>
      </w:r>
      <w:proofErr w:type="spellStart"/>
      <w:r w:rsidR="001B07FB">
        <w:t>Kessin</w:t>
      </w:r>
      <w:proofErr w:type="spellEnd"/>
      <w:r w:rsidR="001B07FB">
        <w:t xml:space="preserve"> / 0,3 = </w:t>
      </w:r>
      <w:proofErr w:type="gramStart"/>
      <w:r w:rsidR="001B07FB">
        <w:t>3333 mal</w:t>
      </w:r>
      <w:proofErr w:type="gramEnd"/>
      <w:r w:rsidR="001B07FB">
        <w:t xml:space="preserve"> (733 Mrd. Euro), 500 TWh in Solarpark Barth = </w:t>
      </w:r>
      <w:proofErr w:type="gramStart"/>
      <w:r w:rsidR="001B07FB">
        <w:t>8333 mal</w:t>
      </w:r>
      <w:proofErr w:type="gramEnd"/>
      <w:r w:rsidR="001B07FB">
        <w:t xml:space="preserve"> (833 Mrd. Euro), plus die Großbatterien, Wasserstoffspeicher und die wasserstofffähigen Gaskraftwerke.</w:t>
      </w:r>
    </w:p>
    <w:p w14:paraId="3409BFB7" w14:textId="77777777" w:rsidR="00D7155F" w:rsidRDefault="00D7155F" w:rsidP="00112190"/>
    <w:p w14:paraId="4439FE28" w14:textId="101C9B10" w:rsidR="00A66FF1" w:rsidRDefault="0060141C" w:rsidP="00112190">
      <w:bookmarkStart w:id="49" w:name="_Hlk177336246"/>
      <w:r>
        <w:t xml:space="preserve">Prüfung der Rechnung: </w:t>
      </w:r>
      <w:r w:rsidR="00D7155F">
        <w:t xml:space="preserve">Prüfung anhand der </w:t>
      </w:r>
      <w:r>
        <w:t>Info</w:t>
      </w:r>
      <w:r w:rsidR="00D7155F">
        <w:t>, dass</w:t>
      </w:r>
      <w:r>
        <w:t xml:space="preserve"> 10 Millionen Tonnen</w:t>
      </w:r>
      <w:r w:rsidR="00217425">
        <w:t xml:space="preserve"> Wasserstoff</w:t>
      </w:r>
      <w:r>
        <w:t xml:space="preserve"> 90 bis 100 GW an Elektrolyseurkapazität benötigen</w:t>
      </w:r>
      <w:r w:rsidR="00D7155F">
        <w:t xml:space="preserve"> würden</w:t>
      </w:r>
      <w:r>
        <w:t xml:space="preserve">, so </w:t>
      </w:r>
      <w:r w:rsidR="00D7155F">
        <w:t>dokumentiert auf der Fachtagung der</w:t>
      </w:r>
      <w:r>
        <w:t xml:space="preserve"> European </w:t>
      </w:r>
      <w:proofErr w:type="spellStart"/>
      <w:r>
        <w:t>Eletrolyser</w:t>
      </w:r>
      <w:proofErr w:type="spellEnd"/>
      <w:r>
        <w:t xml:space="preserve"> Summit, </w:t>
      </w:r>
      <w:proofErr w:type="spellStart"/>
      <w:r>
        <w:t>Brussels</w:t>
      </w:r>
      <w:proofErr w:type="spellEnd"/>
      <w:r>
        <w:t>, 5 May 2022, Joint Declaration.</w:t>
      </w:r>
      <w:r>
        <w:rPr>
          <w:rStyle w:val="Funotenzeichen"/>
        </w:rPr>
        <w:footnoteReference w:id="864"/>
      </w:r>
      <w:r>
        <w:t xml:space="preserve"> 100 GW bedeutet / 0,5 </w:t>
      </w:r>
      <w:r w:rsidR="00217425">
        <w:t xml:space="preserve">Gigawatt Leistung des Walsum Elektrolyseurs </w:t>
      </w:r>
      <w:r>
        <w:t xml:space="preserve">= 200 … also 200 Elektrolyseure vom Typ ‚Duisburg Walsum‘ </w:t>
      </w:r>
      <w:r w:rsidR="00217425">
        <w:t xml:space="preserve">müssten es schaffen 10 Millionen Tonnen Wasserstoff zu erzeugen </w:t>
      </w:r>
      <w:r>
        <w:t xml:space="preserve">… 200 * 56.000 t /a = 11.200.000 Tonnen pro Jahr. </w:t>
      </w:r>
      <w:r w:rsidR="00217425">
        <w:t>Die Größenordnungen, mit denen hier gerechnet wird, stimmen also</w:t>
      </w:r>
      <w:r>
        <w:t xml:space="preserve">. </w:t>
      </w:r>
    </w:p>
    <w:bookmarkEnd w:id="49"/>
    <w:p w14:paraId="513DB942" w14:textId="77777777" w:rsidR="0060141C" w:rsidRDefault="0060141C" w:rsidP="00112190"/>
    <w:p w14:paraId="4642314B" w14:textId="05DD3FA7" w:rsidR="00462DA8" w:rsidRDefault="000D3C43" w:rsidP="00112190">
      <w:bookmarkStart w:id="50" w:name="_Hlk177672616"/>
      <w:r>
        <w:t xml:space="preserve">Aktuell besteht die Elektrolysekapazität in Deutschland bei 153,7 </w:t>
      </w:r>
      <w:r w:rsidR="00EB3485">
        <w:t>MW, aktuell werden bis 2030 Elektrolyseprojekte von insgesamt 13,4 GW angekündigt. Das sind immerhin 26 Thyssen Nucera Walsum 500 MW Elektrolyseure</w:t>
      </w:r>
      <w:r w:rsidR="000D099F">
        <w:t xml:space="preserve">. </w:t>
      </w:r>
      <w:r w:rsidR="0090643C">
        <w:t>Es gibt auch hier Rohstofffragen, so würde der Bau von 10 GW PEM-Elektrolyseuren 10 bis 20 % der jährlichen Fördermenge an Iridium benötigen, daneben Platin, Titan, Scandium und Nickel.</w:t>
      </w:r>
      <w:r w:rsidR="0090643C">
        <w:rPr>
          <w:rStyle w:val="Funotenzeichen"/>
        </w:rPr>
        <w:footnoteReference w:id="865"/>
      </w:r>
      <w:r w:rsidR="0090643C">
        <w:t xml:space="preserve"> </w:t>
      </w:r>
      <w:r w:rsidR="00FE488A">
        <w:t>Die alkalische Wasserelektrolyse funktioniert aber auch nur mit Nickel und Aluminium</w:t>
      </w:r>
      <w:r w:rsidR="001035C7">
        <w:t xml:space="preserve">, siehe Teil 2, dort </w:t>
      </w:r>
      <w:r w:rsidR="000D099F">
        <w:t>wird anhand der dort beschriebenen konkreten Projekte ausgerechnet</w:t>
      </w:r>
      <w:r w:rsidR="001035C7">
        <w:t xml:space="preserve">, </w:t>
      </w:r>
      <w:r w:rsidR="001035C7" w:rsidRPr="000D099F">
        <w:rPr>
          <w:u w:val="single"/>
        </w:rPr>
        <w:t xml:space="preserve">dass bis 2027 1,2 GW Elektrolyseurkapazität in Deutschland vorhanden sein wird, </w:t>
      </w:r>
      <w:r w:rsidR="000D099F" w:rsidRPr="000D099F">
        <w:rPr>
          <w:u w:val="single"/>
        </w:rPr>
        <w:t xml:space="preserve">mit einer </w:t>
      </w:r>
      <w:r w:rsidR="001035C7" w:rsidRPr="000D099F">
        <w:rPr>
          <w:u w:val="single"/>
        </w:rPr>
        <w:t>jährlich</w:t>
      </w:r>
      <w:r w:rsidR="000D099F" w:rsidRPr="000D099F">
        <w:rPr>
          <w:u w:val="single"/>
        </w:rPr>
        <w:t>en Produktion von</w:t>
      </w:r>
      <w:r w:rsidR="001035C7" w:rsidRPr="000D099F">
        <w:rPr>
          <w:u w:val="single"/>
        </w:rPr>
        <w:t xml:space="preserve"> 128.000 Tonnen Wasserstoff</w:t>
      </w:r>
      <w:r w:rsidR="001035C7">
        <w:t>.</w:t>
      </w:r>
      <w:r w:rsidR="000D099F">
        <w:t xml:space="preserve"> Das ist wenig, es würde insgesamt wohl reichen, eine 1 </w:t>
      </w:r>
      <w:proofErr w:type="spellStart"/>
      <w:r w:rsidR="000D099F">
        <w:t>Midrex</w:t>
      </w:r>
      <w:proofErr w:type="spellEnd"/>
      <w:r w:rsidR="000D099F">
        <w:t>-Stahl-Direktreduktionsanlage zu betreiben, aber nicht die vier geplanten</w:t>
      </w:r>
      <w:r w:rsidR="00633B29">
        <w:t>, staatlich geförderten</w:t>
      </w:r>
      <w:r w:rsidR="000D099F">
        <w:t xml:space="preserve"> Anlagen in Duisburg, Bremen, Salzgitter und Saarland, </w:t>
      </w:r>
      <w:r w:rsidR="00633B29">
        <w:t>in Deutschland gab es 2019 17</w:t>
      </w:r>
      <w:r w:rsidR="000D099F">
        <w:t xml:space="preserve"> </w:t>
      </w:r>
      <w:r w:rsidR="00633B29">
        <w:t>H</w:t>
      </w:r>
      <w:r w:rsidR="000D099F">
        <w:t>ochöfen</w:t>
      </w:r>
      <w:r w:rsidR="00633B29">
        <w:t xml:space="preserve"> (13 sind somit noch nicht umgebaut).</w:t>
      </w:r>
      <w:r w:rsidR="00633B29">
        <w:rPr>
          <w:rStyle w:val="Funotenzeichen"/>
        </w:rPr>
        <w:footnoteReference w:id="866"/>
      </w:r>
      <w:r w:rsidR="00633B29">
        <w:t xml:space="preserve"> </w:t>
      </w:r>
    </w:p>
    <w:bookmarkEnd w:id="50"/>
    <w:p w14:paraId="5C15F48C" w14:textId="77777777" w:rsidR="00462DA8" w:rsidRPr="00462DA8" w:rsidRDefault="00462DA8" w:rsidP="00112190"/>
    <w:p w14:paraId="27727EED" w14:textId="3E0A1705" w:rsidR="00217425" w:rsidRDefault="007F4A28" w:rsidP="00112190">
      <w:r>
        <w:t>Deutschland m</w:t>
      </w:r>
      <w:r w:rsidR="0077095B">
        <w:t>uss</w:t>
      </w:r>
      <w:r>
        <w:t xml:space="preserve"> sich</w:t>
      </w:r>
      <w:r w:rsidR="00217425">
        <w:t xml:space="preserve"> also</w:t>
      </w:r>
      <w:r>
        <w:t xml:space="preserve"> sehr anstrengen, um genug erneuerbare Energien aufbauen, </w:t>
      </w:r>
      <w:r w:rsidR="0090643C">
        <w:t xml:space="preserve">besonders auch </w:t>
      </w:r>
      <w:r>
        <w:t xml:space="preserve">um seinen Bedarf an Strom für die Elektrolyse zu decken, </w:t>
      </w:r>
      <w:r w:rsidR="001035C7">
        <w:t>siehe dazu auch den</w:t>
      </w:r>
      <w:r w:rsidR="00654DAE">
        <w:t xml:space="preserve"> </w:t>
      </w:r>
      <w:r w:rsidR="00462DA8">
        <w:t>FAZ-Artikel</w:t>
      </w:r>
      <w:r w:rsidR="0090643C">
        <w:t xml:space="preserve"> mit dem Titel ‚Die Wasserstoff-Lücke‘</w:t>
      </w:r>
      <w:r w:rsidR="00462DA8">
        <w:rPr>
          <w:rStyle w:val="Funotenzeichen"/>
        </w:rPr>
        <w:footnoteReference w:id="867"/>
      </w:r>
      <w:r w:rsidR="00462DA8">
        <w:t xml:space="preserve"> </w:t>
      </w:r>
      <w:r w:rsidR="001035C7">
        <w:t xml:space="preserve">er </w:t>
      </w:r>
      <w:r w:rsidR="00654DAE">
        <w:t xml:space="preserve">müsste um </w:t>
      </w:r>
      <w:r w:rsidR="00525BB3">
        <w:t xml:space="preserve">‚und die </w:t>
      </w:r>
      <w:r w:rsidR="00654DAE">
        <w:t>Strom Lücke</w:t>
      </w:r>
      <w:r w:rsidR="00525BB3">
        <w:t>‘</w:t>
      </w:r>
      <w:r w:rsidR="00654DAE">
        <w:t xml:space="preserve"> ergänzt werden, wiewohl dort </w:t>
      </w:r>
      <w:r w:rsidR="001035C7">
        <w:t xml:space="preserve">im Artikel </w:t>
      </w:r>
      <w:r w:rsidR="00654DAE">
        <w:t xml:space="preserve">der hohe Strombedarf immerhin erwähnt wird, aber nicht sonderlich konkret. </w:t>
      </w:r>
      <w:r w:rsidR="00217425">
        <w:t>Es verwundert vor diesem Hintergrund nicht, dass z.B. in den</w:t>
      </w:r>
      <w:r>
        <w:t xml:space="preserve"> Langfristszenarien im Frauenhofer ISI Bericht</w:t>
      </w:r>
      <w:r w:rsidR="00B1342C">
        <w:t xml:space="preserve"> (2021)</w:t>
      </w:r>
      <w:r>
        <w:t>, davon ausgegangen</w:t>
      </w:r>
      <w:r w:rsidR="00217425">
        <w:t xml:space="preserve"> wird</w:t>
      </w:r>
      <w:r>
        <w:t>, dass 65 %-75 % des Wasserstoffs importiert werden wird</w:t>
      </w:r>
      <w:r w:rsidR="00217425">
        <w:rPr>
          <w:rStyle w:val="Funotenzeichen"/>
        </w:rPr>
        <w:footnoteReference w:id="868"/>
      </w:r>
      <w:r w:rsidR="00217425">
        <w:t>,</w:t>
      </w:r>
      <w:r>
        <w:t xml:space="preserve"> </w:t>
      </w:r>
      <w:r>
        <w:lastRenderedPageBreak/>
        <w:t>bzw. dann natürlich die Elektrolyse nicht hier stattfindet</w:t>
      </w:r>
      <w:r w:rsidR="00217425">
        <w:t xml:space="preserve"> und auch die erneuerbaren Energien nicht hier installiert werden müssen</w:t>
      </w:r>
      <w:r>
        <w:t xml:space="preserve"> sonst hätte man mit dem prognostizierten Stromverbrauch noch viel höher gehen müssen. </w:t>
      </w:r>
    </w:p>
    <w:p w14:paraId="2AF465F0" w14:textId="77777777" w:rsidR="00217425" w:rsidRDefault="00217425" w:rsidP="00112190"/>
    <w:p w14:paraId="019377DF" w14:textId="1B7FE60D" w:rsidR="007F4A28" w:rsidRDefault="007F4A28" w:rsidP="00112190">
      <w:r>
        <w:t>Selbst dann, wenn man 65 % Wasserstoffimporte erreicht und 35 % noch Zuhause produziert ergibt sich der folgende Strombedarf: 1.449.780 * 0,35 = 507.423</w:t>
      </w:r>
      <w:r w:rsidR="00525BB3">
        <w:t xml:space="preserve"> Gigawattstunden bzw. 507 Terawattstunden</w:t>
      </w:r>
      <w:r>
        <w:t>. Bei 75 % Importen und 25 % Produktion Zuhause: 1.449.780 * 0,25 = 362.445 Gigawattstunden</w:t>
      </w:r>
      <w:r w:rsidR="00525BB3">
        <w:t xml:space="preserve"> bzw. 362 Terawattstunden</w:t>
      </w:r>
      <w:r>
        <w:t xml:space="preserve"> Strombedarf für Wasserstoff aus erneuerbaren Energien.</w:t>
      </w:r>
    </w:p>
    <w:p w14:paraId="19E3CB55" w14:textId="77777777" w:rsidR="007F4A28" w:rsidRDefault="007F4A28" w:rsidP="00112190"/>
    <w:p w14:paraId="0F37DB96" w14:textId="788503C0" w:rsidR="00C758D0" w:rsidRDefault="00C758D0" w:rsidP="00C758D0">
      <w:r>
        <w:t xml:space="preserve">Zum Vergleich: </w:t>
      </w:r>
      <w:r w:rsidR="00217425" w:rsidRPr="00D359FF">
        <w:t>Bruttostromverbrauch der BRD liegt 2022 bei 549.000 Gigawattstunden</w:t>
      </w:r>
      <w:r w:rsidR="00217425">
        <w:t xml:space="preserve">. </w:t>
      </w:r>
      <w:r w:rsidRPr="00C758D0">
        <w:t>Die Stromerzeugung aus erneuerbaren Energien beträgt im Jahr 2022 254 TWh bzw. 254.000 Gigawattstunden</w:t>
      </w:r>
      <w:r>
        <w:t>.</w:t>
      </w:r>
      <w:r>
        <w:rPr>
          <w:rStyle w:val="Funotenzeichen"/>
        </w:rPr>
        <w:footnoteReference w:id="869"/>
      </w:r>
      <w:r w:rsidR="00525BB3">
        <w:t xml:space="preserve"> </w:t>
      </w:r>
    </w:p>
    <w:p w14:paraId="3195BF0E" w14:textId="77777777" w:rsidR="009C609F" w:rsidRDefault="009C609F" w:rsidP="00C758D0"/>
    <w:tbl>
      <w:tblPr>
        <w:tblStyle w:val="Tabellenraster"/>
        <w:tblW w:w="0" w:type="auto"/>
        <w:tblLook w:val="04A0" w:firstRow="1" w:lastRow="0" w:firstColumn="1" w:lastColumn="0" w:noHBand="0" w:noVBand="1"/>
      </w:tblPr>
      <w:tblGrid>
        <w:gridCol w:w="9062"/>
      </w:tblGrid>
      <w:tr w:rsidR="009C609F" w14:paraId="369EB426" w14:textId="77777777" w:rsidTr="009C609F">
        <w:tc>
          <w:tcPr>
            <w:tcW w:w="9062" w:type="dxa"/>
          </w:tcPr>
          <w:p w14:paraId="5DD1044C" w14:textId="382260B4" w:rsidR="009C609F" w:rsidRDefault="009C609F" w:rsidP="00C758D0">
            <w:r>
              <w:t>Ein empfehlenswerter Film zu diese</w:t>
            </w:r>
            <w:r w:rsidR="005F00F4">
              <w:t>r</w:t>
            </w:r>
            <w:r>
              <w:t xml:space="preserve"> Frage ist die 3-Sat </w:t>
            </w:r>
            <w:r w:rsidRPr="00525BB3">
              <w:t>NANO Doku</w:t>
            </w:r>
            <w:r>
              <w:t xml:space="preserve"> von Lena Ganschow</w:t>
            </w:r>
            <w:r w:rsidRPr="00525BB3">
              <w:t>: Industrie in Gefahr - Wo bleibt der Wasserstoff?</w:t>
            </w:r>
            <w:r>
              <w:t xml:space="preserve"> </w:t>
            </w:r>
            <w:r w:rsidR="00250817">
              <w:t>Dort werden folgende Zahlen genannt:</w:t>
            </w:r>
            <w:r>
              <w:t xml:space="preserve"> 3</w:t>
            </w:r>
            <w:r w:rsidR="00250817">
              <w:t>0</w:t>
            </w:r>
            <w:r w:rsidR="00633B29">
              <w:t>.</w:t>
            </w:r>
            <w:r>
              <w:t xml:space="preserve">200 Windräder </w:t>
            </w:r>
            <w:r w:rsidR="00250817">
              <w:t>stehen in Deutschland</w:t>
            </w:r>
            <w:r>
              <w:t xml:space="preserve">, 350 TWh Wasserstoff pro Jahr </w:t>
            </w:r>
            <w:r w:rsidR="00250817">
              <w:t xml:space="preserve">laut Wasserstoffstrategie der Bundesregierung </w:t>
            </w:r>
            <w:r>
              <w:t xml:space="preserve">(350.000.000.000.000 / 33.330 = </w:t>
            </w:r>
            <w:r w:rsidRPr="009C609F">
              <w:t>10.510.510.510</w:t>
            </w:r>
            <w:r>
              <w:t xml:space="preserve"> kg = 10.510.510 Tonnen … 10 Mill. Tonnen), </w:t>
            </w:r>
            <w:r w:rsidR="00250817">
              <w:t xml:space="preserve">wenn man dies nur mit Landwind produzieren will, braucht man dazu </w:t>
            </w:r>
            <w:r>
              <w:t xml:space="preserve">40.000 </w:t>
            </w:r>
            <w:r w:rsidR="00250817">
              <w:t>bis</w:t>
            </w:r>
            <w:r>
              <w:t xml:space="preserve"> 100.000 Windräder. Wenn man alles Öl- und Gas ersetzen würde mit Wasserstoff bräuchte man 23 Mill. Tonnen im Jahr,</w:t>
            </w:r>
            <w:r w:rsidR="00250817">
              <w:t xml:space="preserve"> wenn man davon</w:t>
            </w:r>
            <w:r>
              <w:t xml:space="preserve"> 40 % selbst herstellen</w:t>
            </w:r>
            <w:r w:rsidR="00250817">
              <w:t xml:space="preserve"> will</w:t>
            </w:r>
            <w:r>
              <w:t xml:space="preserve">, </w:t>
            </w:r>
            <w:r w:rsidR="00633B29">
              <w:t xml:space="preserve">müsste man Windkraft an Land </w:t>
            </w:r>
            <w:r>
              <w:t xml:space="preserve">von 62 GW </w:t>
            </w:r>
            <w:r w:rsidR="00633B29">
              <w:t xml:space="preserve">auf </w:t>
            </w:r>
            <w:r>
              <w:t>200 GW</w:t>
            </w:r>
            <w:r w:rsidR="00633B29">
              <w:t xml:space="preserve"> erhöhen</w:t>
            </w:r>
            <w:r>
              <w:t xml:space="preserve">, auf See von 8,5 GW auf 70 Gigawatt, </w:t>
            </w:r>
            <w:r w:rsidR="00250817">
              <w:t xml:space="preserve">dafür braucht man </w:t>
            </w:r>
            <w:r>
              <w:t>40.000 Wind</w:t>
            </w:r>
            <w:r w:rsidR="00250817">
              <w:t>räder mehr an Land,</w:t>
            </w:r>
            <w:r>
              <w:t xml:space="preserve"> 0,1 % der Landesfläche bei 19 km2, </w:t>
            </w:r>
            <w:r w:rsidR="00250817">
              <w:t xml:space="preserve">bei </w:t>
            </w:r>
            <w:r>
              <w:t>Solar</w:t>
            </w:r>
            <w:r w:rsidR="00250817">
              <w:t xml:space="preserve"> müsste die Leistung von</w:t>
            </w:r>
            <w:r>
              <w:t xml:space="preserve"> 87</w:t>
            </w:r>
            <w:r w:rsidR="00250817">
              <w:t xml:space="preserve"> GW</w:t>
            </w:r>
            <w:r>
              <w:t xml:space="preserve"> auf 590 GW</w:t>
            </w:r>
            <w:r w:rsidR="00250817">
              <w:t xml:space="preserve"> ausgebaut werden</w:t>
            </w:r>
            <w:r>
              <w:t>, 1 % der Landesfläche.</w:t>
            </w:r>
            <w:r w:rsidR="00D72CBC">
              <w:t xml:space="preserve"> </w:t>
            </w:r>
            <w:r w:rsidR="00250817">
              <w:t xml:space="preserve">Auf dem Meer müssten 7000 Windräder mehr gebaut werden und alle verfügbaren Flächen erschlossen werden. </w:t>
            </w:r>
            <w:r w:rsidR="00D72CBC">
              <w:t xml:space="preserve">Wasserstoff aus der Elektrolyse: </w:t>
            </w:r>
            <w:r w:rsidR="00723BE4">
              <w:t>würde man den heutigen Bedarf in</w:t>
            </w:r>
            <w:r w:rsidR="00D72CBC">
              <w:t xml:space="preserve"> grüne</w:t>
            </w:r>
            <w:r w:rsidR="00723BE4">
              <w:t>m</w:t>
            </w:r>
            <w:r w:rsidR="00D72CBC">
              <w:t xml:space="preserve"> Wasserstoff </w:t>
            </w:r>
            <w:r w:rsidR="00723BE4">
              <w:t xml:space="preserve">herstellen, wären dazu </w:t>
            </w:r>
            <w:r w:rsidR="00D72CBC">
              <w:t xml:space="preserve">13 GW </w:t>
            </w:r>
            <w:r w:rsidR="00723BE4">
              <w:t xml:space="preserve">Elektrolyseurkapazität nötig, </w:t>
            </w:r>
            <w:r w:rsidR="00D72CBC">
              <w:t>650 Elektrolyseure mit 20 MW Leistung.</w:t>
            </w:r>
            <w:r w:rsidR="00250817">
              <w:rPr>
                <w:rStyle w:val="Funotenzeichen"/>
              </w:rPr>
              <w:footnoteReference w:id="870"/>
            </w:r>
          </w:p>
        </w:tc>
      </w:tr>
    </w:tbl>
    <w:p w14:paraId="25BA8D24" w14:textId="77777777" w:rsidR="00151613" w:rsidRDefault="00151613" w:rsidP="00112190"/>
    <w:p w14:paraId="45FC41F4" w14:textId="4A4BD3A0" w:rsidR="00B90DE5" w:rsidRDefault="00B90DE5" w:rsidP="00112190">
      <w:r>
        <w:t>Ein sehr wichtiger Punkt ist auch der Wasserstoffpreis. Es wird manchmal vorgeschlagen, dass Wasserstoff dort produziert werden sollte, wo ein Überschuss von Strom vorliegt und wo abgeregelter Strom zum Preis von ‚Null‘ abgegeben werden kann. Dies ist aber im deutschen Strommarkt gar nicht möglich. Entweder ist man abgeregelt und wird kompensiert oder man speist ein und bekommt die dafür aktive kompensieren. Man kann nicht abgeregelt sein, kompensiert werden und dann zusätzlich ‚gezwungen‘ sein, Strom zum Preis von Null abzugeben oder sogar den Strom dann zusätzlich lokal billig zu verkaufen. Jetzt kann man sich darüber aufregen, dass dies noch nicht geregelt ist. Es ist aber fraglich, ob sich diese Gebiete, die mehr als andere abgeregelt werden, schon als Geschäftsmodell und Standorte von Elektrolyseuren eigenen, die günstig Wasserstoff produzieren. Es kommt auch stark darauf an, wo und wann abgeregelt wird, es gibt z.B. Standorte, wo Sonne und Wind zusammenkommen und dort dann im März bis Mai viel abgeregelt werden muss, aber im weiteren Verlauf des Jahres viel weniger.</w:t>
      </w:r>
      <w:r>
        <w:rPr>
          <w:rStyle w:val="Funotenzeichen"/>
        </w:rPr>
        <w:footnoteReference w:id="871"/>
      </w:r>
      <w:r>
        <w:t xml:space="preserve"> Kurz: damit man den Wasserstoffpreis deutlich herunterbekommt, müsste man in bestimmten Gegenden, in denen auch Elektrolyseure angesiedelt </w:t>
      </w:r>
      <w:r>
        <w:lastRenderedPageBreak/>
        <w:t xml:space="preserve">werden, bewusst Überschussstrom zulassen, also zu viel Solar und zu viel Windkraft und dann hoffen, dass abgeregelt wird … das ist aber Blödsinn … und wer investiert in </w:t>
      </w:r>
      <w:proofErr w:type="spellStart"/>
      <w:r>
        <w:t>Überschusstrom</w:t>
      </w:r>
      <w:proofErr w:type="spellEnd"/>
      <w:r>
        <w:t xml:space="preserve">? Und es muss weiterhin Überschussstrom vorhanden sind und nebenan ein größeres Wasserstoffgaskraftwerke stehen, welches in der Lage ist, auch mal 4 500 MW Elektrolyseure weiterzubetreiben, damit dies ein ernstzunehmendes Konzept wird.  </w:t>
      </w:r>
    </w:p>
    <w:p w14:paraId="7E599CAE" w14:textId="77777777" w:rsidR="00B90DE5" w:rsidRDefault="00B90DE5" w:rsidP="00112190"/>
    <w:p w14:paraId="6C9F9C93" w14:textId="4F0CFFE5" w:rsidR="008B7E2F" w:rsidRDefault="008B7E2F" w:rsidP="008B7E2F">
      <w:r>
        <w:t xml:space="preserve">Das </w:t>
      </w:r>
      <w:proofErr w:type="spellStart"/>
      <w:r>
        <w:t>TransHyDE</w:t>
      </w:r>
      <w:proofErr w:type="spellEnd"/>
      <w:r>
        <w:t xml:space="preserve"> Projekt </w:t>
      </w:r>
      <w:proofErr w:type="spellStart"/>
      <w:r>
        <w:t>Campfire</w:t>
      </w:r>
      <w:proofErr w:type="spellEnd"/>
      <w:r>
        <w:t xml:space="preserve"> arbeitet an der gesamten Transportkette für Wasserstoff auf Basis von Ammoniak. Dabei forscht GET H2 wie Erdgas Leitungen zu Wasserstoffleitungen umgewandelt werden können, so soll in einem Projekt eine Erdgas Leitung in Bayern zu einer Wasserstoffleistung umgestellt werden. In Mukran auf Rügen wird ein Kugelspeicher ausprobiert.</w:t>
      </w:r>
      <w:r>
        <w:rPr>
          <w:rStyle w:val="Funotenzeichen"/>
        </w:rPr>
        <w:footnoteReference w:id="872"/>
      </w:r>
      <w:r>
        <w:t xml:space="preserve"> Das Fraunhofer Institut arbeitet an neuen technischen Lösungen etwa einem dezentralen Cracken von Ammoniak in Wasserstoff durch elektrisch direkt beheizte Katalysatoren, dies vermeidet teuren Transport von Wasserstoff.</w:t>
      </w:r>
      <w:r>
        <w:rPr>
          <w:rStyle w:val="Funotenzeichen"/>
        </w:rPr>
        <w:footnoteReference w:id="873"/>
      </w:r>
    </w:p>
    <w:p w14:paraId="61FF9126" w14:textId="77777777" w:rsidR="008B7E2F" w:rsidRDefault="008B7E2F" w:rsidP="00112190"/>
    <w:p w14:paraId="79DAD574" w14:textId="70AA418C" w:rsidR="00654DAE" w:rsidRDefault="00654DAE" w:rsidP="00654DAE">
      <w:bookmarkStart w:id="51" w:name="_Hlk177336364"/>
      <w:r>
        <w:t>Die B</w:t>
      </w:r>
      <w:r w:rsidR="0076377E">
        <w:t>u</w:t>
      </w:r>
      <w:r>
        <w:t xml:space="preserve">ndesregierung </w:t>
      </w:r>
      <w:r w:rsidR="0076377E">
        <w:t>verfolgt</w:t>
      </w:r>
      <w:r>
        <w:t xml:space="preserve"> </w:t>
      </w:r>
      <w:r w:rsidR="0076377E">
        <w:t xml:space="preserve">dabei </w:t>
      </w:r>
      <w:r>
        <w:t xml:space="preserve">mehrere Strategien. Neu ist, dass seit dem 24.07.2024 nun auch eine </w:t>
      </w:r>
      <w:r w:rsidRPr="009C1EC5">
        <w:rPr>
          <w:u w:val="single"/>
        </w:rPr>
        <w:t>Importstrategie Wasserstoff und Wasserstoffderivate vorliegt, die auch</w:t>
      </w:r>
      <w:r w:rsidR="00591B4B" w:rsidRPr="009C1EC5">
        <w:rPr>
          <w:u w:val="single"/>
        </w:rPr>
        <w:t xml:space="preserve"> </w:t>
      </w:r>
      <w:r w:rsidRPr="009C1EC5">
        <w:rPr>
          <w:u w:val="single"/>
        </w:rPr>
        <w:t>Ammoniak, Methanol, Naphtha, strombasierte</w:t>
      </w:r>
      <w:r w:rsidR="00591B4B" w:rsidRPr="009C1EC5">
        <w:rPr>
          <w:u w:val="single"/>
        </w:rPr>
        <w:t xml:space="preserve"> </w:t>
      </w:r>
      <w:r w:rsidRPr="009C1EC5">
        <w:rPr>
          <w:u w:val="single"/>
        </w:rPr>
        <w:t>Kraftstoffe und Trägermedien z. B. LOHC</w:t>
      </w:r>
      <w:r w:rsidR="00591B4B">
        <w:t xml:space="preserve"> erwähnt</w:t>
      </w:r>
      <w:r>
        <w:t>.</w:t>
      </w:r>
      <w:r>
        <w:rPr>
          <w:rStyle w:val="Funotenzeichen"/>
        </w:rPr>
        <w:footnoteReference w:id="874"/>
      </w:r>
    </w:p>
    <w:bookmarkEnd w:id="51"/>
    <w:p w14:paraId="1B74BEBD" w14:textId="77777777" w:rsidR="00654DAE" w:rsidRDefault="00654DAE" w:rsidP="00112190"/>
    <w:p w14:paraId="5D31A6DE" w14:textId="77777777" w:rsidR="0077376C" w:rsidRDefault="00112190" w:rsidP="00112190">
      <w:r>
        <w:t xml:space="preserve">Die deutsche </w:t>
      </w:r>
      <w:r w:rsidRPr="009C1EC5">
        <w:rPr>
          <w:u w:val="single"/>
        </w:rPr>
        <w:t>H2Global Stiftung</w:t>
      </w:r>
      <w:r>
        <w:t xml:space="preserve"> ist ein Finanzierungsinstrument für Wasserstoffprojekte, die nun die internationalen Aktivitäten der europäischen Wasserstoffbank übernehmen soll. An H2Global wird sich nun auch die Niederlande beteiligen.</w:t>
      </w:r>
      <w:r>
        <w:rPr>
          <w:rStyle w:val="Funotenzeichen"/>
        </w:rPr>
        <w:footnoteReference w:id="875"/>
      </w:r>
      <w:r>
        <w:t xml:space="preserve"> H2Global hat auch eine EU </w:t>
      </w:r>
      <w:proofErr w:type="spellStart"/>
      <w:r>
        <w:t>GreenHydrogen</w:t>
      </w:r>
      <w:proofErr w:type="spellEnd"/>
      <w:r>
        <w:t xml:space="preserve"> Cluster Webseite.</w:t>
      </w:r>
      <w:r>
        <w:rPr>
          <w:rStyle w:val="Funotenzeichen"/>
        </w:rPr>
        <w:footnoteReference w:id="876"/>
      </w:r>
      <w:r>
        <w:t xml:space="preserve"> H2Global verfügt über 5 Mrd. Euro.</w:t>
      </w:r>
      <w:r>
        <w:rPr>
          <w:rStyle w:val="Funotenzeichen"/>
        </w:rPr>
        <w:footnoteReference w:id="877"/>
      </w:r>
      <w:r>
        <w:t xml:space="preserve"> H2Global will Investitionssicherheit schaffen, durch ein sog. Doppelauktionsmodell, das langfristige Preise für ausländische Produzenten garantiert, im Binnenland an Höchstbietende verkauft, und wenn diese Preise zu niedrig liegen, den Differenzbetrag übernimmt. Dies übernimmt die </w:t>
      </w:r>
      <w:proofErr w:type="spellStart"/>
      <w:r w:rsidRPr="009C1EC5">
        <w:rPr>
          <w:u w:val="single"/>
        </w:rPr>
        <w:t>Hintco</w:t>
      </w:r>
      <w:proofErr w:type="spellEnd"/>
      <w:r w:rsidRPr="009C1EC5">
        <w:rPr>
          <w:u w:val="single"/>
        </w:rPr>
        <w:t xml:space="preserve"> GmbH</w:t>
      </w:r>
      <w:r>
        <w:t xml:space="preserve"> in Leipzig.</w:t>
      </w:r>
      <w:r>
        <w:rPr>
          <w:rStyle w:val="Funotenzeichen"/>
        </w:rPr>
        <w:footnoteReference w:id="878"/>
      </w:r>
      <w:r>
        <w:t xml:space="preserve"> </w:t>
      </w:r>
    </w:p>
    <w:p w14:paraId="1E53B67D" w14:textId="77777777" w:rsidR="00361474" w:rsidRDefault="00361474" w:rsidP="00112190"/>
    <w:p w14:paraId="6C639A24" w14:textId="448FB279" w:rsidR="00AF7005" w:rsidRDefault="00AF7005" w:rsidP="00112190">
      <w:r>
        <w:t>Ein weiteres Unternehmen, dass die deutsche Wasserstoffstrategie unterstützt ist</w:t>
      </w:r>
      <w:r w:rsidR="00525BB3">
        <w:t xml:space="preserve"> die</w:t>
      </w:r>
      <w:r>
        <w:t xml:space="preserve"> </w:t>
      </w:r>
      <w:r w:rsidRPr="00525BB3">
        <w:rPr>
          <w:u w:val="single"/>
        </w:rPr>
        <w:t>SEFE</w:t>
      </w:r>
      <w:r>
        <w:t>, die verstaatlichte Gazprom, nun eine staatliche Energiehandelsgesellschaft. Die SEFE hat vor allem erst einmal nach dem Wegfall russischen Gases LNG eingekauft und beliefert 50.000 Kunden.</w:t>
      </w:r>
      <w:r w:rsidR="00135230">
        <w:rPr>
          <w:rStyle w:val="Funotenzeichen"/>
        </w:rPr>
        <w:footnoteReference w:id="879"/>
      </w:r>
      <w:r>
        <w:t xml:space="preserve"> </w:t>
      </w:r>
      <w:r w:rsidR="00C54310">
        <w:t>Die SEFE betreibt auch den größten Erdgasspeicher Europas in Rehden, ihr gehört die WIGA mit mehr als 4000 km Gasnetzen.</w:t>
      </w:r>
      <w:r w:rsidR="00C54310">
        <w:rPr>
          <w:rStyle w:val="Funotenzeichen"/>
        </w:rPr>
        <w:footnoteReference w:id="880"/>
      </w:r>
    </w:p>
    <w:p w14:paraId="2A4D9A19" w14:textId="77777777" w:rsidR="00112190" w:rsidRDefault="00112190" w:rsidP="00112190"/>
    <w:tbl>
      <w:tblPr>
        <w:tblStyle w:val="Tabellenraster"/>
        <w:tblW w:w="0" w:type="auto"/>
        <w:tblLook w:val="04A0" w:firstRow="1" w:lastRow="0" w:firstColumn="1" w:lastColumn="0" w:noHBand="0" w:noVBand="1"/>
      </w:tblPr>
      <w:tblGrid>
        <w:gridCol w:w="9062"/>
      </w:tblGrid>
      <w:tr w:rsidR="00401D02" w14:paraId="7F5C6103" w14:textId="77777777" w:rsidTr="00401D02">
        <w:tc>
          <w:tcPr>
            <w:tcW w:w="9062" w:type="dxa"/>
          </w:tcPr>
          <w:p w14:paraId="39284BC7" w14:textId="3F7E7D74" w:rsidR="00401D02" w:rsidRDefault="00135230" w:rsidP="00112190">
            <w:r>
              <w:t>H2Global/</w:t>
            </w:r>
            <w:proofErr w:type="spellStart"/>
            <w:r>
              <w:t>Hintco</w:t>
            </w:r>
            <w:proofErr w:type="spellEnd"/>
            <w:r>
              <w:t xml:space="preserve">. </w:t>
            </w:r>
            <w:r w:rsidR="009544F2">
              <w:t xml:space="preserve">Am 12.07.2024 wird von der </w:t>
            </w:r>
            <w:r w:rsidR="009544F2" w:rsidRPr="009C1EC5">
              <w:rPr>
                <w:u w:val="single"/>
              </w:rPr>
              <w:t>H2GlobalStiftung</w:t>
            </w:r>
            <w:r w:rsidR="009544F2">
              <w:t xml:space="preserve"> gemeldet, dass in einer erste Auktion, Lot 1, sich ein erfolgreicher Bieter gefunden hat</w:t>
            </w:r>
            <w:r w:rsidR="00BE705E">
              <w:rPr>
                <w:rStyle w:val="Funotenzeichen"/>
              </w:rPr>
              <w:footnoteReference w:id="881"/>
            </w:r>
            <w:r w:rsidR="009544F2">
              <w:t xml:space="preserve">, dies ist </w:t>
            </w:r>
            <w:proofErr w:type="spellStart"/>
            <w:r w:rsidR="009544F2">
              <w:t>Ferti</w:t>
            </w:r>
            <w:r w:rsidR="00BE705E">
              <w:t>global</w:t>
            </w:r>
            <w:proofErr w:type="spellEnd"/>
            <w:r w:rsidR="00BE705E">
              <w:t>,</w:t>
            </w:r>
            <w:r w:rsidR="009544F2">
              <w:t xml:space="preserve"> </w:t>
            </w:r>
            <w:r w:rsidR="00BE705E">
              <w:t>möglicherweise e</w:t>
            </w:r>
            <w:r w:rsidR="009544F2">
              <w:t xml:space="preserve">in </w:t>
            </w:r>
            <w:r w:rsidR="009544F2">
              <w:lastRenderedPageBreak/>
              <w:t xml:space="preserve">Partnerunternehmen von ADNOC aus </w:t>
            </w:r>
            <w:r w:rsidR="006B0EA9">
              <w:t>Abu Dhabi</w:t>
            </w:r>
            <w:r w:rsidR="00BF687B">
              <w:t xml:space="preserve"> in den Vereinigten Arabischen Emiraten</w:t>
            </w:r>
            <w:r w:rsidR="009544F2">
              <w:rPr>
                <w:rStyle w:val="Funotenzeichen"/>
              </w:rPr>
              <w:footnoteReference w:id="882"/>
            </w:r>
            <w:r w:rsidR="009544F2">
              <w:t xml:space="preserve"> und OCI, ein</w:t>
            </w:r>
            <w:r w:rsidR="00BE705E">
              <w:t>em</w:t>
            </w:r>
            <w:r w:rsidR="009544F2">
              <w:t xml:space="preserve"> niederländisches Unternehmen</w:t>
            </w:r>
            <w:r w:rsidR="00BE705E">
              <w:t>.</w:t>
            </w:r>
            <w:r w:rsidR="009544F2">
              <w:rPr>
                <w:rStyle w:val="Funotenzeichen"/>
              </w:rPr>
              <w:footnoteReference w:id="883"/>
            </w:r>
            <w:r w:rsidR="009544F2">
              <w:t xml:space="preserve"> </w:t>
            </w:r>
            <w:r w:rsidR="00BE705E">
              <w:t>In Ägypten sollen dazu Solar- und Windkraftwerke aufgebaut werden</w:t>
            </w:r>
            <w:r w:rsidR="00BE705E">
              <w:rPr>
                <w:rStyle w:val="Funotenzeichen"/>
              </w:rPr>
              <w:footnoteReference w:id="884"/>
            </w:r>
            <w:r w:rsidR="006B0EA9">
              <w:t>, mit einer Kapazität von 273 MW.</w:t>
            </w:r>
            <w:r w:rsidR="006B0EA9">
              <w:rPr>
                <w:rStyle w:val="Funotenzeichen"/>
              </w:rPr>
              <w:footnoteReference w:id="885"/>
            </w:r>
            <w:r w:rsidR="00BE705E">
              <w:t xml:space="preserve"> </w:t>
            </w:r>
            <w:r w:rsidR="002F614B">
              <w:t xml:space="preserve">In Ägypten soll dann Wasserstoff hergestellt werden, </w:t>
            </w:r>
            <w:r w:rsidR="006B0EA9">
              <w:t xml:space="preserve">von der Firma Egypt Green Hydrogen, ein Konsortium von </w:t>
            </w:r>
            <w:proofErr w:type="spellStart"/>
            <w:r w:rsidR="006B0EA9">
              <w:t>Scatec</w:t>
            </w:r>
            <w:proofErr w:type="spellEnd"/>
            <w:r w:rsidR="006B0EA9">
              <w:t xml:space="preserve"> ASA, Fertiglobe, Orascom Construction, The Sovereign Fund </w:t>
            </w:r>
            <w:proofErr w:type="spellStart"/>
            <w:r w:rsidR="006B0EA9">
              <w:t>of</w:t>
            </w:r>
            <w:proofErr w:type="spellEnd"/>
            <w:r w:rsidR="006B0EA9">
              <w:t xml:space="preserve"> Egypt und </w:t>
            </w:r>
            <w:proofErr w:type="spellStart"/>
            <w:r w:rsidR="006B0EA9">
              <w:t>Egyptian</w:t>
            </w:r>
            <w:proofErr w:type="spellEnd"/>
            <w:r w:rsidR="006B0EA9">
              <w:t xml:space="preserve"> </w:t>
            </w:r>
            <w:proofErr w:type="spellStart"/>
            <w:r w:rsidR="006B0EA9">
              <w:t>Electricity</w:t>
            </w:r>
            <w:proofErr w:type="spellEnd"/>
            <w:r w:rsidR="006B0EA9">
              <w:t xml:space="preserve"> Transmission Company. D</w:t>
            </w:r>
            <w:r w:rsidR="002F614B">
              <w:t>ies</w:t>
            </w:r>
            <w:r w:rsidR="006B0EA9">
              <w:t>er Wasserstoff wird</w:t>
            </w:r>
            <w:r w:rsidR="002F614B">
              <w:t xml:space="preserve"> dann </w:t>
            </w:r>
            <w:r w:rsidR="006B0EA9">
              <w:t>in die Ammoniak-Fabrik in</w:t>
            </w:r>
            <w:r w:rsidR="002F614B">
              <w:t xml:space="preserve"> Ain </w:t>
            </w:r>
            <w:proofErr w:type="spellStart"/>
            <w:r w:rsidR="002F614B">
              <w:t>S</w:t>
            </w:r>
            <w:r w:rsidR="004076A4">
              <w:t>uchna</w:t>
            </w:r>
            <w:proofErr w:type="spellEnd"/>
            <w:r w:rsidR="004076A4">
              <w:t>, Ägypten</w:t>
            </w:r>
            <w:r w:rsidR="006B0EA9">
              <w:t xml:space="preserve">, gebracht werden und zu Ammoniak umgewandelt. </w:t>
            </w:r>
            <w:r w:rsidR="00BE705E">
              <w:t xml:space="preserve">Ziel ist es 2027 erstmals 19.500 Tonnen Ammoniak nach Europa zu liefern, </w:t>
            </w:r>
            <w:r w:rsidR="002F614B">
              <w:t>und dann ab 2028 jedes Jahr</w:t>
            </w:r>
            <w:r w:rsidR="00266947">
              <w:t xml:space="preserve"> </w:t>
            </w:r>
            <w:r w:rsidR="002F614B">
              <w:t>40.000 Tonnen, sodass sich insgesamt ein Volumen bis</w:t>
            </w:r>
            <w:r w:rsidR="00BE705E">
              <w:t xml:space="preserve"> 2033</w:t>
            </w:r>
            <w:r w:rsidR="002F614B">
              <w:t xml:space="preserve"> von</w:t>
            </w:r>
            <w:r w:rsidR="00BE705E">
              <w:t xml:space="preserve"> 397.000 Tonnen</w:t>
            </w:r>
            <w:r w:rsidR="002F614B">
              <w:t xml:space="preserve"> ergibt, danach läuft der Kontrakt aus</w:t>
            </w:r>
            <w:r w:rsidR="00BE705E">
              <w:t>.</w:t>
            </w:r>
            <w:r w:rsidR="00BE705E">
              <w:rPr>
                <w:rStyle w:val="Funotenzeichen"/>
              </w:rPr>
              <w:footnoteReference w:id="886"/>
            </w:r>
            <w:r w:rsidR="00BE705E">
              <w:t xml:space="preserve"> </w:t>
            </w:r>
            <w:r w:rsidR="002F614B">
              <w:t>Im FAZ-Artikel ist davon die Rede, dass der Produktionspreis bei 800 Euro pro Tonne liegen wird (1000 incl. Lieferung nach Europa). Die erste Lieferung hätte dann einen Wert von 15,6 Mill. Euro, insgesamt geht es bis 2033 um ca. 300 Mill. Euro. Es wird angegeben, dass man daraus Wasserstoff herstellen kann, mit 4,5 Euro Produktionskosten pro Kilo, dies sei leicht mehr als 3-4 Euro für Wasserstoff aus Erdgas.</w:t>
            </w:r>
            <w:r w:rsidR="002F614B">
              <w:rPr>
                <w:rStyle w:val="Funotenzeichen"/>
              </w:rPr>
              <w:footnoteReference w:id="887"/>
            </w:r>
            <w:r w:rsidR="002F614B">
              <w:t xml:space="preserve"> E</w:t>
            </w:r>
            <w:r w:rsidR="00BE705E">
              <w:t xml:space="preserve">uropäische Käufer </w:t>
            </w:r>
            <w:r w:rsidR="002F614B">
              <w:t>können dann</w:t>
            </w:r>
            <w:r w:rsidR="00BE705E">
              <w:t xml:space="preserve"> für den Grundstoff bieten und das höchste Gebot bekommt den Zuschlag. Den Differenzbetrag trägt </w:t>
            </w:r>
            <w:r w:rsidR="002F614B">
              <w:t>H2Global bzw. die</w:t>
            </w:r>
            <w:r w:rsidR="00BE705E">
              <w:t xml:space="preserve"> </w:t>
            </w:r>
            <w:proofErr w:type="spellStart"/>
            <w:r w:rsidR="00BE705E">
              <w:t>Hintco</w:t>
            </w:r>
            <w:proofErr w:type="spellEnd"/>
            <w:r w:rsidR="002F614B">
              <w:t>, die dazu mit</w:t>
            </w:r>
            <w:r w:rsidR="00BE705E">
              <w:t xml:space="preserve"> 4,4 Mrd.</w:t>
            </w:r>
            <w:r w:rsidR="002F614B">
              <w:t xml:space="preserve"> ausgestattet ist, diesen leicht anderen Betrag nennt der FAZ-Artikel</w:t>
            </w:r>
            <w:r w:rsidR="00BE705E">
              <w:t>.</w:t>
            </w:r>
            <w:r w:rsidR="00BE705E">
              <w:rPr>
                <w:rStyle w:val="Funotenzeichen"/>
              </w:rPr>
              <w:footnoteReference w:id="888"/>
            </w:r>
            <w:r w:rsidR="00BE705E">
              <w:t xml:space="preserve"> </w:t>
            </w:r>
            <w:r w:rsidR="006B0EA9">
              <w:t xml:space="preserve">H2Global informiert </w:t>
            </w:r>
            <w:r w:rsidR="00E86F82">
              <w:t xml:space="preserve">in dieser Pressemitteilung </w:t>
            </w:r>
            <w:r w:rsidR="006B0EA9">
              <w:t xml:space="preserve">auch darüber, dass Lot 1 22 Bieter hatte, </w:t>
            </w:r>
            <w:r w:rsidR="00E86F82">
              <w:t xml:space="preserve">in </w:t>
            </w:r>
            <w:r w:rsidR="006B0EA9">
              <w:t>Lot 2 und 3</w:t>
            </w:r>
            <w:r w:rsidR="00E86F82">
              <w:t xml:space="preserve"> geht es um Gebote</w:t>
            </w:r>
            <w:r w:rsidR="006B0EA9">
              <w:t xml:space="preserve"> </w:t>
            </w:r>
            <w:r w:rsidR="00E86F82">
              <w:t>für</w:t>
            </w:r>
            <w:r w:rsidR="006B0EA9">
              <w:t xml:space="preserve"> grünes Methanol und grüne</w:t>
            </w:r>
            <w:r w:rsidR="00E86F82">
              <w:t>s</w:t>
            </w:r>
            <w:r w:rsidR="006B0EA9">
              <w:t xml:space="preserve"> Kerosin (e-</w:t>
            </w:r>
            <w:proofErr w:type="spellStart"/>
            <w:r w:rsidR="006B0EA9">
              <w:t>sustainable</w:t>
            </w:r>
            <w:proofErr w:type="spellEnd"/>
            <w:r w:rsidR="006B0EA9">
              <w:t xml:space="preserve"> </w:t>
            </w:r>
            <w:proofErr w:type="spellStart"/>
            <w:r w:rsidR="006B0EA9">
              <w:t>aviation</w:t>
            </w:r>
            <w:proofErr w:type="spellEnd"/>
            <w:r w:rsidR="006B0EA9">
              <w:t xml:space="preserve"> </w:t>
            </w:r>
            <w:proofErr w:type="spellStart"/>
            <w:r w:rsidR="006B0EA9">
              <w:t>fuel</w:t>
            </w:r>
            <w:proofErr w:type="spellEnd"/>
            <w:r w:rsidR="006B0EA9">
              <w:t xml:space="preserve">, </w:t>
            </w:r>
            <w:proofErr w:type="spellStart"/>
            <w:r w:rsidR="006B0EA9">
              <w:t>eSAF</w:t>
            </w:r>
            <w:proofErr w:type="spellEnd"/>
            <w:r w:rsidR="006B0EA9">
              <w:t xml:space="preserve">). </w:t>
            </w:r>
            <w:r w:rsidR="00E86F82">
              <w:t>D</w:t>
            </w:r>
            <w:r w:rsidR="006B0EA9">
              <w:t xml:space="preserve">ie Auktion von grünem Kerosin </w:t>
            </w:r>
            <w:r w:rsidR="00E86F82">
              <w:t xml:space="preserve">wurde </w:t>
            </w:r>
            <w:r w:rsidR="006B0EA9">
              <w:t>abgebrochen</w:t>
            </w:r>
            <w:r w:rsidR="00E86F82">
              <w:t>, da es keine Bieter gab</w:t>
            </w:r>
            <w:r w:rsidR="006B0EA9">
              <w:t xml:space="preserve"> und </w:t>
            </w:r>
            <w:r w:rsidR="00E86F82">
              <w:t xml:space="preserve">wurde </w:t>
            </w:r>
            <w:r w:rsidR="006B0EA9">
              <w:t>zum grünen Methanol hinzugefügt, um dort ein größeres Volumen anbieten zu können.</w:t>
            </w:r>
            <w:r w:rsidR="006B0EA9">
              <w:rPr>
                <w:rStyle w:val="Funotenzeichen"/>
              </w:rPr>
              <w:footnoteReference w:id="889"/>
            </w:r>
            <w:r w:rsidR="006B0EA9">
              <w:t xml:space="preserve"> </w:t>
            </w:r>
          </w:p>
          <w:p w14:paraId="60BDEFD2" w14:textId="77777777" w:rsidR="000913CE" w:rsidRDefault="000913CE" w:rsidP="00112190"/>
          <w:p w14:paraId="45664470" w14:textId="53EB8068" w:rsidR="000332B7" w:rsidRDefault="000913CE" w:rsidP="00BC6953">
            <w:r>
              <w:t xml:space="preserve">Bierdeckelrechnung: </w:t>
            </w:r>
            <w:r w:rsidR="00A147CA">
              <w:t>Hier geht es nicht um</w:t>
            </w:r>
            <w:r>
              <w:t xml:space="preserve"> 397.000 Tonnen</w:t>
            </w:r>
            <w:r w:rsidR="00A147CA">
              <w:t>, sondern jährlich ‚nur‘ um 40.000 Tonnen</w:t>
            </w:r>
            <w:r>
              <w:t xml:space="preserve"> Wasserstoff</w:t>
            </w:r>
            <w:r w:rsidR="00A147CA">
              <w:t>, dafür reicht der ‚Duisburg Walsum‘ Elektrolyseur, der</w:t>
            </w:r>
            <w:r>
              <w:t xml:space="preserve"> 500 MW </w:t>
            </w:r>
            <w:r w:rsidR="00A147CA">
              <w:t>verbracht. Ganz einfach gerechnet, braucht diese auch ein 500 MW Solarkraftwerk.</w:t>
            </w:r>
            <w:r w:rsidR="00BC6953">
              <w:t xml:space="preserve"> Dafür reicht ¼ des Solarparks </w:t>
            </w:r>
            <w:proofErr w:type="spellStart"/>
            <w:r w:rsidR="00BC6953">
              <w:t>Benban</w:t>
            </w:r>
            <w:proofErr w:type="spellEnd"/>
            <w:r w:rsidR="00BC6953">
              <w:t xml:space="preserve">, er hat eine Nennleistung von </w:t>
            </w:r>
            <w:r w:rsidR="00BC6953" w:rsidRPr="00866BF6">
              <w:rPr>
                <w:u w:val="single"/>
              </w:rPr>
              <w:t xml:space="preserve">1,65 </w:t>
            </w:r>
            <w:proofErr w:type="spellStart"/>
            <w:r w:rsidR="00BC6953" w:rsidRPr="00866BF6">
              <w:rPr>
                <w:u w:val="single"/>
              </w:rPr>
              <w:t>GWp</w:t>
            </w:r>
            <w:proofErr w:type="spellEnd"/>
            <w:r w:rsidR="00BC6953">
              <w:t>. Er hat einen unüblich hohen Kapazitätsfaktor von 26 %, da dort die Solarmodule der Sonne nachgeführt werden. Er hat eine jährliche prognostizierte Leistung von 3800 Gigawattstunden bzw. 3,8 Terawattstunden. Die Baukosten waren geschätzt 3,5 bis 4 Mrd. US$.</w:t>
            </w:r>
            <w:r w:rsidR="00BC6953">
              <w:rPr>
                <w:rStyle w:val="Funotenzeichen"/>
              </w:rPr>
              <w:footnoteReference w:id="890"/>
            </w:r>
            <w:r w:rsidR="00BC6953">
              <w:t xml:space="preserve"> Obwohl solche ‚solar </w:t>
            </w:r>
            <w:proofErr w:type="spellStart"/>
            <w:r w:rsidR="00BC6953">
              <w:t>tracker</w:t>
            </w:r>
            <w:proofErr w:type="spellEnd"/>
            <w:r w:rsidR="00BC6953">
              <w:t>‘ zur Normalität von kommerziellen Solarparks gehören</w:t>
            </w:r>
            <w:r w:rsidR="00BC6953">
              <w:rPr>
                <w:rStyle w:val="Funotenzeichen"/>
              </w:rPr>
              <w:footnoteReference w:id="891"/>
            </w:r>
            <w:r w:rsidR="00BC6953">
              <w:t xml:space="preserve">, wird hier mit einem etwas realistischeren Kapazitätsfaktor von 14 % gerechnet, den man vielleicht in einem etwas sonnigeren Land erreichen kann, dann sieht das so aus: </w:t>
            </w:r>
            <w:proofErr w:type="spellStart"/>
            <w:r w:rsidR="00BC6953">
              <w:t>Benban</w:t>
            </w:r>
            <w:proofErr w:type="spellEnd"/>
            <w:r w:rsidR="00BC6953">
              <w:t xml:space="preserve"> 1,65 GW * 8760 = 14.454 GW * 0,14 = das </w:t>
            </w:r>
            <w:r w:rsidR="00BC6953" w:rsidRPr="00BC6953">
              <w:t>sind 2023 GW bzw. 2 Terawattstunden.</w:t>
            </w:r>
            <w:r w:rsidR="00BC6953">
              <w:t xml:space="preserve"> </w:t>
            </w:r>
          </w:p>
        </w:tc>
      </w:tr>
    </w:tbl>
    <w:p w14:paraId="47D43EBD" w14:textId="77777777" w:rsidR="00477E07" w:rsidRDefault="00477E07" w:rsidP="00477E07"/>
    <w:tbl>
      <w:tblPr>
        <w:tblStyle w:val="Tabellenraster"/>
        <w:tblW w:w="0" w:type="auto"/>
        <w:tblLook w:val="04A0" w:firstRow="1" w:lastRow="0" w:firstColumn="1" w:lastColumn="0" w:noHBand="0" w:noVBand="1"/>
      </w:tblPr>
      <w:tblGrid>
        <w:gridCol w:w="9062"/>
      </w:tblGrid>
      <w:tr w:rsidR="00135230" w14:paraId="240464B2" w14:textId="77777777" w:rsidTr="00135230">
        <w:tc>
          <w:tcPr>
            <w:tcW w:w="9062" w:type="dxa"/>
          </w:tcPr>
          <w:p w14:paraId="6ECD80D4" w14:textId="12A1BA0A" w:rsidR="0000335D" w:rsidRDefault="00135230" w:rsidP="00135230">
            <w:r w:rsidRPr="00C54310">
              <w:rPr>
                <w:lang w:val="en-GB"/>
              </w:rPr>
              <w:t>SEFE</w:t>
            </w:r>
            <w:r w:rsidR="00C54310" w:rsidRPr="00C54310">
              <w:rPr>
                <w:lang w:val="en-GB"/>
              </w:rPr>
              <w:t xml:space="preserve"> (Securing Energy for Europe)</w:t>
            </w:r>
            <w:r w:rsidRPr="00C54310">
              <w:rPr>
                <w:lang w:val="en-GB"/>
              </w:rPr>
              <w:t xml:space="preserve">. </w:t>
            </w:r>
            <w:r w:rsidR="0000335D">
              <w:t xml:space="preserve">Die SEFE schreibt unter „Wasserstoffbedarf wächst – Erzeugung und Import heute und morgen“, 24.01.2024, dass </w:t>
            </w:r>
            <w:r w:rsidR="006A3B4A">
              <w:t>der Import, aber auch die heimische Produktion von Wasserstoff denkbar ist, dazu mü</w:t>
            </w:r>
            <w:r w:rsidR="009408FC">
              <w:t>ss</w:t>
            </w:r>
            <w:r w:rsidR="006A3B4A">
              <w:t xml:space="preserve">ten aber die Kosten der erneuerbaren Energien weiter sinken. Generell sei es aber denkbar, auch in Deutschland Wasserstoff mit Elektrolyseuren und </w:t>
            </w:r>
            <w:r w:rsidR="006A3B4A">
              <w:lastRenderedPageBreak/>
              <w:t>erneuerbaren Energien zu produzieren, dies zeige auch die LEE NRW Studie: Scholz, Alexander et al. Perspektiven für die Erzeugung für grünen Wasserstoff in Europa und für H2-Importe nach Deutschland, Studienbericht, August 2024.</w:t>
            </w:r>
            <w:r w:rsidR="006A3B4A">
              <w:rPr>
                <w:rStyle w:val="Funotenzeichen"/>
              </w:rPr>
              <w:footnoteReference w:id="892"/>
            </w:r>
            <w:r w:rsidR="006A3B4A">
              <w:t xml:space="preserve"> Die SEFE vermeldet, dass die </w:t>
            </w:r>
            <w:proofErr w:type="gramStart"/>
            <w:r w:rsidR="006A3B4A">
              <w:t>LNG Terminals</w:t>
            </w:r>
            <w:proofErr w:type="gramEnd"/>
            <w:r w:rsidR="006A3B4A">
              <w:t xml:space="preserve"> schon jetzt H2-ready sind, dies bedeute auch ‚</w:t>
            </w:r>
            <w:proofErr w:type="spellStart"/>
            <w:r w:rsidR="006A3B4A">
              <w:t>ready</w:t>
            </w:r>
            <w:proofErr w:type="spellEnd"/>
            <w:r w:rsidR="006A3B4A">
              <w:t xml:space="preserve">‘ für Ammoniak. Bis 2030 müsse man davon ausgehen, dass Wasserstoff in Form von Ammoniak, oder gebunden an Liquid </w:t>
            </w:r>
            <w:proofErr w:type="spellStart"/>
            <w:r w:rsidR="006A3B4A">
              <w:t>Organic</w:t>
            </w:r>
            <w:proofErr w:type="spellEnd"/>
            <w:r w:rsidR="006A3B4A">
              <w:t xml:space="preserve"> Hydrogen Carriers (LOHCs) </w:t>
            </w:r>
            <w:r w:rsidR="00F8076E">
              <w:t>ein</w:t>
            </w:r>
            <w:r w:rsidR="006A3B4A">
              <w:t xml:space="preserve">geführt wird. Ab 2030 müsse dies mehr und mehr über Pipelines </w:t>
            </w:r>
            <w:r w:rsidR="00BE3710">
              <w:t>aus Europa und nahen Regionen erfolgen. Mit Norwegens Equinor sei eine Absichtserklärung unterzeichnet worden, dass RWE und Equinor eine Wasserstoffpipeline durch die Nordsee bauen, die zuerst blauen Wasserstoff, dann grünen Wasserstoff aus Norwegen nach Deutschland transportieren soll. SEFE ist zudem mit dem norwegischen Unternehmen Gen2 Energy eine Kooperation eingegangen, welches mehrere große Produktionsanlagen für grünen Wasserstoff in Norwegen und Nordeuropa bauen will.</w:t>
            </w:r>
            <w:r w:rsidR="00BE3710">
              <w:rPr>
                <w:rStyle w:val="Funotenzeichen"/>
              </w:rPr>
              <w:footnoteReference w:id="893"/>
            </w:r>
            <w:r w:rsidR="00BE3710">
              <w:t xml:space="preserve"> Gen2 Energy</w:t>
            </w:r>
            <w:r w:rsidR="00BE3710">
              <w:rPr>
                <w:rStyle w:val="Funotenzeichen"/>
              </w:rPr>
              <w:footnoteReference w:id="894"/>
            </w:r>
            <w:r w:rsidR="00BE3710">
              <w:t xml:space="preserve"> will eine Produktionsstätte in </w:t>
            </w:r>
            <w:proofErr w:type="spellStart"/>
            <w:r w:rsidR="00BE3710">
              <w:t>Mosjoen</w:t>
            </w:r>
            <w:proofErr w:type="spellEnd"/>
            <w:r w:rsidR="00BE3710">
              <w:t xml:space="preserve"> in Norwegen bauen, diese soll 2027 fertiggestellt sein.</w:t>
            </w:r>
            <w:r w:rsidR="00BE3710">
              <w:rPr>
                <w:rStyle w:val="Funotenzeichen"/>
              </w:rPr>
              <w:footnoteReference w:id="895"/>
            </w:r>
          </w:p>
          <w:p w14:paraId="24E95E98" w14:textId="77777777" w:rsidR="00BE3710" w:rsidRDefault="00BE3710" w:rsidP="00135230"/>
          <w:p w14:paraId="571DB31E" w14:textId="08959DA5" w:rsidR="00135230" w:rsidRDefault="00135230" w:rsidP="00135230">
            <w:r>
              <w:t>Am 03.02.2025 meldet SEFE, dass es mit ACWA Power, Saudi Arabien, eine Partnerschaft zur Lieferung von jährlich 200.000 Tonnen grünem Wasserstoffs nach Deutschland und Europa, ab 2030, abgeschlossen hat.</w:t>
            </w:r>
            <w:r>
              <w:rPr>
                <w:rStyle w:val="Funotenzeichen"/>
              </w:rPr>
              <w:footnoteReference w:id="896"/>
            </w:r>
            <w:r>
              <w:t xml:space="preserve"> (das ist nicht nichts, 4 mal ein 500 MW Elektrolyseur  mit ca. 56.000 Tonnen Jahresleistung mit möglicherweise einem Stromverbrauch von 20 TWh (4* 4,4 TWh), 20 / 0,06 in Solarpark Barth Flughafen gerechnet, muss Saudi Arabien dafür 333 Solarparks aufbauen, die ca. 100 Mill. Euro gekostet haben, also 33,3 Mrd. Investitionen, das ist ganz schön viel für die kleinen Solarparks, kann das stimmen? Besser mit einem großen Solarpark rechnen: Cowboy Solar I und II, jährliche Leistung 1,3 TWh / 20 = 15,4. 15,4 * 1,2 Mrd. = 18,5 Mrd. US$. Investition. -&gt; amortisiert sich dies in 20 Jahren? Nein, niemals … äh, doch, mal rechnen: 1 Tonne Wasserstoff kostet 20 Jahre, das sind 4.000.000 Tonnen Wasserstoff. 18.500.000.000 / 4.000.000 = 4625 US$, so viel kostet also eine 1 Tonne Wasserstoff, 1 Tonne Wasserstoff enthält 33.330 kWh Energie (</w:t>
            </w:r>
            <w:proofErr w:type="gramStart"/>
            <w:r>
              <w:t>weil</w:t>
            </w:r>
            <w:proofErr w:type="gramEnd"/>
            <w:r>
              <w:t xml:space="preserve"> 1 kg Wasserstoff hat eine Energie von 33,33 kWh, 33,33 kWh * 1000 = 33.330 kWh). 1 Tonne Wasserstoff hat also einen ganz schon großen Heizwert. Wie viel Liter Benzin braucht man für diesen Heizwert und wie viel würde dies kosten? 1 Liter Benzin hat einen Heizwert von 8,5 kWh, also rechnen: 33.330 / 8,5 = 3921 * 1,80 Euro </w:t>
            </w:r>
            <w:proofErr w:type="gramStart"/>
            <w:r>
              <w:t>=  7057</w:t>
            </w:r>
            <w:proofErr w:type="gramEnd"/>
            <w:r>
              <w:t xml:space="preserve"> Euro … Benzin kostet also deutlich mehr!!! Das wird nochmal deutlicher, wenn man / 1000 rechnet und den Preis für 1 kg Wasserstoff bekommt, 4,625 US$, der Heizwert ist aber </w:t>
            </w:r>
            <w:proofErr w:type="gramStart"/>
            <w:r>
              <w:t>3,9 mal</w:t>
            </w:r>
            <w:proofErr w:type="gramEnd"/>
            <w:r>
              <w:t xml:space="preserve"> größer, d.h. 4,625 / 3,9 = 1,18 … umgerechnet in Benzin kostet der Wasserstoff also 1,18 US$ pro ‚Heizwert 1 Liter Benzin‘. Und nun kommt die letzte Rechnung: 4.000.000 Tonnen werden in 20 Jahren geliefert, bekommen die Saudis dafür nun 4625 US$, dann haben sich 15,4 Solarparks Cowboy Solar I und II genau amortisiert, 4.000.000 * 4625 sind 18.500.000.000 … das ist fast schon unheimlich passend …  der Transport fügt weitere Kosten hinzu … sinnvoll wäre es eine Pipeline zu legen. </w:t>
            </w:r>
          </w:p>
          <w:p w14:paraId="5D17B6EE" w14:textId="77777777" w:rsidR="00135230" w:rsidRDefault="00135230" w:rsidP="00135230"/>
          <w:p w14:paraId="43CCD496" w14:textId="5820DB56" w:rsidR="00135230" w:rsidRDefault="00135230" w:rsidP="00477E07">
            <w:r>
              <w:t xml:space="preserve">Am 13.11.2024 meldet die SEFE, dass sie mit der brasilianischen Energieunternehmen </w:t>
            </w:r>
            <w:proofErr w:type="spellStart"/>
            <w:r>
              <w:t>Eletrobras</w:t>
            </w:r>
            <w:proofErr w:type="spellEnd"/>
            <w:r>
              <w:t xml:space="preserve"> </w:t>
            </w:r>
            <w:proofErr w:type="gramStart"/>
            <w:r>
              <w:t>eine Liefervertrag</w:t>
            </w:r>
            <w:proofErr w:type="gramEnd"/>
            <w:r>
              <w:t xml:space="preserve"> für 200.000 Tonnen Wasserstoff, allerdings in Form von Ammoniak, pro Jahr ab 2030 abgeschlossen hat. Der Kuwaitische Projektentwickler </w:t>
            </w:r>
            <w:proofErr w:type="spellStart"/>
            <w:r>
              <w:t>EnerTech</w:t>
            </w:r>
            <w:proofErr w:type="spellEnd"/>
            <w:r>
              <w:t xml:space="preserve"> wird dabei als Grundlage der </w:t>
            </w:r>
            <w:r>
              <w:lastRenderedPageBreak/>
              <w:t>Zusammenarbeit eine Art Machbarkeitsstudie durchführen, wie eine Lieferkette organisiert werden kann. In Brasilien wird grüner Ammoniak mit Wasserkraft hergestellt und in Deutschland zu Wasserstoff umgewandelt und in das Kernnetz eingespeist.</w:t>
            </w:r>
            <w:r>
              <w:rPr>
                <w:rStyle w:val="Funotenzeichen"/>
              </w:rPr>
              <w:footnoteReference w:id="897"/>
            </w:r>
            <w:r>
              <w:t xml:space="preserve"> </w:t>
            </w:r>
          </w:p>
        </w:tc>
      </w:tr>
    </w:tbl>
    <w:p w14:paraId="61725F0A" w14:textId="77777777" w:rsidR="00135230" w:rsidRDefault="00135230" w:rsidP="00477E07"/>
    <w:tbl>
      <w:tblPr>
        <w:tblStyle w:val="Tabellenraster"/>
        <w:tblW w:w="0" w:type="auto"/>
        <w:tblLook w:val="04A0" w:firstRow="1" w:lastRow="0" w:firstColumn="1" w:lastColumn="0" w:noHBand="0" w:noVBand="1"/>
      </w:tblPr>
      <w:tblGrid>
        <w:gridCol w:w="9062"/>
      </w:tblGrid>
      <w:tr w:rsidR="00477E07" w14:paraId="71FBA828" w14:textId="77777777" w:rsidTr="00C241A5">
        <w:tc>
          <w:tcPr>
            <w:tcW w:w="9062" w:type="dxa"/>
          </w:tcPr>
          <w:p w14:paraId="3477C635" w14:textId="72DAA3DA" w:rsidR="00477E07" w:rsidRDefault="00477E07" w:rsidP="00C241A5">
            <w:r>
              <w:t xml:space="preserve">Am 28.06.2024 wird in einer gemeinsamen Pressemitteilung vom Wirtschafts- und Entwicklungsministerium die Vereinbarung einer Allianz für Klima und Energie mit Marokko bekanntgemacht. Zuvor hatte das BMZ in </w:t>
            </w:r>
            <w:proofErr w:type="spellStart"/>
            <w:r>
              <w:t>Quarzazate</w:t>
            </w:r>
            <w:proofErr w:type="spellEnd"/>
            <w:r>
              <w:t xml:space="preserve"> im Süden Marokkos den Bau des weltweit größten solarthermische Kraftwerks Noor unterstützt, dies versorgt nun 1,3 Millionen Menschen mit Strom. Marokko hat nun eine Wasserstoffstrategie erarbeitet, Ziel ist der Aufbau einer Produktion von grünem Wasserstoff und der Aufbau grüner Wirtschaftszweige. Zuvor wurde eine Anlage zur Produktion von grünem Wasserstoff begonnen, die 10.000 Tonnen Wasserstoff pro Jahr herstellen soll, für 50.000 Tonnen grünen Stahl.</w:t>
            </w:r>
            <w:r>
              <w:rPr>
                <w:rStyle w:val="Funotenzeichen"/>
              </w:rPr>
              <w:footnoteReference w:id="898"/>
            </w:r>
            <w:r>
              <w:t xml:space="preserve"> </w:t>
            </w:r>
            <w:r w:rsidR="00B1342C">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tc>
      </w:tr>
    </w:tbl>
    <w:p w14:paraId="5E6EFC9E" w14:textId="77777777" w:rsidR="00477E07" w:rsidRDefault="00477E07" w:rsidP="00477E07"/>
    <w:tbl>
      <w:tblPr>
        <w:tblStyle w:val="Tabellenraster"/>
        <w:tblW w:w="0" w:type="auto"/>
        <w:tblLook w:val="04A0" w:firstRow="1" w:lastRow="0" w:firstColumn="1" w:lastColumn="0" w:noHBand="0" w:noVBand="1"/>
      </w:tblPr>
      <w:tblGrid>
        <w:gridCol w:w="9062"/>
      </w:tblGrid>
      <w:tr w:rsidR="00C868E7" w14:paraId="1369D04D" w14:textId="77777777">
        <w:tc>
          <w:tcPr>
            <w:tcW w:w="9062" w:type="dxa"/>
          </w:tcPr>
          <w:p w14:paraId="3FA40BE9" w14:textId="64E83EEF" w:rsidR="00C868E7" w:rsidRDefault="00C868E7" w:rsidP="00477E07">
            <w:r>
              <w:t>Am 02.06.2025 wird gemeldet, dass Thyssenkrupp Uhde und Uniper in Gelsenkirchen-Scholven eine Anlagen bauen wollen, die Ammoniak zu Wasserstoff umwandeln kann, als Testanlage mit einer Tageskapazität von 28 Tonnen Ammoniak woraus 4 Tonnen Wasserstoff gewonnen werden, gedacht ist dies als Probe für eine Großanlage am Wasserstoffimportterminal in Wilhelmshaven, die ab Ende 2026 dort Ammoniak in Wasserstoff umwandeln soll.</w:t>
            </w:r>
            <w:r>
              <w:rPr>
                <w:rStyle w:val="Funotenzeichen"/>
              </w:rPr>
              <w:footnoteReference w:id="899"/>
            </w:r>
            <w:r>
              <w:t xml:space="preserve"> Es sind also Ammoniakimporte geplant, es ist Spekulation, es könnte aber günstiges blaues Ammoniak aus den USA sein, bei dem CO2 dort per CCS auf dem Land verpresst wird … </w:t>
            </w:r>
          </w:p>
        </w:tc>
      </w:tr>
    </w:tbl>
    <w:p w14:paraId="416FD848" w14:textId="77777777" w:rsidR="00C868E7" w:rsidRDefault="00C868E7" w:rsidP="00477E07"/>
    <w:tbl>
      <w:tblPr>
        <w:tblStyle w:val="Tabellenraster"/>
        <w:tblW w:w="0" w:type="auto"/>
        <w:tblLook w:val="04A0" w:firstRow="1" w:lastRow="0" w:firstColumn="1" w:lastColumn="0" w:noHBand="0" w:noVBand="1"/>
      </w:tblPr>
      <w:tblGrid>
        <w:gridCol w:w="9062"/>
      </w:tblGrid>
      <w:tr w:rsidR="00477E07" w14:paraId="3B5CDF71" w14:textId="77777777" w:rsidTr="00C241A5">
        <w:tc>
          <w:tcPr>
            <w:tcW w:w="9062" w:type="dxa"/>
          </w:tcPr>
          <w:p w14:paraId="0B50F1E7" w14:textId="40C1DED1" w:rsidR="00BE3710" w:rsidRDefault="00477E07" w:rsidP="00C241A5">
            <w:r>
              <w:t>In Italien</w:t>
            </w:r>
            <w:r w:rsidR="001E0921">
              <w:t>, so meldet ein Artikel der FAZ</w:t>
            </w:r>
            <w:r w:rsidR="00B1342C">
              <w:t xml:space="preserve"> am 19.07.2024</w:t>
            </w:r>
            <w:r w:rsidR="001E0921">
              <w:rPr>
                <w:rStyle w:val="Funotenzeichen"/>
              </w:rPr>
              <w:footnoteReference w:id="900"/>
            </w:r>
            <w:r w:rsidR="001E0921">
              <w:t xml:space="preserve">, </w:t>
            </w:r>
            <w:r>
              <w:t xml:space="preserve">wurde bei einer Konferenz der italienischen Außenhandelskammer (ITKAM) darüber gesprochen, wie das italienische Gasnetz dafür als Transport genutzt werden kann, da Italien eine </w:t>
            </w:r>
            <w:r w:rsidR="0039385E">
              <w:t xml:space="preserve">gute </w:t>
            </w:r>
            <w:r>
              <w:t xml:space="preserve">Verbindung zu Tunesien und Algerien hat. Der Plan ist, dass in Nordafrika große Mengen Wasserstoff erzeugt werden und das dazu benötigte Wasser soll aus Entsalzungsanlagen stammen. Algerien hat zudem Wasservorräte unter der Sahara. Angestrebt wird, 4 Millionen Tonnen Wasserstoff in den Norden zu pumpen. Im Mai wurden von Deutschland, Italien und Österreich eine Absichtserklärung für die Zusammenarbeit unterzeichnet, von Firmen wie </w:t>
            </w:r>
            <w:proofErr w:type="spellStart"/>
            <w:r>
              <w:t>Snam</w:t>
            </w:r>
            <w:proofErr w:type="spellEnd"/>
            <w:r>
              <w:t xml:space="preserve">, der Gashändler VNG, </w:t>
            </w:r>
            <w:proofErr w:type="spellStart"/>
            <w:r>
              <w:t>Bayernets</w:t>
            </w:r>
            <w:proofErr w:type="spellEnd"/>
            <w:r>
              <w:t xml:space="preserve">, </w:t>
            </w:r>
            <w:proofErr w:type="spellStart"/>
            <w:r>
              <w:t>Totalenergies</w:t>
            </w:r>
            <w:proofErr w:type="spellEnd"/>
            <w:r>
              <w:t xml:space="preserve">. Im Februar war Robert Habeck in Algerien und hat den Aufbau einer kleinen Versuchsanlage für 20 Mill. Euro vereinbart, die 50 MW Wasserstoff produziert, in </w:t>
            </w:r>
            <w:proofErr w:type="spellStart"/>
            <w:r>
              <w:t>Arzew</w:t>
            </w:r>
            <w:proofErr w:type="spellEnd"/>
            <w:r>
              <w:t xml:space="preserve">, auf dem Gelände des algerischen Energiekonzerns </w:t>
            </w:r>
            <w:proofErr w:type="spellStart"/>
            <w:r>
              <w:t>Sonatrach</w:t>
            </w:r>
            <w:proofErr w:type="spellEnd"/>
            <w:r>
              <w:t xml:space="preserve">. In Tunesien investiert der saudische Energiekonzern </w:t>
            </w:r>
            <w:proofErr w:type="spellStart"/>
            <w:r>
              <w:t>Acwa</w:t>
            </w:r>
            <w:proofErr w:type="spellEnd"/>
            <w:r>
              <w:t xml:space="preserve"> in eine grüne Wasserstoffanlage. Italien selbst hat noch wenig klare Pläne zur Umrüstung seiner eigenen Industrie.</w:t>
            </w:r>
            <w:r>
              <w:rPr>
                <w:rStyle w:val="Funotenzeichen"/>
              </w:rPr>
              <w:footnoteReference w:id="901"/>
            </w:r>
            <w:r>
              <w:t xml:space="preserve">  </w:t>
            </w:r>
            <w:r w:rsidR="000B360F">
              <w:t>Der Leip</w:t>
            </w:r>
            <w:r w:rsidR="0039385E">
              <w:t>z</w:t>
            </w:r>
            <w:r w:rsidR="000B360F">
              <w:t xml:space="preserve">iger Energiehändler VNG AG hat 2024 einen Vertrag über algerisches Gas abgeschlossen und dann am 14.10.2024 eine Absichtserklärung zum Import von grünem Wasserstoff aus Algerien. In der Absichtserklärung wird die Machbarkeit </w:t>
            </w:r>
            <w:proofErr w:type="gramStart"/>
            <w:r w:rsidR="000B360F">
              <w:t>eines groß angelegten Produktion</w:t>
            </w:r>
            <w:proofErr w:type="gramEnd"/>
            <w:r w:rsidR="000B360F">
              <w:t xml:space="preserve"> von Wasserstoff in Algerien und dessen Export über </w:t>
            </w:r>
            <w:r w:rsidR="0039385E">
              <w:t xml:space="preserve">den geplanten South H2 </w:t>
            </w:r>
            <w:proofErr w:type="spellStart"/>
            <w:r w:rsidR="0039385E">
              <w:t>Corridor</w:t>
            </w:r>
            <w:proofErr w:type="spellEnd"/>
            <w:r w:rsidR="0039385E">
              <w:t xml:space="preserve"> </w:t>
            </w:r>
            <w:r w:rsidR="0039385E">
              <w:lastRenderedPageBreak/>
              <w:t>nach Italien, Österreich und Deutschland zu prüfen.</w:t>
            </w:r>
            <w:r w:rsidR="0039385E">
              <w:rPr>
                <w:rStyle w:val="Funotenzeichen"/>
              </w:rPr>
              <w:footnoteReference w:id="902"/>
            </w:r>
            <w:r w:rsidR="0039385E">
              <w:t xml:space="preserve"> Der South H2 </w:t>
            </w:r>
            <w:proofErr w:type="spellStart"/>
            <w:r w:rsidR="0039385E">
              <w:t>Corridor</w:t>
            </w:r>
            <w:proofErr w:type="spellEnd"/>
            <w:r w:rsidR="0039385E">
              <w:t xml:space="preserve"> hat nun eine eigene Webseite.</w:t>
            </w:r>
            <w:r w:rsidR="0039385E">
              <w:rPr>
                <w:rStyle w:val="Funotenzeichen"/>
              </w:rPr>
              <w:footnoteReference w:id="903"/>
            </w:r>
            <w:r w:rsidR="0039385E">
              <w:t xml:space="preserve"> </w:t>
            </w:r>
            <w:r w:rsidR="0039385E" w:rsidRPr="001035C7">
              <w:rPr>
                <w:u w:val="single"/>
              </w:rPr>
              <w:t>Das Ganze kommt also in Schwung</w:t>
            </w:r>
            <w:r w:rsidR="0039385E">
              <w:t xml:space="preserve">. </w:t>
            </w:r>
          </w:p>
        </w:tc>
      </w:tr>
    </w:tbl>
    <w:p w14:paraId="02F69483" w14:textId="77777777" w:rsidR="000B360F" w:rsidRDefault="000B360F" w:rsidP="00112190"/>
    <w:tbl>
      <w:tblPr>
        <w:tblStyle w:val="Tabellenraster"/>
        <w:tblW w:w="0" w:type="auto"/>
        <w:tblLook w:val="04A0" w:firstRow="1" w:lastRow="0" w:firstColumn="1" w:lastColumn="0" w:noHBand="0" w:noVBand="1"/>
      </w:tblPr>
      <w:tblGrid>
        <w:gridCol w:w="9062"/>
      </w:tblGrid>
      <w:tr w:rsidR="007E794F" w14:paraId="2D6DF3A9" w14:textId="77777777" w:rsidTr="007E794F">
        <w:tc>
          <w:tcPr>
            <w:tcW w:w="9062" w:type="dxa"/>
          </w:tcPr>
          <w:p w14:paraId="1B7688E2" w14:textId="7BAEFEB7" w:rsidR="007E794F" w:rsidRDefault="0077456A" w:rsidP="00112190">
            <w:r>
              <w:t xml:space="preserve">Namibia, Angola … </w:t>
            </w:r>
            <w:r w:rsidR="007E794F">
              <w:t>Gemeldet wird, dass in Namibia eine Firma namens Hyphen, ein Ableger der deutschen Firma Enertrag, eine grüner Wasserstoff-Anlage aufbauen will, für eine Investitionssumme von 10 Mrd. Euro. Sie sucht aber noch nach Investoren. Einen Vertrag mit der H2Global Stiftung kann sie noch nicht vorweisen. Nach Windhuk in Namibia kamen neulich mehr als 1000 Besucher zur ersten Afrikanischen Wasserstoffkonferenz, auch ranghohe Beamte aus Deutschland nahmen teil.</w:t>
            </w:r>
            <w:r w:rsidR="007E794F">
              <w:rPr>
                <w:rStyle w:val="Funotenzeichen"/>
              </w:rPr>
              <w:footnoteReference w:id="904"/>
            </w:r>
            <w:r>
              <w:t xml:space="preserve"> </w:t>
            </w:r>
            <w:r w:rsidR="00A25C61">
              <w:t>In Namibia wurde</w:t>
            </w:r>
            <w:r w:rsidR="001035C7">
              <w:t>, dies wurden schon oben erwähnt,</w:t>
            </w:r>
            <w:r w:rsidR="00A25C61">
              <w:t xml:space="preserve"> mit dem Projekt </w:t>
            </w:r>
            <w:proofErr w:type="spellStart"/>
            <w:r w:rsidR="00A25C61">
              <w:t>Oshivela</w:t>
            </w:r>
            <w:proofErr w:type="spellEnd"/>
            <w:r w:rsidR="00A25C61">
              <w:t xml:space="preserve"> (oder </w:t>
            </w:r>
            <w:proofErr w:type="spellStart"/>
            <w:r w:rsidR="00A25C61">
              <w:t>HyIron</w:t>
            </w:r>
            <w:proofErr w:type="spellEnd"/>
            <w:r w:rsidR="00A25C61">
              <w:t>) die erste CO2-freie Eisenproduktion in Afrika errichtet. Dort wird direkt reduziertes Eisenerz zu Eisen umgewandelt, mit einem 12 MW Elektroly</w:t>
            </w:r>
            <w:r w:rsidR="00D54C56">
              <w:t>s</w:t>
            </w:r>
            <w:r w:rsidR="00A25C61">
              <w:t>eur, der mit einer Solaranlage betrieben wird. Die Anlage produziert jährlich 15.000 Tonnen grünes Eisen. Es sind zwei Erweit</w:t>
            </w:r>
            <w:r w:rsidR="00D54C56">
              <w:t>er</w:t>
            </w:r>
            <w:r w:rsidR="00A25C61">
              <w:t>ungsphasen geplant. Dieses Projekt wurde mit deutscher Unterstützung umgesetzt und ist Teil der Nationalen Wasserstoffstrategie und unterstützt die Wasserstoff-Importstrategie.</w:t>
            </w:r>
            <w:r w:rsidR="00A25C61">
              <w:rPr>
                <w:rStyle w:val="Funotenzeichen"/>
              </w:rPr>
              <w:footnoteReference w:id="905"/>
            </w:r>
            <w:r w:rsidR="001035C7">
              <w:t xml:space="preserve"> </w:t>
            </w:r>
            <w:r>
              <w:t xml:space="preserve">In Angola soll ebenso ein solches Projekt entstehen, die Investitionsentscheidung fällt aber erst nächstes Jahr, u.a. ist der Projektentwickler </w:t>
            </w:r>
            <w:proofErr w:type="spellStart"/>
            <w:r>
              <w:t>Conjuncta</w:t>
            </w:r>
            <w:proofErr w:type="spellEnd"/>
            <w:r>
              <w:t xml:space="preserve"> aus Hamburg beteiligt.</w:t>
            </w:r>
            <w:r>
              <w:rPr>
                <w:rStyle w:val="Funotenzeichen"/>
              </w:rPr>
              <w:footnoteReference w:id="906"/>
            </w:r>
            <w:r>
              <w:t xml:space="preserve"> Sinnvoll wäre für solche Projekte eine chemische Industrie vor Ort, um Hafenanlagen zu haben und um die Umwandlung </w:t>
            </w:r>
            <w:r w:rsidR="0053503A">
              <w:t>von Wasserstoff zu</w:t>
            </w:r>
            <w:r>
              <w:t xml:space="preserve"> Ammoniak durchführen zu können</w:t>
            </w:r>
            <w:r w:rsidR="001035C7">
              <w:t>, denn nur so kann man Wasserstoff mit einfacher mit Schiffen transportieren</w:t>
            </w:r>
            <w:r>
              <w:t>.</w:t>
            </w:r>
          </w:p>
        </w:tc>
      </w:tr>
    </w:tbl>
    <w:p w14:paraId="0A716749" w14:textId="77777777" w:rsidR="007E794F" w:rsidRDefault="007E794F" w:rsidP="00112190"/>
    <w:tbl>
      <w:tblPr>
        <w:tblStyle w:val="Tabellenraster"/>
        <w:tblW w:w="0" w:type="auto"/>
        <w:tblLook w:val="04A0" w:firstRow="1" w:lastRow="0" w:firstColumn="1" w:lastColumn="0" w:noHBand="0" w:noVBand="1"/>
      </w:tblPr>
      <w:tblGrid>
        <w:gridCol w:w="9062"/>
      </w:tblGrid>
      <w:tr w:rsidR="00361474" w14:paraId="5303E23D" w14:textId="77777777" w:rsidTr="00361474">
        <w:tc>
          <w:tcPr>
            <w:tcW w:w="9062" w:type="dxa"/>
          </w:tcPr>
          <w:p w14:paraId="2C6D5772" w14:textId="77777777" w:rsidR="00361474" w:rsidRDefault="00361474" w:rsidP="00112190">
            <w:r w:rsidRPr="00361474">
              <w:t>Das Fraunhofer Institut in Kassel hat einen globalen Power-</w:t>
            </w:r>
            <w:proofErr w:type="spellStart"/>
            <w:r w:rsidRPr="00361474">
              <w:t>to</w:t>
            </w:r>
            <w:proofErr w:type="spellEnd"/>
            <w:r w:rsidRPr="00361474">
              <w:t xml:space="preserve">-X Atlas angelegt, </w:t>
            </w:r>
            <w:r>
              <w:t xml:space="preserve">in dem Länder einzeln analysiert wurden, </w:t>
            </w:r>
            <w:r w:rsidRPr="00361474">
              <w:t>um Importquellen</w:t>
            </w:r>
            <w:r>
              <w:t>, Kosten, Transportrouten, Sonnenstunden etc. abschätzen zu können.</w:t>
            </w:r>
            <w:r w:rsidR="00A70EB1">
              <w:rPr>
                <w:rStyle w:val="Funotenzeichen"/>
              </w:rPr>
              <w:footnoteReference w:id="907"/>
            </w:r>
            <w:r>
              <w:t xml:space="preserve"> Daten aus unterschiedlichen Datenbanken werden hier zusammen</w:t>
            </w:r>
            <w:r w:rsidR="00A70EB1">
              <w:t>ge</w:t>
            </w:r>
            <w:r>
              <w:t>fass</w:t>
            </w:r>
            <w:r w:rsidR="00A70EB1">
              <w:t>t</w:t>
            </w:r>
            <w:r>
              <w:t xml:space="preserve"> und grafisch dar</w:t>
            </w:r>
            <w:r w:rsidR="00A70EB1">
              <w:t>ge</w:t>
            </w:r>
            <w:r>
              <w:t>stell</w:t>
            </w:r>
            <w:r w:rsidR="00A70EB1">
              <w:t>t</w:t>
            </w:r>
            <w:r>
              <w:t>.</w:t>
            </w:r>
            <w:r w:rsidR="00A70EB1">
              <w:rPr>
                <w:rStyle w:val="Funotenzeichen"/>
              </w:rPr>
              <w:footnoteReference w:id="908"/>
            </w:r>
            <w:r w:rsidR="00A70EB1">
              <w:t xml:space="preserve"> Unübersichtlich.</w:t>
            </w:r>
            <w:r>
              <w:t xml:space="preserve"> </w:t>
            </w:r>
          </w:p>
          <w:p w14:paraId="6A6DB251" w14:textId="77777777" w:rsidR="001035C7" w:rsidRDefault="001035C7" w:rsidP="00112190"/>
          <w:p w14:paraId="2EB78F5E" w14:textId="7C8C834D" w:rsidR="001035C7" w:rsidRDefault="001035C7" w:rsidP="00112190">
            <w:r>
              <w:t xml:space="preserve">Auch das ausführliche und aufwendige </w:t>
            </w:r>
            <w:proofErr w:type="spellStart"/>
            <w:r>
              <w:t>Hypat</w:t>
            </w:r>
            <w:proofErr w:type="spellEnd"/>
            <w:r>
              <w:t xml:space="preserve">-Projekt bzw. der Globale H2-Potenzialatlas, zeigt weltweit Standorte für die ‚grüne Wasserstoffwirtschaft von morgen‘, siehe die </w:t>
            </w:r>
            <w:proofErr w:type="spellStart"/>
            <w:r>
              <w:t>Hypat</w:t>
            </w:r>
            <w:proofErr w:type="spellEnd"/>
            <w:r>
              <w:t>-Webseite.</w:t>
            </w:r>
            <w:r>
              <w:rPr>
                <w:rStyle w:val="Funotenzeichen"/>
              </w:rPr>
              <w:footnoteReference w:id="909"/>
            </w:r>
            <w:r>
              <w:t xml:space="preserve">  </w:t>
            </w:r>
          </w:p>
        </w:tc>
      </w:tr>
    </w:tbl>
    <w:p w14:paraId="2B92CB87" w14:textId="77777777" w:rsidR="00361474" w:rsidRDefault="00361474" w:rsidP="00112190"/>
    <w:p w14:paraId="38D8BDD0" w14:textId="313C1CE5" w:rsidR="00135230" w:rsidRDefault="00135230" w:rsidP="00135230">
      <w:r>
        <w:t>Siehe weitere Wasserstoffprojekte gleich den Punkt EU, u.a. muss die EU Generaldirektion Wettbewerb teils Subventionen in diesem Bereich genehmigen. Am 15.07.2024</w:t>
      </w:r>
      <w:r>
        <w:rPr>
          <w:rStyle w:val="Funotenzeichen"/>
        </w:rPr>
        <w:footnoteReference w:id="910"/>
      </w:r>
      <w:r>
        <w:t xml:space="preserve"> wurden die Förderbescheide für 23 deutschen Wasserstoffprojekte </w:t>
      </w:r>
      <w:r w:rsidR="00D54C56">
        <w:t>aus der EU</w:t>
      </w:r>
      <w:r>
        <w:t xml:space="preserve"> IPCEI HY2Infra</w:t>
      </w:r>
      <w:r w:rsidR="00D54C56">
        <w:t xml:space="preserve"> Projektpipeline</w:t>
      </w:r>
      <w:r>
        <w:t xml:space="preserve"> übergeben.</w:t>
      </w:r>
      <w:r>
        <w:rPr>
          <w:rStyle w:val="Funotenzeichen"/>
        </w:rPr>
        <w:footnoteReference w:id="911"/>
      </w:r>
    </w:p>
    <w:p w14:paraId="61814FA1" w14:textId="77777777" w:rsidR="00135230" w:rsidRDefault="00135230" w:rsidP="00112190"/>
    <w:p w14:paraId="4D2BF729" w14:textId="1EBF4A98" w:rsidR="00036F91" w:rsidRDefault="004D1A0D" w:rsidP="00036F91">
      <w:r>
        <w:lastRenderedPageBreak/>
        <w:t>Im Bereich Wasserstoff ist es auch wichtig, dass es in der EU weitergeht, siehe den Punkt EU, hier wurden am 21. Mai 2024 zwei noch fehlende Rechtsakte angenommen, die wichtig für Standardisierung und Zertifizierung sind, dies hatte Investoren verunsichert.</w:t>
      </w:r>
      <w:r w:rsidR="00036F91">
        <w:t xml:space="preserve"> Dies sind die beiden delegierten Richtlinien, die aus der Erneuerbare Energien Richtlinie 2018/2001</w:t>
      </w:r>
      <w:r w:rsidR="00036F91">
        <w:rPr>
          <w:rStyle w:val="Funotenzeichen"/>
        </w:rPr>
        <w:footnoteReference w:id="912"/>
      </w:r>
      <w:r w:rsidR="00036F91">
        <w:t xml:space="preserve"> abgeleitet werden, die Delegierte Verordnung (EU) 2023/1184 vom 10. Februar 2023 zur Festlegung einer Unionsmethode mit detaillierten Vorschriften für die Erzeugung flüssiger und gasförmiger erneuerbarer Kraftstoffe nicht biogenen Ursprungs für den Verkehr</w:t>
      </w:r>
      <w:r w:rsidR="00036F91">
        <w:rPr>
          <w:rStyle w:val="Funotenzeichen"/>
        </w:rPr>
        <w:footnoteReference w:id="913"/>
      </w:r>
      <w:r w:rsidR="00036F91">
        <w:t xml:space="preserve">; und die Delegierte Verordnung (EU) 2023/1185 vom 10. Februar 2023 zur Festlegung </w:t>
      </w:r>
      <w:r w:rsidR="0077456A">
        <w:t>eines</w:t>
      </w:r>
      <w:r w:rsidR="00036F91">
        <w:t xml:space="preserve"> Mindestschwel</w:t>
      </w:r>
      <w:r w:rsidR="0077456A">
        <w:t>lwertes</w:t>
      </w:r>
      <w:r w:rsidR="00036F91">
        <w:t xml:space="preserve"> und Methoden zur Ermittlung von Treibhauseinsparungen für nicht biogene Kraftstoffe.</w:t>
      </w:r>
      <w:r w:rsidR="00036F91">
        <w:rPr>
          <w:rStyle w:val="Funotenzeichen"/>
        </w:rPr>
        <w:footnoteReference w:id="914"/>
      </w:r>
    </w:p>
    <w:p w14:paraId="04F1D95A" w14:textId="77777777" w:rsidR="00036F91" w:rsidRDefault="00036F91" w:rsidP="00112190"/>
    <w:p w14:paraId="37931057" w14:textId="5C23FAAA" w:rsidR="00662B6F" w:rsidRDefault="00662B6F" w:rsidP="00112190">
      <w:r>
        <w:t xml:space="preserve">Am 28.05.2025 schreibt die FAZ ‚Reguliert die </w:t>
      </w:r>
      <w:proofErr w:type="gramStart"/>
      <w:r>
        <w:t>EU Wasserstoff</w:t>
      </w:r>
      <w:proofErr w:type="gramEnd"/>
      <w:r>
        <w:t xml:space="preserve"> zu Tode? offenbar über eine weitere, ähnlich</w:t>
      </w:r>
      <w:r w:rsidR="00AE05D4">
        <w:t>e</w:t>
      </w:r>
      <w:r>
        <w:t xml:space="preserve"> delegierte Verordnung</w:t>
      </w:r>
      <w:r w:rsidR="00AE05D4">
        <w:t xml:space="preserve"> (die ich nicht finden kann, die auch nicht näher genannt wird)</w:t>
      </w:r>
      <w:r>
        <w:t xml:space="preserve">, </w:t>
      </w:r>
      <w:r w:rsidR="00AE05D4">
        <w:t xml:space="preserve">bei der es darum geht, wann welche Brennstoffe als ‚kohlenstoffarme‘ angestuft werden dürfen. Gesammelt werden eine Reihe empörter Kommentare u.a. von Bundesverband der Energie- und Wasserwirtschaft (BDEW). Es geht in der delegierten Verordnung offenbar darum, dass </w:t>
      </w:r>
      <w:r>
        <w:t xml:space="preserve">türkiser Wasserstoff (durch Methanpyrolyse, bei der es aber </w:t>
      </w:r>
      <w:r w:rsidR="00AE05D4">
        <w:t>viel Methanemissionen bei der Erdgasförderung und dem Transport gibt) nicht als ‚kohlenstoffarm‘ gilt, aber auch bei blauem Wasserstoff gäbe es CO2-Emissionen, und es könnte sein, dass die Kommission mit ihrem Vorschlag blauen Wasserstoff ‚verhindert‘. Welche konkreten Folgen aus dieser Verordnung folgen, ob es nur um die Einstufung als ‚kohlenstoffarm‘ geht oder um mehr, wird im Artikel nicht beschreiben.</w:t>
      </w:r>
      <w:r w:rsidR="00AE05D4">
        <w:rPr>
          <w:rStyle w:val="Funotenzeichen"/>
        </w:rPr>
        <w:footnoteReference w:id="915"/>
      </w:r>
      <w:r w:rsidR="00AE05D4">
        <w:t xml:space="preserve">   </w:t>
      </w:r>
    </w:p>
    <w:p w14:paraId="71E35E0C" w14:textId="77777777" w:rsidR="00662B6F" w:rsidRDefault="00662B6F" w:rsidP="00112190"/>
    <w:p w14:paraId="3AC93E46" w14:textId="3055CB82" w:rsidR="004D1A0D" w:rsidRDefault="004D1A0D" w:rsidP="00112190">
      <w:r>
        <w:t>Diese Verspätung hat der Europäische Rechnungshof in seinem Sonderbericht 11/2024 kritisiert, dazu seien die Ziele bis 2030 zu hoch.</w:t>
      </w:r>
      <w:r>
        <w:rPr>
          <w:rStyle w:val="Funotenzeichen"/>
        </w:rPr>
        <w:footnoteReference w:id="916"/>
      </w:r>
      <w:r>
        <w:t xml:space="preserve"> Elektrolyseure </w:t>
      </w:r>
      <w:r w:rsidR="00EE0ACE">
        <w:t xml:space="preserve">können </w:t>
      </w:r>
      <w:r>
        <w:t xml:space="preserve">direkt an neu gebaute </w:t>
      </w:r>
      <w:r w:rsidR="00EE0ACE">
        <w:t>Solar- oder Windparks angeschlossen</w:t>
      </w:r>
      <w:r>
        <w:t xml:space="preserve"> werden</w:t>
      </w:r>
      <w:r w:rsidR="0030146D">
        <w:t xml:space="preserve">, </w:t>
      </w:r>
      <w:r w:rsidR="00EE0ACE">
        <w:t>als</w:t>
      </w:r>
      <w:r w:rsidR="0030146D">
        <w:t xml:space="preserve"> zusätzliche Bedingung wird aber </w:t>
      </w:r>
      <w:r w:rsidR="00EE0ACE">
        <w:t xml:space="preserve">eingeführt, dass diese Anlagen neu sein sollen, damit nicht alte Anlagen nur noch zur Herstellung von Wasserstoff benutzt werden. Ab dem 01.01.2028 wird </w:t>
      </w:r>
      <w:proofErr w:type="gramStart"/>
      <w:r w:rsidR="00EE0ACE">
        <w:t>die Erfordernis</w:t>
      </w:r>
      <w:proofErr w:type="gramEnd"/>
      <w:r w:rsidR="00EE0ACE">
        <w:t xml:space="preserve"> eingeführt, dass die Anlagen höchstens 3 Jahre vorher in Betrieb gegangen sein müssen, aber nicht früher, dies gilt auch bei Strombezugsverträgen. Dies wird teils kritisiert, da die </w:t>
      </w:r>
      <w:r w:rsidR="00B1342C">
        <w:t xml:space="preserve">Erbauer von Elektrolyseuren Schwierigkeiten </w:t>
      </w:r>
      <w:r w:rsidR="00EE0ACE">
        <w:t xml:space="preserve">haben </w:t>
      </w:r>
      <w:r w:rsidR="00B1342C">
        <w:t xml:space="preserve">an Strom aus erneuerbaren Energien zu kommen, siehe den Bericht des </w:t>
      </w:r>
      <w:r w:rsidR="00EE0ACE">
        <w:t>EU-</w:t>
      </w:r>
      <w:r w:rsidR="00B1342C">
        <w:t>Rechnungshofes</w:t>
      </w:r>
      <w:r>
        <w:t>.</w:t>
      </w:r>
      <w:r>
        <w:rPr>
          <w:rStyle w:val="Funotenzeichen"/>
        </w:rPr>
        <w:footnoteReference w:id="917"/>
      </w:r>
      <w:r>
        <w:t xml:space="preserve"> </w:t>
      </w:r>
      <w:r w:rsidR="00AA60C0">
        <w:t xml:space="preserve">Die folgenden deutschen Elektrolyseur Projekten sollen bis 2027 betriebsbereit sein: Thyssen Nucera Duisburg 500 MW, EWE Emden 280 MW, EWE Bremen 50 MW und Friesen Elektra 400 MW. Sie dürften also problemlos von den bereits gebauten Windparks Strom beziehen können. </w:t>
      </w:r>
    </w:p>
    <w:p w14:paraId="3D0AA764" w14:textId="77777777" w:rsidR="004D1A0D" w:rsidRDefault="004D1A0D" w:rsidP="00112190"/>
    <w:p w14:paraId="7E1D6B26" w14:textId="059F9447" w:rsidR="00112190" w:rsidRDefault="00112190" w:rsidP="00112190">
      <w:r>
        <w:t>Weiterhin gibt es</w:t>
      </w:r>
      <w:r w:rsidR="00B1342C">
        <w:t xml:space="preserve"> in Deutschland</w:t>
      </w:r>
      <w:r>
        <w:t xml:space="preserve"> noch das </w:t>
      </w:r>
      <w:r w:rsidRPr="00290441">
        <w:rPr>
          <w:u w:val="single"/>
        </w:rPr>
        <w:t>Gebäudeenergiegesetz (GEG)</w:t>
      </w:r>
      <w:r>
        <w:t>, aus dem Jahr 2020, in der Novelle von 2023.</w:t>
      </w:r>
      <w:r>
        <w:rPr>
          <w:rStyle w:val="Funotenzeichen"/>
        </w:rPr>
        <w:footnoteReference w:id="918"/>
      </w:r>
      <w:r>
        <w:t xml:space="preserve"> Das Gebäudeenergiegesetz 2023 enthält etwas, das wiederum einen eigenen </w:t>
      </w:r>
      <w:r>
        <w:lastRenderedPageBreak/>
        <w:t xml:space="preserve">Namen hat, </w:t>
      </w:r>
      <w:r w:rsidRPr="00290441">
        <w:rPr>
          <w:u w:val="single"/>
        </w:rPr>
        <w:t>Kommunale Wärmeplanung</w:t>
      </w:r>
      <w:r>
        <w:t>,</w:t>
      </w:r>
      <w:r>
        <w:rPr>
          <w:rStyle w:val="Funotenzeichen"/>
        </w:rPr>
        <w:footnoteReference w:id="919"/>
      </w:r>
      <w:r>
        <w:t xml:space="preserve"> hierbei sind die Kommunen aufgefordert, zu prüfen, ob es Möglichkeiten gibt, für Hauseigentümer Wärme aus Kraftwerken, Rechenzentren, Müllverbrennung, Fabriken, zu nutzen, um dies als Nah- und Fernwärme zu den Häusern zu bringen. Wenn es perspektivisch bis 2028 herausgefunden wurde, dass man ein solches Netz ausbauen kann, dann muss der Verbraucher gar nichts tun und kann seine Heizung weiter behalten, bis er dann später einmal an dieses Netz angeschlossen wird (er muss dem zustimmen).  Gehofft wird, dass auf diese Weise 30 % der Häuser mit Nah- und Fernwärme versorge werden kann. Alle anderen, ca. 70 % der Haushalte, haben erst 2028 die Pflicht ihr Heizungssystem umzustellen. Dazu gibt es folgende Möglichkeiten: Pellet-Heizung, Wärmepumpe und, seltener, die Kraft-Wärme-Kopplung: Blockheizkraftwerke (mit Öl und Erdgas) und die Brennstoffzelle, die auch Strom und Wärme produziert. Eng mit dem Gebäudeenergiegesetz verbunden ist ein neues Gesetz mit Details zur Kommunalen Wärmeplanung, es wurde am 17.11.2023 als Wärmeplanungsgesetz beschlossen.</w:t>
      </w:r>
      <w:r w:rsidR="006F17FE">
        <w:t xml:space="preserve"> Es besagt, dass Großstädte (mit mehr als 100.000 Einwohner) bis zum 30. Juni 2026 eine Wärmeplanung vorlegen müssen, Gemeinden (mit weniger als 100.000 Einwohner) haben bis zum 30. Juni 2028 Zeit. Das Gebäudeenergiegesetz ist, siehe oben, en</w:t>
      </w:r>
      <w:r w:rsidR="00361C32">
        <w:t>g</w:t>
      </w:r>
      <w:r w:rsidR="006F17FE">
        <w:t xml:space="preserve"> mit der Wärmeplanung verbunden, </w:t>
      </w:r>
      <w:r w:rsidR="00361C32">
        <w:t>die Vorgaben des Gebäudeenergiegesetzes gelten erst, wenn eine kommunale Wärmeplanung vorliegt. Der Bund unterstütz die Wärmeplanung mit 500 Mill. Euro.</w:t>
      </w:r>
      <w:r>
        <w:rPr>
          <w:rStyle w:val="Funotenzeichen"/>
        </w:rPr>
        <w:footnoteReference w:id="920"/>
      </w:r>
      <w:r w:rsidR="00361C32">
        <w:t xml:space="preserve"> Die Kommunen haben begonnen, Wärmepläne</w:t>
      </w:r>
      <w:r w:rsidR="00A769B6">
        <w:t xml:space="preserve"> zu schreiben und</w:t>
      </w:r>
      <w:r w:rsidR="00361C32">
        <w:t xml:space="preserve"> vorzulegen</w:t>
      </w:r>
      <w:r w:rsidR="00A769B6">
        <w:t>, siehe diesen ausführlichen FAZ-Artikel</w:t>
      </w:r>
      <w:r w:rsidR="00361C32">
        <w:t>.</w:t>
      </w:r>
      <w:r w:rsidR="00A769B6">
        <w:rPr>
          <w:rStyle w:val="Funotenzeichen"/>
        </w:rPr>
        <w:footnoteReference w:id="921"/>
      </w:r>
      <w:r w:rsidR="00361C32">
        <w:t xml:space="preserve"> Viele sind aber noch wenig konkret, es wird teils auf die Wahl nächstes Jahr gewartet. In einzelnen Städten gibt es Vorreiter, etwa beim Mannheimer Energieversorger MVV, der </w:t>
      </w:r>
      <w:r w:rsidR="00A769B6">
        <w:t>mit Geothermie, Flusswärmepumpen, industrieller Abwärme, Altholzverbrennung und Nutzung von Wärme aus der Abfallverbrennung bis 2030 nicht mehr auf das Steinkohlekraftwerk Großkraftwerk Mannheim GKM angewiesen sein wird.</w:t>
      </w:r>
      <w:r w:rsidR="00A769B6">
        <w:rPr>
          <w:rStyle w:val="Funotenzeichen"/>
        </w:rPr>
        <w:footnoteReference w:id="922"/>
      </w:r>
      <w:r w:rsidR="00361C32">
        <w:t xml:space="preserve"> </w:t>
      </w:r>
    </w:p>
    <w:p w14:paraId="49A4883D" w14:textId="77777777" w:rsidR="00112190" w:rsidRDefault="00112190" w:rsidP="00112190"/>
    <w:p w14:paraId="217A5051" w14:textId="7737A50A" w:rsidR="00A40272" w:rsidRDefault="00A40272" w:rsidP="00112190">
      <w:r>
        <w:t xml:space="preserve">Das Ziel von 500.000 Wärmepumpen 2024 kann nicht mehr erreicht werden, aber die KfW Bank hat schon 34.000 Anträge auf Förderung seit Februar 2024 bewilligt, 2/3 für Wärmepumpe, 22 % Biomasseheizungen. Die sog. Bundesförderung für effiziente Gebäude ist mit 500 Mill. Euro ausgestattet. Gefördert werden 30 % der Anschaffungskosten, 20 % für selbstnutzende Eigentümer, bei mehr als 20 Jahre alten Öl- und Gasheizungen, die ausgetauscht werden. Wer weniger als 40.000 Euro Jahreseinkommen hat, bekommt 30 % Extraförderung. Für Wärmepumpen, die ein natürliches Kältemittel nutzen gab es 5 % Bonus. ¼ der Antragsteller bekamen die 30 % Extraförderung (30 + </w:t>
      </w:r>
      <w:r w:rsidR="00EC22BF">
        <w:t>20 + 30 + 5 = 85 % der Kosten werden im besten Fall gefördert)</w:t>
      </w:r>
      <w:r>
        <w:t xml:space="preserve">. </w:t>
      </w:r>
      <w:r w:rsidR="00EC22BF">
        <w:t xml:space="preserve">Ab Ende August sind alle weiteren Personengruppen mit Förderung dran, auch private Eigentümer von Mehrfamilienhäusern, Kommunen und Unternehmer. Es gibt weiterhin Ergänzungskredite der KfW, günstig für Personen unter 90.000 Jahreseinkommen. Die Bafa gibt Investitionszuschüsse für eine energetische Sanierung, etwa die Dämmung von Fassade oder der Austausch von Fenstern und Türen, Einbau von Lüftungsanlagen oder Regelungstechnik, gefördert werden 15 %. Zuschüsse für </w:t>
      </w:r>
      <w:proofErr w:type="gramStart"/>
      <w:r w:rsidR="00EC22BF">
        <w:t>PV Anlagen</w:t>
      </w:r>
      <w:proofErr w:type="gramEnd"/>
      <w:r w:rsidR="00EC22BF">
        <w:t xml:space="preserve"> gibt es in Berlin und weiteren Städten, etwa Bonn, Köln, Düsseldorf, Braunschweig, Darmstadt, Erlangen, Essen, Frankfurt, Freiburg, Fürth, Hannover, Heidelberg.</w:t>
      </w:r>
      <w:r w:rsidR="00EC22BF">
        <w:rPr>
          <w:rStyle w:val="Funotenzeichen"/>
        </w:rPr>
        <w:footnoteReference w:id="923"/>
      </w:r>
      <w:r w:rsidR="00EC22BF">
        <w:t xml:space="preserve"> </w:t>
      </w:r>
    </w:p>
    <w:p w14:paraId="6CD7D222" w14:textId="77777777" w:rsidR="00A40272" w:rsidRDefault="00A40272" w:rsidP="00112190"/>
    <w:p w14:paraId="480B7AAE" w14:textId="076191EE" w:rsidR="00112190" w:rsidRDefault="00112190" w:rsidP="00112190">
      <w:r>
        <w:t xml:space="preserve">Derzeit sind 6 % der Wohngebäude und 15 % der Wohnungen mit Fernwärme beheizt. Es gibt eine in der Wärmelieferverordnung zusammen mit §556c des BGB, dass Mieter bei der Umstellung auf Fernwärme Wärme mit verbesserter Effizienz geliefert bekommen, und dass aber die Kosten die bisherigen Betriebskosten nicht übersteigen sollen. Bei den derzeit wieder sinkenden Gaspreisen führt letzteres Kriterium zu einem Problem. Die Fernwärmepreise liegen z.B. bei 27 Cent/kWh im Fernwärme Stadtnetz Köln und 12 Cent in Halle/Saale. Bei 20.000 kWh Jahresverbrauch liegt die billigste Fernwärme bei 2400 Euro, aktuell liegt Gas bei 2100 Euro. Diskutiert wird deshalb von Wohnungsbauverbänden darüber, ob die Anforderung der Kostenneutralität für Mieter aufgegeben werden kann, damit man den Fernwärmeausbau vorantreiben kann. Der Mieterbund fordert dagegen </w:t>
      </w:r>
      <w:r w:rsidRPr="00220F9E">
        <w:t xml:space="preserve">eine strengere Preisregulierung </w:t>
      </w:r>
      <w:r>
        <w:t xml:space="preserve">der Fernwärme </w:t>
      </w:r>
      <w:r w:rsidRPr="00220F9E">
        <w:t xml:space="preserve">durch </w:t>
      </w:r>
      <w:r>
        <w:t xml:space="preserve">das </w:t>
      </w:r>
      <w:r w:rsidRPr="00220F9E">
        <w:t>Bundeskartellamt oder Bundesnetzagentur</w:t>
      </w:r>
      <w:r>
        <w:t>, um die Mieter vor plötzlichen Kostensteigerungen zu schützen.</w:t>
      </w:r>
      <w:r>
        <w:rPr>
          <w:rStyle w:val="Funotenzeichen"/>
        </w:rPr>
        <w:footnoteReference w:id="924"/>
      </w:r>
      <w:r w:rsidR="00290441">
        <w:t xml:space="preserve"> Mit einer Reform der Fernwärmeverordnung (</w:t>
      </w:r>
      <w:proofErr w:type="spellStart"/>
      <w:r w:rsidR="00290441">
        <w:t>AVBFernwärmeV</w:t>
      </w:r>
      <w:proofErr w:type="spellEnd"/>
      <w:r w:rsidR="00290441">
        <w:t>) werden nun Änderungen versucht: die Fernwärmebetreiber sollen detailliert ihre Preisfindung zeigen, sie dürfen ihre Kosten nur noch anhand der wirklich genutzten Energieträger berechnen und nicht mehr als Preisindices.</w:t>
      </w:r>
      <w:r w:rsidR="00290441">
        <w:rPr>
          <w:rStyle w:val="Funotenzeichen"/>
        </w:rPr>
        <w:footnoteReference w:id="925"/>
      </w:r>
      <w:r w:rsidR="00290441">
        <w:t xml:space="preserve"> </w:t>
      </w:r>
    </w:p>
    <w:p w14:paraId="7B6E3BF9" w14:textId="77777777" w:rsidR="00112190" w:rsidRDefault="00112190" w:rsidP="00112190"/>
    <w:p w14:paraId="465CB1A3" w14:textId="2C006806" w:rsidR="00112190" w:rsidRDefault="00112190" w:rsidP="00112190">
      <w:r>
        <w:t>Zum Thema Stadtwerke und dem Umstellung der Wärmeversorgung, hier sind auch Großwärmepumpen und Tiefengeothermie im Gespräch, sind diverse Artikel erschienen, es wird z.B. gefordert, dass die Kommunen mehr Steuer brauchen, aber die Schuldenbremse auch für sie gälte</w:t>
      </w:r>
      <w:r>
        <w:rPr>
          <w:rStyle w:val="Funotenzeichen"/>
        </w:rPr>
        <w:footnoteReference w:id="926"/>
      </w:r>
      <w:r>
        <w:t>, oder siehe hier.</w:t>
      </w:r>
      <w:r>
        <w:rPr>
          <w:rStyle w:val="Funotenzeichen"/>
        </w:rPr>
        <w:footnoteReference w:id="927"/>
      </w:r>
      <w:r w:rsidR="002A7A8A">
        <w:t xml:space="preserve"> </w:t>
      </w:r>
      <w:r w:rsidR="00566656">
        <w:t xml:space="preserve">Die </w:t>
      </w:r>
      <w:r w:rsidR="00D07ADF">
        <w:t xml:space="preserve">Genehmigung von </w:t>
      </w:r>
      <w:proofErr w:type="spellStart"/>
      <w:r w:rsidR="00D07ADF">
        <w:t>Geothermieprojekten</w:t>
      </w:r>
      <w:proofErr w:type="spellEnd"/>
      <w:r w:rsidR="00D07ADF">
        <w:t xml:space="preserve"> </w:t>
      </w:r>
      <w:r w:rsidR="00566656">
        <w:t xml:space="preserve">soll, siehe oben schon, durch ein neues Gesetz </w:t>
      </w:r>
      <w:r w:rsidR="00D07ADF">
        <w:t>beschleunig</w:t>
      </w:r>
      <w:r w:rsidR="00566656">
        <w:t>t werden u.a. in dem die Genehmigung zum ‚überragenden öffentlichen Interesse‘ erklärt wird.</w:t>
      </w:r>
      <w:r w:rsidR="00566656">
        <w:rPr>
          <w:rStyle w:val="Funotenzeichen"/>
        </w:rPr>
        <w:footnoteReference w:id="928"/>
      </w:r>
      <w:r w:rsidR="002B70B5">
        <w:t xml:space="preserve"> In Frankfurt wird in Hilgenberg von der städtischen Wohnungsbaugesellschaft ABG Holding ein Erdwärme Stadtteil gebaut, mit Erdwärme für 860 Wohnungen, es ist ein Pilotprojekt für den Energieversorger Mainova.</w:t>
      </w:r>
      <w:r w:rsidR="002B70B5">
        <w:rPr>
          <w:rStyle w:val="Funotenzeichen"/>
        </w:rPr>
        <w:footnoteReference w:id="929"/>
      </w:r>
      <w:r w:rsidR="002B70B5">
        <w:t xml:space="preserve"> </w:t>
      </w:r>
    </w:p>
    <w:p w14:paraId="6D99EBE7" w14:textId="77777777" w:rsidR="002A7A8A" w:rsidRDefault="002A7A8A" w:rsidP="00112190"/>
    <w:tbl>
      <w:tblPr>
        <w:tblStyle w:val="Tabellenraster"/>
        <w:tblW w:w="0" w:type="auto"/>
        <w:tblLook w:val="04A0" w:firstRow="1" w:lastRow="0" w:firstColumn="1" w:lastColumn="0" w:noHBand="0" w:noVBand="1"/>
      </w:tblPr>
      <w:tblGrid>
        <w:gridCol w:w="9062"/>
      </w:tblGrid>
      <w:tr w:rsidR="00112190" w:rsidRPr="00105B70" w14:paraId="3F57EF13" w14:textId="77777777" w:rsidTr="006B301B">
        <w:tc>
          <w:tcPr>
            <w:tcW w:w="9062" w:type="dxa"/>
          </w:tcPr>
          <w:p w14:paraId="6D17A669" w14:textId="77777777" w:rsidR="00112190" w:rsidRPr="00105B70" w:rsidRDefault="00112190" w:rsidP="006B301B">
            <w:r>
              <w:t>Beispiel Rostock ‚Thermoskanne mit Tauchsieder‘:</w:t>
            </w:r>
            <w:r w:rsidRPr="00105B70">
              <w:t xml:space="preserve"> </w:t>
            </w:r>
            <w:r>
              <w:t>Beispiel kommunale Wärmeplanung und Fernwärme. I</w:t>
            </w:r>
            <w:r w:rsidRPr="00105B70">
              <w:t>n Rostock werde</w:t>
            </w:r>
            <w:r>
              <w:t>n zwei Drittel aller Haushalt mit Fernwärme aus dem Wärme Kraftwerk in Marienehe versorgt. Ebenso werden Haushalte in Bad Doberan, Kühlungsborn und Graal Müritz damit versorgt.</w:t>
            </w:r>
            <w:r>
              <w:rPr>
                <w:rStyle w:val="Funotenzeichen"/>
              </w:rPr>
              <w:footnoteReference w:id="930"/>
            </w:r>
            <w:r>
              <w:t xml:space="preserve"> Erst am 06.09.2023 wurde in Rostock eine Power-</w:t>
            </w:r>
            <w:proofErr w:type="spellStart"/>
            <w:r>
              <w:t>to</w:t>
            </w:r>
            <w:proofErr w:type="spellEnd"/>
            <w:r>
              <w:t xml:space="preserve">-Heat Anlage eingerichtet, </w:t>
            </w:r>
            <w:proofErr w:type="gramStart"/>
            <w:r>
              <w:t>ein große Thermoskanne</w:t>
            </w:r>
            <w:proofErr w:type="gramEnd"/>
            <w:r>
              <w:t xml:space="preserve"> mit Tauchsieder, der Windstrom nutzt, der manchmal nicht gebraucht wird, sodass die Windräder nicht mehr abgeschaltet werden müssen. Ebenso ist eine Abwasser Wärmepumpe in Planung. Der Tauchsieder erreicht eine Leistung von 20 MW, 45 Millionen Liter Wasser werden auf 98 Grad erhitzt, in einem 55 Meter hohen Wasserspeicher.</w:t>
            </w:r>
            <w:r>
              <w:rPr>
                <w:rStyle w:val="Funotenzeichen"/>
              </w:rPr>
              <w:footnoteReference w:id="931"/>
            </w:r>
            <w:r>
              <w:t xml:space="preserve"> Zuvor hatte Rostock einen kommunalen Wärmeplan verabschiedet, der vorsieht, dass 80 % der Rostocker Haushalte mit Fernwärme versorgt werden.</w:t>
            </w:r>
            <w:r>
              <w:rPr>
                <w:rStyle w:val="Funotenzeichen"/>
              </w:rPr>
              <w:footnoteReference w:id="932"/>
            </w:r>
            <w:r>
              <w:t xml:space="preserve"> Auch das Steinkohlekraftwerk Rostock speist Fernwärme in das Netz ein, aber nur dann, wenn es läuft, sonst müssen die Stadtwerke Rostock dies alleine schaffen. Das Kraftwerk ist als Mittel- und Spitzenlastkraftwerk konzipiert und </w:t>
            </w:r>
            <w:r>
              <w:lastRenderedPageBreak/>
              <w:t>läuft dann an, wenn es Strombedarf gibt, es soll bis 2030 stillgelegt werden.</w:t>
            </w:r>
            <w:r>
              <w:rPr>
                <w:rStyle w:val="Funotenzeichen"/>
              </w:rPr>
              <w:footnoteReference w:id="933"/>
            </w:r>
            <w:r>
              <w:t xml:space="preserve"> Es ist immer wieder über mehrere Tage abgeschaltet, siehe dazu die SMARD Datenbank.</w:t>
            </w:r>
            <w:r>
              <w:rPr>
                <w:rStyle w:val="Funotenzeichen"/>
              </w:rPr>
              <w:footnoteReference w:id="934"/>
            </w:r>
            <w:r>
              <w:t xml:space="preserve"> </w:t>
            </w:r>
          </w:p>
        </w:tc>
      </w:tr>
    </w:tbl>
    <w:p w14:paraId="2B7B7928" w14:textId="77777777" w:rsidR="00112190" w:rsidRDefault="00112190" w:rsidP="00112190"/>
    <w:tbl>
      <w:tblPr>
        <w:tblStyle w:val="Tabellenraster"/>
        <w:tblW w:w="0" w:type="auto"/>
        <w:tblLook w:val="04A0" w:firstRow="1" w:lastRow="0" w:firstColumn="1" w:lastColumn="0" w:noHBand="0" w:noVBand="1"/>
      </w:tblPr>
      <w:tblGrid>
        <w:gridCol w:w="9062"/>
      </w:tblGrid>
      <w:tr w:rsidR="00B32F05" w14:paraId="22532E8A" w14:textId="77777777" w:rsidTr="00B32F05">
        <w:tc>
          <w:tcPr>
            <w:tcW w:w="9062" w:type="dxa"/>
          </w:tcPr>
          <w:p w14:paraId="6219CE40" w14:textId="28A4EF9C" w:rsidR="00B32F05" w:rsidRDefault="00B32F05" w:rsidP="00112190">
            <w:r>
              <w:t xml:space="preserve">Beispiel Köln Flusswasser Wärmepumpe. Der Energieversorger Rheinenergie möchte in Köln-Niehl am Standort eines Erdgas-Heizkraftwerks eine Flusswasser-Wärmepumpe mit der Leistung von 150 Megawatt bauen, um 50.000 Kölner Innenstadthaushalte mit Fernwärme zu versorgen. Die Kosten sind auf 200 Millionen Euro kalkuliert, es sind 100 Millionen Euro staatliche Fördermittel bewilligt. Die Genehmigung ist ein komplexes Verfahren. Es wird auch geprüft, was die Einleitung </w:t>
            </w:r>
            <w:proofErr w:type="gramStart"/>
            <w:r>
              <w:t>von kalten Wasser</w:t>
            </w:r>
            <w:proofErr w:type="gramEnd"/>
            <w:r>
              <w:t xml:space="preserve"> mit Flora und Fauna macht. Sie wird voraussichtlich 2025 erteilt. Man muss beachten, dass die Wärmepumpe nur dann klimaneutral ist, wenn auch der Strom für den Betrieb aus erneuerbarer Energie stammt.</w:t>
            </w:r>
            <w:r>
              <w:rPr>
                <w:rStyle w:val="Funotenzeichen"/>
              </w:rPr>
              <w:footnoteReference w:id="935"/>
            </w:r>
            <w:r>
              <w:t xml:space="preserve"> In Deutschland gibt es noch nicht viele solcher Projekte, eine Studie von Agora Energiewende hätte das Ergebnis gehabt, dass es erst 60 MW solcher Wärmepumpen gibt.</w:t>
            </w:r>
            <w:r>
              <w:rPr>
                <w:rStyle w:val="Funotenzeichen"/>
              </w:rPr>
              <w:t xml:space="preserve"> </w:t>
            </w:r>
            <w:r>
              <w:rPr>
                <w:rStyle w:val="Funotenzeichen"/>
              </w:rPr>
              <w:footnoteReference w:id="936"/>
            </w:r>
            <w:r>
              <w:t xml:space="preserve"> </w:t>
            </w:r>
            <w:r w:rsidR="00361C32">
              <w:t>In Mannheim arbeitet beim Mannheimer Energieversorger MVV seit Oktober 2024 eine 20 MW Flusswärmepumpe, die 3500 Haushalt mit Wärme versorgt, eine weitere Flusswärmepumpe mit ca. 100 MW ist in Planung.</w:t>
            </w:r>
            <w:r w:rsidR="00A769B6">
              <w:t xml:space="preserve"> Es sind Subventionen nötig.</w:t>
            </w:r>
            <w:r w:rsidR="00A769B6">
              <w:rPr>
                <w:rStyle w:val="Funotenzeichen"/>
              </w:rPr>
              <w:t xml:space="preserve"> </w:t>
            </w:r>
            <w:r w:rsidR="00A769B6">
              <w:rPr>
                <w:rStyle w:val="Funotenzeichen"/>
              </w:rPr>
              <w:footnoteReference w:id="937"/>
            </w:r>
            <w:r w:rsidR="00A769B6">
              <w:t xml:space="preserve"> </w:t>
            </w:r>
          </w:p>
          <w:p w14:paraId="555359D5" w14:textId="77777777" w:rsidR="00BE75A2" w:rsidRDefault="00BE75A2" w:rsidP="00112190"/>
          <w:p w14:paraId="56660178" w14:textId="38D9AC53" w:rsidR="00BE75A2" w:rsidRDefault="00BE75A2" w:rsidP="00112190">
            <w:r>
              <w:t>Die Meerwasser Wärmepumpe von Esbjerg ist aus dem Fernsehen bekannt, siehe schon Teil 2. MAN Energy Solutions</w:t>
            </w:r>
            <w:r>
              <w:rPr>
                <w:rStyle w:val="Funotenzeichen"/>
              </w:rPr>
              <w:footnoteReference w:id="938"/>
            </w:r>
            <w:r>
              <w:t xml:space="preserve"> hat im dänischen Esbjerg </w:t>
            </w:r>
            <w:proofErr w:type="gramStart"/>
            <w:r>
              <w:t>eine riesigen Wärmepumpe</w:t>
            </w:r>
            <w:proofErr w:type="gramEnd"/>
            <w:r>
              <w:t xml:space="preserve"> gebaut, die mit Nordseewasser zwischen 1 und 15 Grad läuft. Die beiden Kompressoren liefern zusammen 60 Megawatt Heizenergie und beliefern 25.000 Haushalte mit 100.000 Menschen. Problem: Sie braucht grünen Strom, deshalb wird in der Nähe dort eine Windkraftanlage gebaut. Im dänischen Aalborg soll eine weitere, </w:t>
            </w:r>
            <w:proofErr w:type="gramStart"/>
            <w:r>
              <w:t>zweieinhalb mal</w:t>
            </w:r>
            <w:proofErr w:type="gramEnd"/>
            <w:r>
              <w:t xml:space="preserve"> so große Anlage gebaut werden, d.h. dann mit 150 Megawatt Heizenergie und Heizenergie für 250.000 Menschen.</w:t>
            </w:r>
            <w:r>
              <w:rPr>
                <w:rStyle w:val="Funotenzeichen"/>
              </w:rPr>
              <w:footnoteReference w:id="939"/>
            </w:r>
          </w:p>
        </w:tc>
      </w:tr>
    </w:tbl>
    <w:p w14:paraId="20BADAF3" w14:textId="77777777" w:rsidR="00BE75A2" w:rsidRDefault="00BE75A2" w:rsidP="00112190"/>
    <w:p w14:paraId="3AE3B16C" w14:textId="6DCC8E70" w:rsidR="00112190" w:rsidRDefault="00112190" w:rsidP="00112190">
      <w:r>
        <w:t xml:space="preserve">Schließlich ist am 18. November 2023 das </w:t>
      </w:r>
      <w:r w:rsidRPr="000D3C43">
        <w:rPr>
          <w:u w:val="single"/>
        </w:rPr>
        <w:t>Energieeffizienzgesetz</w:t>
      </w:r>
      <w:r>
        <w:t xml:space="preserve"> (Gesetz zur Steigerung der Energieeffizienz und zur Änderung des Energiedienstleistungsgesetzes, </w:t>
      </w:r>
      <w:proofErr w:type="spellStart"/>
      <w:r>
        <w:t>EnEfG</w:t>
      </w:r>
      <w:proofErr w:type="spellEnd"/>
      <w:r>
        <w:t>) in Kraft getreten, dass Behörden, Rechenzentren und energieintensive Unternehmen verpflichtet, mehr Energie zu sparen. Bis 2030 sollen Bund- und Länder den Stromverbrauch um 50 TWh Strom verringern. Bis 2045 soll der Endenergieverbrauch in Deutschland um 45 % im Vergleich zu 2008 sinken, diese Anforderung seit auch im deutschen Klimaschutzgesetz enthalten. Mit dem Energieeffizienzgesetz werden auch Anforderungen der EU-Energieeffizienzrichtlinie (</w:t>
      </w:r>
      <w:r w:rsidR="001B718E">
        <w:t>RED III</w:t>
      </w:r>
      <w:r>
        <w:t>) umgesetzt.</w:t>
      </w:r>
      <w:r>
        <w:rPr>
          <w:rStyle w:val="Funotenzeichen"/>
        </w:rPr>
        <w:footnoteReference w:id="940"/>
      </w:r>
      <w:r>
        <w:t xml:space="preserve"> </w:t>
      </w:r>
    </w:p>
    <w:p w14:paraId="4C1A576C" w14:textId="77777777" w:rsidR="00112190" w:rsidRDefault="00112190" w:rsidP="00112190"/>
    <w:p w14:paraId="2998A63F" w14:textId="115FC03D" w:rsidR="00112190" w:rsidRDefault="00112190" w:rsidP="00112190">
      <w:r>
        <w:lastRenderedPageBreak/>
        <w:t>Der Energie- und Klimafond (EKFG) ist ein Sondervermögen, das am 1. Januar 2011 errichtet wurde</w:t>
      </w:r>
      <w:r>
        <w:rPr>
          <w:rStyle w:val="Funotenzeichen"/>
        </w:rPr>
        <w:footnoteReference w:id="941"/>
      </w:r>
      <w:r>
        <w:t>, er hat Einnahmen aus dem CO2-Zertifikatehandel. Da diese Einnahmen gering waren, wurden bis 2018 aus dem Haushalt Mittel bereitgestellt, es stehen 1,7 Mrd. zur Verfügung für die Bereiche Klimaschutz, Energieeffizienz, Mobilität, erneuerbare Energien, außerdem können Ausgleichszahlungen an stromintensive Unternehmen vorgenommen werden.</w:t>
      </w:r>
      <w:r>
        <w:rPr>
          <w:rStyle w:val="Funotenzeichen"/>
        </w:rPr>
        <w:footnoteReference w:id="942"/>
      </w:r>
      <w:r>
        <w:t xml:space="preserve"> Der EKFG ist offenbar identisch mit dem KTF: Der </w:t>
      </w:r>
      <w:r w:rsidRPr="000D3C43">
        <w:rPr>
          <w:u w:val="single"/>
        </w:rPr>
        <w:t>Klima- und Transformationsfund (KTF)</w:t>
      </w:r>
      <w:r>
        <w:t xml:space="preserve"> ist ein Sondervermögen, es sollte von 2024 bis 2027 211,8 Mrd. Euro für die Transformation zur Verfügung stellen. Der KTF hat eigene Einnahmen, aus der nationalen und EU-CO2 Bepreisung durch den Emissionshandel, aber wohl auch eine Rücklage von 70,7 Mrd. Euro, die aus der Coronazeit stammt.</w:t>
      </w:r>
      <w:r>
        <w:rPr>
          <w:rStyle w:val="Funotenzeichen"/>
        </w:rPr>
        <w:footnoteReference w:id="943"/>
      </w:r>
      <w:r>
        <w:t xml:space="preserve"> Der KTF soll die EEG-Förderung bezahlen, die seit dem 1. Juli 2022 vom Bund, und nicht mehr von den Haushalten bezahlt wird (12,6 Mrd.), In die Ladeinfrastruktur sollten 4,7 Mrd. fließen, 4 Mrd. in die Eisenbahninfrastruktur, 4 Mrd. in die Halbleiter (Intel in Magdeburg, TSMC in Dresden), 3,8 Mrd. in die Wasserstoffindustrie und 2,6 als Entlastung für besonders energieintensive Unternehmen. Später soll einer der mehreren Schwerpunkte auch die Gebäudesanierung sein, aber auch Entlastungen der Bürger, 18,6 Mrd. für die Wasserstoffwirtschaft, 13,8 Mrd. für die Elektromobilität und 12,5 Mrd. für die Eisenbahninfrastruktur bis 2027.</w:t>
      </w:r>
      <w:r>
        <w:rPr>
          <w:rStyle w:val="Funotenzeichen"/>
        </w:rPr>
        <w:footnoteReference w:id="944"/>
      </w:r>
      <w:r w:rsidR="00B1438D">
        <w:t xml:space="preserve"> Siehe auch hier ein Überblick über die Ausgabenschwerpunkte 2024.</w:t>
      </w:r>
      <w:r w:rsidR="00B1438D">
        <w:rPr>
          <w:rStyle w:val="Funotenzeichen"/>
        </w:rPr>
        <w:footnoteReference w:id="945"/>
      </w:r>
    </w:p>
    <w:p w14:paraId="602E9AD2" w14:textId="77777777" w:rsidR="00112190" w:rsidRDefault="00112190" w:rsidP="00112190"/>
    <w:p w14:paraId="6EA9C7DB" w14:textId="7422AA26" w:rsidR="00C35914" w:rsidRDefault="00517954" w:rsidP="00112190">
      <w:r w:rsidRPr="00517954">
        <w:rPr>
          <w:u w:val="single"/>
        </w:rPr>
        <w:t>Klima- und Transformationsfond KTF</w:t>
      </w:r>
      <w:r>
        <w:t xml:space="preserve">. </w:t>
      </w:r>
      <w:r w:rsidR="00112190">
        <w:t>Das BVerfG hat den KTF am 15. November 2023 als unvereinbar mit den Prinzipien der soliden Haushaltsführung erklärt.</w:t>
      </w:r>
      <w:r w:rsidR="00112190">
        <w:rPr>
          <w:rStyle w:val="Funotenzeichen"/>
        </w:rPr>
        <w:footnoteReference w:id="946"/>
      </w:r>
      <w:r w:rsidR="00112190">
        <w:t xml:space="preserve"> Damit ist eine Unsicherheit entstanden, ob alle diese Programme finanziert werden können.</w:t>
      </w:r>
      <w:r w:rsidR="00B1342C">
        <w:t xml:space="preserve"> </w:t>
      </w:r>
      <w:r w:rsidR="00C35914">
        <w:t>Der Klima- und Transformation</w:t>
      </w:r>
      <w:r w:rsidR="002E592D">
        <w:t>s</w:t>
      </w:r>
      <w:r w:rsidR="00C35914">
        <w:t xml:space="preserve">fond </w:t>
      </w:r>
      <w:r w:rsidR="00200A31">
        <w:t xml:space="preserve">KTF </w:t>
      </w:r>
      <w:r w:rsidR="00C35914">
        <w:t xml:space="preserve">ist aber noch existent. </w:t>
      </w:r>
      <w:r w:rsidR="00200A31">
        <w:t xml:space="preserve">Hinweis darauf: </w:t>
      </w:r>
      <w:r w:rsidR="00C35914">
        <w:t>Deutschland meldet für das Jahr 2023 18 Mrd. Einnahmen durch die Versteigerung von ETS-Zer</w:t>
      </w:r>
      <w:r w:rsidR="002E592D">
        <w:t>tif</w:t>
      </w:r>
      <w:r w:rsidR="00C35914">
        <w:t>ikaten, die vollständig an den Klima- und Transformationsfond der Bundesregierung fließen.</w:t>
      </w:r>
      <w:r w:rsidR="00C35914">
        <w:rPr>
          <w:rStyle w:val="Funotenzeichen"/>
        </w:rPr>
        <w:footnoteReference w:id="947"/>
      </w:r>
      <w:r w:rsidR="00200A31">
        <w:t xml:space="preserve"> </w:t>
      </w:r>
      <w:r>
        <w:t>Etwas andere Zahlen von 15,4 Mrd. Einnahmen aus dem nationalen CO2 Handel und 6,7 Mrd. aus dem europäischen Emissionshandel finden sich hier.</w:t>
      </w:r>
      <w:r>
        <w:rPr>
          <w:rStyle w:val="Funotenzeichen"/>
        </w:rPr>
        <w:footnoteReference w:id="948"/>
      </w:r>
      <w:r>
        <w:t xml:space="preserve"> </w:t>
      </w:r>
      <w:r w:rsidR="00200A31">
        <w:t xml:space="preserve">Siehe da, es gibt ihn noch: </w:t>
      </w:r>
      <w:r w:rsidR="00C35914">
        <w:t xml:space="preserve">Am 22.12.2023 wurde eine Einigung vermeldet, dass der Klima- und Transformationsfond </w:t>
      </w:r>
      <w:r w:rsidR="00200A31">
        <w:t xml:space="preserve">KTF </w:t>
      </w:r>
      <w:r w:rsidR="00C35914">
        <w:t>weiter besteht, es wurden allerdings 60 Mrd. Euro aus der Rücklage gestrichen. Im Jahr 2024 stünden weiterhin 49 Mrd. Euro zur Verfügung. Gespart wurden allerdings für 2024 12 Mrd. Euro Ausgaben.</w:t>
      </w:r>
      <w:r w:rsidR="00C35914">
        <w:rPr>
          <w:rStyle w:val="Funotenzeichen"/>
        </w:rPr>
        <w:footnoteReference w:id="949"/>
      </w:r>
      <w:r w:rsidR="000B4953">
        <w:t xml:space="preserve"> </w:t>
      </w:r>
      <w:r w:rsidR="00104741">
        <w:t xml:space="preserve">(gestrichen wurden offenbar 60 Mrd. nicht genutzte Corona Hilfen, die die Ampelkoalition in den KTF </w:t>
      </w:r>
      <w:r w:rsidR="00104741">
        <w:lastRenderedPageBreak/>
        <w:t>gebucht hatte</w:t>
      </w:r>
      <w:r w:rsidR="00104741">
        <w:rPr>
          <w:rStyle w:val="Funotenzeichen"/>
        </w:rPr>
        <w:footnoteReference w:id="950"/>
      </w:r>
      <w:r w:rsidR="00104741">
        <w:t xml:space="preserve">) </w:t>
      </w:r>
      <w:r w:rsidR="000B4953">
        <w:t>Siehe hier für eine Liste von Ausgaben, die bestehen bleiben.</w:t>
      </w:r>
      <w:r w:rsidR="000B4953">
        <w:rPr>
          <w:rStyle w:val="Funotenzeichen"/>
        </w:rPr>
        <w:footnoteReference w:id="951"/>
      </w:r>
      <w:r w:rsidR="00B1342C">
        <w:t xml:space="preserve"> </w:t>
      </w:r>
      <w:r w:rsidR="00B1342C">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E67C3C">
        <w:t xml:space="preserve"> Aus dem KTF werden die Subventionen für die Ansiedlung der Chiphersteller bezahlt, 5 Mrd. für TSMC und nächstes Jahr 4,3 Mrd. für einen nicht genannten Hersteller. Für das kommende Jahr sind 14,3 Mrd. für die Zuschüsse für klimafreundliche Heizungen eingeplant.</w:t>
      </w:r>
      <w:r w:rsidR="00E67C3C" w:rsidRPr="00E67C3C">
        <w:rPr>
          <w:rStyle w:val="Funotenzeichen"/>
        </w:rPr>
        <w:t xml:space="preserve"> </w:t>
      </w:r>
      <w:r w:rsidR="00E67C3C">
        <w:rPr>
          <w:rStyle w:val="Funotenzeichen"/>
        </w:rPr>
        <w:footnoteReference w:id="952"/>
      </w:r>
      <w:r w:rsidR="00E67C3C">
        <w:t xml:space="preserve"> Der Wirtschaftsplan für 2025 enthält die Erwartung von Mehreinnahmen von 3 Mrd. und einer Minderausgabe von 9 Mrd. Dahinter steht die Erfahrung, dass 56 % der Fördermittel 2023 nicht abgerufen wurden. Die EEG-Umlage wird aus dem normalen Haushalt bezahlt.</w:t>
      </w:r>
      <w:r w:rsidR="00E67C3C" w:rsidRPr="00E67C3C">
        <w:rPr>
          <w:rStyle w:val="Funotenzeichen"/>
        </w:rPr>
        <w:t xml:space="preserve"> </w:t>
      </w:r>
      <w:r w:rsidR="00E67C3C">
        <w:rPr>
          <w:rStyle w:val="Funotenzeichen"/>
        </w:rPr>
        <w:footnoteReference w:id="953"/>
      </w:r>
      <w:r w:rsidR="00E67C3C">
        <w:t xml:space="preserve">  </w:t>
      </w:r>
      <w:r w:rsidR="00B1438D">
        <w:t>Für die Chipfabrik von TSMC in Dresden wurde der Startschuss gegeben</w:t>
      </w:r>
      <w:r w:rsidR="00B1438D">
        <w:rPr>
          <w:rStyle w:val="Funotenzeichen"/>
        </w:rPr>
        <w:footnoteReference w:id="954"/>
      </w:r>
      <w:r w:rsidR="00B1438D">
        <w:t>, der Plan von Intel in Magdeburg aufzubauen ist bisher nicht umgesetzt worden, die Entscheidung ist um 2 Jahre verschoben worden, jetzt wird erstmal dort Mais und Sonnenblumen angebaut.</w:t>
      </w:r>
      <w:r w:rsidR="00B1438D">
        <w:rPr>
          <w:rStyle w:val="Funotenzeichen"/>
        </w:rPr>
        <w:footnoteReference w:id="955"/>
      </w:r>
    </w:p>
    <w:p w14:paraId="75C03D26" w14:textId="77777777" w:rsidR="00C35914" w:rsidRDefault="00C35914" w:rsidP="00112190"/>
    <w:p w14:paraId="4EC274CF" w14:textId="33034A50" w:rsidR="00104741" w:rsidRDefault="00104741" w:rsidP="00112190">
      <w:r>
        <w:t>Nun ist der KTF wiederauferstanden, 100 Mrd. des neuen 500 Mrd. Sondervermögens sollen in den KTF fließen.</w:t>
      </w:r>
      <w:r>
        <w:rPr>
          <w:rStyle w:val="Funotenzeichen"/>
        </w:rPr>
        <w:footnoteReference w:id="956"/>
      </w:r>
    </w:p>
    <w:p w14:paraId="702FBF61" w14:textId="77777777" w:rsidR="00104741" w:rsidRDefault="00104741" w:rsidP="00112190"/>
    <w:tbl>
      <w:tblPr>
        <w:tblStyle w:val="Tabellenraster"/>
        <w:tblW w:w="0" w:type="auto"/>
        <w:tblLook w:val="04A0" w:firstRow="1" w:lastRow="0" w:firstColumn="1" w:lastColumn="0" w:noHBand="0" w:noVBand="1"/>
      </w:tblPr>
      <w:tblGrid>
        <w:gridCol w:w="9062"/>
      </w:tblGrid>
      <w:tr w:rsidR="00112190" w14:paraId="03AC42C2" w14:textId="77777777" w:rsidTr="006B301B">
        <w:tc>
          <w:tcPr>
            <w:tcW w:w="9062" w:type="dxa"/>
          </w:tcPr>
          <w:p w14:paraId="140E4CFD" w14:textId="77777777" w:rsidR="00112190" w:rsidRDefault="00112190" w:rsidP="006B301B">
            <w:r>
              <w:t xml:space="preserve">Nationale Klimaschutzinitiative (NKI). In dieser Initiative fördert und initiiert das BMWK seit </w:t>
            </w:r>
            <w:proofErr w:type="gramStart"/>
            <w:r>
              <w:t>2008  kleinere</w:t>
            </w:r>
            <w:proofErr w:type="gramEnd"/>
            <w:r>
              <w:t xml:space="preserve"> Projekte für den Klimaschutz, mit Fokus auf Kommunen, u.a. auch Beratung für Kommunen. Es wurden bis 2022 ca. 45.200 Projekte durchgeführt, mit einer Förderung von 1,6 Mrd. </w:t>
            </w:r>
            <w:proofErr w:type="gramStart"/>
            <w:r>
              <w:t>Euro,.</w:t>
            </w:r>
            <w:proofErr w:type="gramEnd"/>
            <w:r>
              <w:t xml:space="preserve"> Durchgeführt werde die Projekte von der Agentur für kommunalen Klimaschutz, der Antrag gestellt bei der Zukunft – Umwelt – Gesellschaft (ZUG) und dem Bundesamt für Wirtschaft und Ausfuhrkontrolle (BAFA).</w:t>
            </w:r>
            <w:r>
              <w:rPr>
                <w:rStyle w:val="Funotenzeichen"/>
              </w:rPr>
              <w:footnoteReference w:id="957"/>
            </w:r>
            <w:r>
              <w:t xml:space="preserve"> Es wird dabei auf mehrere Förderprogramme zurückgegriffen.</w:t>
            </w:r>
            <w:r>
              <w:rPr>
                <w:rStyle w:val="Funotenzeichen"/>
              </w:rPr>
              <w:footnoteReference w:id="958"/>
            </w:r>
            <w:r>
              <w:t xml:space="preserve"> Die NKI Projekte sind wegen der Haushaltssperre gestoppt, bereits genehmigte Projekte werden weitergeführt.</w:t>
            </w:r>
            <w:r>
              <w:rPr>
                <w:rStyle w:val="Funotenzeichen"/>
              </w:rPr>
              <w:footnoteReference w:id="959"/>
            </w:r>
            <w:r>
              <w:t xml:space="preserve"> Bundesförderung für Energie- und Ressourceneffizienz in der Wirtschaft (EEW) ist ein weiteres Programm, dass mehrere Unterprogramme enthält.</w:t>
            </w:r>
            <w:r>
              <w:rPr>
                <w:rStyle w:val="Funotenzeichen"/>
              </w:rPr>
              <w:footnoteReference w:id="960"/>
            </w:r>
            <w:r>
              <w:t xml:space="preserve"> Ein weiteres Programm ist: Bundesförderung für effiziente Gebäude (BEG).</w:t>
            </w:r>
            <w:r>
              <w:rPr>
                <w:rStyle w:val="Funotenzeichen"/>
              </w:rPr>
              <w:footnoteReference w:id="961"/>
            </w:r>
            <w:r>
              <w:t xml:space="preserve"> Eine Übersicht über Förderprogramme gibt es hier</w:t>
            </w:r>
            <w:r>
              <w:rPr>
                <w:rStyle w:val="Funotenzeichen"/>
              </w:rPr>
              <w:footnoteReference w:id="962"/>
            </w:r>
            <w:r>
              <w:t>, bei einer Förderdatenbank</w:t>
            </w:r>
            <w:r>
              <w:rPr>
                <w:rStyle w:val="Funotenzeichen"/>
              </w:rPr>
              <w:footnoteReference w:id="963"/>
            </w:r>
            <w:r>
              <w:t xml:space="preserve"> und bei der Kreditanstalt für Wiederaufbau (KFW).</w:t>
            </w:r>
            <w:r>
              <w:rPr>
                <w:rStyle w:val="Funotenzeichen"/>
              </w:rPr>
              <w:footnoteReference w:id="964"/>
            </w:r>
          </w:p>
        </w:tc>
      </w:tr>
    </w:tbl>
    <w:p w14:paraId="0289AC7A" w14:textId="77777777" w:rsidR="00112190" w:rsidRDefault="00112190" w:rsidP="00112190"/>
    <w:tbl>
      <w:tblPr>
        <w:tblStyle w:val="Tabellenraster"/>
        <w:tblW w:w="0" w:type="auto"/>
        <w:tblLook w:val="04A0" w:firstRow="1" w:lastRow="0" w:firstColumn="1" w:lastColumn="0" w:noHBand="0" w:noVBand="1"/>
      </w:tblPr>
      <w:tblGrid>
        <w:gridCol w:w="9062"/>
      </w:tblGrid>
      <w:tr w:rsidR="00112190" w14:paraId="023BDBE3" w14:textId="77777777" w:rsidTr="006B301B">
        <w:tc>
          <w:tcPr>
            <w:tcW w:w="9062" w:type="dxa"/>
          </w:tcPr>
          <w:p w14:paraId="76AA66EF" w14:textId="4A39CBE9" w:rsidR="00112190" w:rsidRDefault="00112190" w:rsidP="006B301B">
            <w:r>
              <w:lastRenderedPageBreak/>
              <w:t>Klimageld.</w:t>
            </w:r>
            <w:r>
              <w:rPr>
                <w:rStyle w:val="Funotenzeichen"/>
              </w:rPr>
              <w:footnoteReference w:id="965"/>
            </w:r>
            <w:r>
              <w:t xml:space="preserve"> </w:t>
            </w:r>
            <w:r w:rsidR="00D54C56">
              <w:t>Damit meint</w:t>
            </w:r>
            <w:r>
              <w:t xml:space="preserve"> </w:t>
            </w:r>
            <w:r w:rsidR="00D54C56">
              <w:t xml:space="preserve">man </w:t>
            </w:r>
            <w:r>
              <w:t>eine Hilfszahlung für ärmere Haushalte, die u.a. von der Steigerung der Energiepreise durch den Emissionshandel betroffen sind. Siehe für eine detailreiche Diskussion des Klimagelds CEP.</w:t>
            </w:r>
            <w:r>
              <w:rPr>
                <w:rStyle w:val="Funotenzeichen"/>
              </w:rPr>
              <w:footnoteReference w:id="966"/>
            </w:r>
            <w:r>
              <w:t xml:space="preserve"> Wie hoch das Klimageld sein soll bzw. wie genau es ausgestaltet werden soll, ist nicht bislang nicht bekannt. Das Klimageld sollte sich eigentlich von selbst finanzieren, mit Einnahmen durch den Emissionshandel bzw. das Brennstoffemissionshandelsgesetz. Finanzminister Christian Lindner hat am 14.1.2024 bekanntgegeben, dass darüber erst in der nächsten Legislaturperiode 2025 entschieden werden wird.</w:t>
            </w:r>
            <w:r>
              <w:rPr>
                <w:rStyle w:val="Funotenzeichen"/>
              </w:rPr>
              <w:footnoteReference w:id="967"/>
            </w:r>
            <w:r>
              <w:t xml:space="preserve"> </w:t>
            </w:r>
            <w:r w:rsidR="00092032" w:rsidRPr="00D54C56">
              <w:rPr>
                <w:u w:val="single"/>
              </w:rPr>
              <w:t xml:space="preserve">In Österreich </w:t>
            </w:r>
            <w:r w:rsidR="00D54C56" w:rsidRPr="00D54C56">
              <w:rPr>
                <w:u w:val="single"/>
              </w:rPr>
              <w:t>gibt es das Klimageld bereits</w:t>
            </w:r>
            <w:r w:rsidR="00D54C56">
              <w:t xml:space="preserve">, es </w:t>
            </w:r>
            <w:r w:rsidR="00092032">
              <w:t>heißt das Klimageld Klimabonus, eine Überweisung von 145 bis 290 Euro für eine erwachsene Person, dies kostet 1,8 Mrd. Euro. Derzeit wird in Österreich diskutiert, den Klimabonus aufgrund von Sparzwängen zu streichen.</w:t>
            </w:r>
            <w:r w:rsidR="00092032">
              <w:rPr>
                <w:rStyle w:val="Funotenzeichen"/>
              </w:rPr>
              <w:footnoteReference w:id="968"/>
            </w:r>
            <w:r w:rsidR="00092032">
              <w:t xml:space="preserve"> </w:t>
            </w:r>
            <w:r>
              <w:t xml:space="preserve">Siehe dazu auch den Punkt EU, die EU hat 2020 einen Just Transformation </w:t>
            </w:r>
            <w:proofErr w:type="spellStart"/>
            <w:r>
              <w:t>Mechanism</w:t>
            </w:r>
            <w:proofErr w:type="spellEnd"/>
            <w:r>
              <w:t xml:space="preserve"> eingerichtet, um besonders betroffene Gebiete zu unterstützen und will ab 2026 einen </w:t>
            </w:r>
            <w:proofErr w:type="spellStart"/>
            <w:r w:rsidRPr="00CA2EB8">
              <w:t>Social</w:t>
            </w:r>
            <w:proofErr w:type="spellEnd"/>
            <w:r w:rsidRPr="00CA2EB8">
              <w:t xml:space="preserve"> Climate Fund einrichten</w:t>
            </w:r>
            <w:r>
              <w:t>, der ärmere Haushalte unterstützen soll.</w:t>
            </w:r>
            <w:r>
              <w:rPr>
                <w:rStyle w:val="Funotenzeichen"/>
              </w:rPr>
              <w:footnoteReference w:id="969"/>
            </w:r>
            <w:r w:rsidR="00B1342C">
              <w:t xml:space="preserve"> </w:t>
            </w:r>
            <w:r w:rsidR="00B1342C">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tc>
      </w:tr>
    </w:tbl>
    <w:p w14:paraId="4D6F3DA6" w14:textId="77777777" w:rsidR="00112190" w:rsidRDefault="00112190" w:rsidP="00112190"/>
    <w:p w14:paraId="5C8D4FAE" w14:textId="123D016D" w:rsidR="000B4953" w:rsidRDefault="000B4953" w:rsidP="00112190">
      <w:r>
        <w:t xml:space="preserve">Nun zu einem </w:t>
      </w:r>
      <w:r w:rsidR="001B718E">
        <w:t xml:space="preserve">weiteren </w:t>
      </w:r>
      <w:r>
        <w:t>Bereich,</w:t>
      </w:r>
      <w:r w:rsidR="001B718E">
        <w:t xml:space="preserve"> der auf mich wirklich ‚schräg‘ wirkt, </w:t>
      </w:r>
      <w:r w:rsidR="006A73B1">
        <w:t xml:space="preserve">weil er so viele Nebenschauplätze eröffnet, </w:t>
      </w:r>
      <w:r w:rsidR="006A73B1" w:rsidRPr="006A73B1">
        <w:rPr>
          <w:u w:val="single"/>
        </w:rPr>
        <w:t>die THG-Quote</w:t>
      </w:r>
      <w:r w:rsidR="006A73B1">
        <w:t xml:space="preserve">. </w:t>
      </w:r>
      <w:r w:rsidR="007729DD">
        <w:t xml:space="preserve">Man könnte </w:t>
      </w:r>
      <w:r w:rsidR="003716FF">
        <w:t xml:space="preserve">nun vereinfacht </w:t>
      </w:r>
      <w:r w:rsidR="007729DD">
        <w:t>denken, dass die Grünen</w:t>
      </w:r>
      <w:r w:rsidR="003716FF">
        <w:t xml:space="preserve"> dies</w:t>
      </w:r>
      <w:r w:rsidR="007C0C8E">
        <w:t>e</w:t>
      </w:r>
      <w:r w:rsidR="007729DD">
        <w:t xml:space="preserve"> wollen, aber die deutsche Automobilwirtschaft scheint dies</w:t>
      </w:r>
      <w:r w:rsidR="007C0C8E">
        <w:t>e THG-Quote</w:t>
      </w:r>
      <w:r w:rsidR="007729DD">
        <w:t xml:space="preserve"> zu wollen, </w:t>
      </w:r>
      <w:r w:rsidR="003716FF">
        <w:t xml:space="preserve">damit </w:t>
      </w:r>
      <w:r w:rsidR="007729DD">
        <w:t>die alten Verbrenner noch</w:t>
      </w:r>
      <w:r w:rsidR="003716FF">
        <w:t xml:space="preserve"> über 2035 </w:t>
      </w:r>
      <w:proofErr w:type="gramStart"/>
      <w:r w:rsidR="003716FF">
        <w:t>hinaus fahren</w:t>
      </w:r>
      <w:proofErr w:type="gramEnd"/>
      <w:r w:rsidR="003716FF">
        <w:t xml:space="preserve"> können</w:t>
      </w:r>
      <w:r w:rsidR="0071484A">
        <w:t xml:space="preserve"> – </w:t>
      </w:r>
      <w:r w:rsidR="003716FF">
        <w:rPr>
          <w:u w:val="single"/>
        </w:rPr>
        <w:t xml:space="preserve">gut wäre dies jedenfalls </w:t>
      </w:r>
      <w:r w:rsidR="0071484A" w:rsidRPr="003716FF">
        <w:rPr>
          <w:u w:val="single"/>
        </w:rPr>
        <w:t xml:space="preserve">für die </w:t>
      </w:r>
      <w:r w:rsidR="007C0C8E">
        <w:rPr>
          <w:u w:val="single"/>
        </w:rPr>
        <w:t>Autor</w:t>
      </w:r>
      <w:r w:rsidR="0071484A" w:rsidRPr="003716FF">
        <w:rPr>
          <w:u w:val="single"/>
        </w:rPr>
        <w:t>eparaturwerkstätten</w:t>
      </w:r>
      <w:r w:rsidR="007729DD">
        <w:t xml:space="preserve">. </w:t>
      </w:r>
      <w:r w:rsidR="006A73B1">
        <w:t xml:space="preserve">Hier geht es um die Zumischung von anderen Flüssigkeiten zu Benzin und Diesel, um CO2 zu sparen, wobei dies durch das Bundesemissionsschutzgesetz von der Mineralölwirtschaft verlangt wird. Soweit ich dies verstanden haben, geht es hier nicht um den </w:t>
      </w:r>
      <w:proofErr w:type="gramStart"/>
      <w:r w:rsidR="006A73B1">
        <w:t>EU Emissionshandel</w:t>
      </w:r>
      <w:proofErr w:type="gramEnd"/>
      <w:r w:rsidR="006A73B1">
        <w:t>, weil der Verkehr nicht unter das ETS 1 fällt und unter dem ETS 2 die Kosten für CO2 Zertifikate an die Autofahrer weitergegeben werden dürfen und es geht nur mittelbar um EU-Verordnungen (etwa um RED III, die Verpflichtung den Anteil erneuerbarer Energien zu erhöhen, im Verkehr um 14 %)</w:t>
      </w:r>
      <w:r w:rsidR="00200A31">
        <w:t>:</w:t>
      </w:r>
    </w:p>
    <w:p w14:paraId="319522A4" w14:textId="77777777" w:rsidR="000B4953" w:rsidRDefault="000B4953" w:rsidP="00112190"/>
    <w:tbl>
      <w:tblPr>
        <w:tblStyle w:val="Tabellenraster"/>
        <w:tblW w:w="0" w:type="auto"/>
        <w:tblLook w:val="04A0" w:firstRow="1" w:lastRow="0" w:firstColumn="1" w:lastColumn="0" w:noHBand="0" w:noVBand="1"/>
      </w:tblPr>
      <w:tblGrid>
        <w:gridCol w:w="9062"/>
      </w:tblGrid>
      <w:tr w:rsidR="00093702" w14:paraId="7E80431E" w14:textId="77777777" w:rsidTr="00093702">
        <w:tc>
          <w:tcPr>
            <w:tcW w:w="9062" w:type="dxa"/>
          </w:tcPr>
          <w:p w14:paraId="6E9FAB6C" w14:textId="496C6C5E" w:rsidR="00093702" w:rsidRDefault="00093702" w:rsidP="00112190">
            <w:r>
              <w:t>Treibhausgasminderungsquote</w:t>
            </w:r>
            <w:r w:rsidR="00913765">
              <w:t xml:space="preserve"> </w:t>
            </w:r>
            <w:r w:rsidR="00E461C8">
              <w:t xml:space="preserve">bzw. THG-Quote </w:t>
            </w:r>
            <w:r w:rsidR="00913765">
              <w:t>(wenig Originallinks, viel Wikipedia)</w:t>
            </w:r>
            <w:r>
              <w:t xml:space="preserve">. </w:t>
            </w:r>
            <w:r w:rsidR="00B72F73">
              <w:t>Man hatte</w:t>
            </w:r>
            <w:r w:rsidR="004859C2">
              <w:t xml:space="preserve"> gehofft, mit reinen Biokraftstoffen, etwa B100 Biodiesel, einen Beitrag zur Treibhausgasminderung zu erzielen. Nachdem die Erkenntnis gewachsen war, dass damit aber die Felder nicht mehr für den Anbau von Nahrungsmitteln zu Verfügung stehen, wurde diese Ideen dann letztlich verworfen.</w:t>
            </w:r>
            <w:r w:rsidR="00B72F73">
              <w:t xml:space="preserve"> Im Januar 2007 wurde die Biokraftstoffquote eingeführt, womit die Mineralölwirtschaft verpflichtet wurde, eine bestimmte Mengen Biokraftstoffe beizumischen. Dies war nicht an die Treibhausgasemissionen gekoppelt.</w:t>
            </w:r>
            <w:r w:rsidR="004859C2">
              <w:rPr>
                <w:rStyle w:val="Funotenzeichen"/>
              </w:rPr>
              <w:footnoteReference w:id="970"/>
            </w:r>
            <w:r w:rsidR="00D07676">
              <w:t xml:space="preserve"> </w:t>
            </w:r>
            <w:r w:rsidR="00B72F73">
              <w:t>Dies erfolgte durch Änderungen des Bundesimmissionsschutzgesetzes im Sinne einer dadurch autorisierten Verordnung, die keine Zustimmung des Bundestages bedurfte. Es gibt eine Reihe dieser Verordnungen, die aus dem Bundesimmissionsschutzgesetz abgeleitet sind, siehe den Überblick in Wikipedia.</w:t>
            </w:r>
            <w:r w:rsidR="00B72F73">
              <w:rPr>
                <w:rStyle w:val="Funotenzeichen"/>
              </w:rPr>
              <w:footnoteReference w:id="971"/>
            </w:r>
            <w:r w:rsidR="00B72F73">
              <w:t xml:space="preserve"> </w:t>
            </w:r>
            <w:r w:rsidR="00D07676">
              <w:t>2015</w:t>
            </w:r>
            <w:r w:rsidR="00B72F73">
              <w:t xml:space="preserve"> ändert </w:t>
            </w:r>
            <w:r w:rsidR="00B72F73">
              <w:lastRenderedPageBreak/>
              <w:t>sich dies, es</w:t>
            </w:r>
            <w:r w:rsidR="00D07676">
              <w:t xml:space="preserve"> wurde die THG-Quote eingeführt, die heute noch gilt. Die Höhe der tatsächlich vorhandenen Treibhausgasemissionen der Mineralölwirtschaft bestimmt nun die Menge der zu verwendenden Biokraftstoffe. Eine Verpflichtung erfolgte weiterhin, dass die Mineralölwirtschaft die Emissionen jährlich um einen bestimmten gesetzlichen Prozentsatz verringert.</w:t>
            </w:r>
            <w:r w:rsidR="00BC4A5B">
              <w:rPr>
                <w:rStyle w:val="Funotenzeichen"/>
              </w:rPr>
              <w:t xml:space="preserve"> </w:t>
            </w:r>
            <w:r w:rsidR="00BC4A5B">
              <w:rPr>
                <w:rStyle w:val="Funotenzeichen"/>
              </w:rPr>
              <w:footnoteReference w:id="972"/>
            </w:r>
            <w:r w:rsidR="00FF3AF5">
              <w:t xml:space="preserve"> </w:t>
            </w:r>
            <w:r w:rsidR="00BC4A5B">
              <w:t>Derzeit liegt der Prozentsatz bei 9,25 %.</w:t>
            </w:r>
            <w:r w:rsidR="00BC4A5B">
              <w:rPr>
                <w:rStyle w:val="Funotenzeichen"/>
              </w:rPr>
              <w:footnoteReference w:id="973"/>
            </w:r>
            <w:r w:rsidR="00BC4A5B">
              <w:t xml:space="preserve"> </w:t>
            </w:r>
            <w:r w:rsidR="00FF3AF5">
              <w:t>In der Verordnung zur Durchführung der Regelungen der Biokraftstoffquote wird z.B. bei einigen Materialien eine doppelte Gewichtung zugelassen. Dafür muss aber ein Doppelgewichtigkeitsnachweis und ein Nachhaltigkeitsnachweis vorgelegt werden.</w:t>
            </w:r>
            <w:r w:rsidR="00FF3AF5">
              <w:rPr>
                <w:rStyle w:val="Funotenzeichen"/>
              </w:rPr>
              <w:footnoteReference w:id="974"/>
            </w:r>
            <w:r w:rsidR="00FF3AF5">
              <w:t xml:space="preserve"> Seit 2018 können weitere strombasierte Kraftstoffe wie Wasserstoff und synthetisches Methan auf die Quote angerechnet werden.</w:t>
            </w:r>
            <w:r w:rsidR="00FF3AF5">
              <w:rPr>
                <w:rStyle w:val="Funotenzeichen"/>
              </w:rPr>
              <w:footnoteReference w:id="975"/>
            </w:r>
            <w:r w:rsidR="00FF3AF5">
              <w:t xml:space="preserve"> </w:t>
            </w:r>
            <w:r w:rsidR="00704E74">
              <w:t xml:space="preserve">Sprich: E-Fuels sind somit eigentlich schon seit 2018 mit dabei … </w:t>
            </w:r>
            <w:r w:rsidR="00E461C8">
              <w:t>Am 12. April 2024 meldet der Verband deutscher Biokraftstoffhersteller, dass zwei neue Kraftstoffe zugelassen werden, B10 ist ein neuer Diesel, dem 10 % Biokraftstoff beigemischt wurde, der B7 Diesel bleibt vorhanden. HVO100 wird aus biogenen</w:t>
            </w:r>
            <w:r w:rsidR="00704E74">
              <w:t>, paraffinähnlichen</w:t>
            </w:r>
            <w:r w:rsidR="00E461C8">
              <w:t xml:space="preserve"> Quellen herstellt, es erfolgt eine komplexe chemische Aufbereitung</w:t>
            </w:r>
            <w:r w:rsidR="00650C48">
              <w:t>, hierfür gibt es in Deutschland keine Herstellungskapazitäten.</w:t>
            </w:r>
            <w:r w:rsidR="00E461C8">
              <w:rPr>
                <w:rStyle w:val="Funotenzeichen"/>
              </w:rPr>
              <w:footnoteReference w:id="976"/>
            </w:r>
            <w:r w:rsidR="00E461C8">
              <w:t xml:space="preserve"> </w:t>
            </w:r>
            <w:r w:rsidR="00FF3AF5">
              <w:t xml:space="preserve">Seit 2020 können Upstream-Emissionsminderungen, die in einem Jahr erreicht worden, angerechnet werden. Upstream </w:t>
            </w:r>
            <w:r w:rsidR="001900F0">
              <w:t>wird hier definiert nach dem GHG (‚Greenhouse Gas Protocol‘)</w:t>
            </w:r>
            <w:r w:rsidR="001900F0">
              <w:rPr>
                <w:rStyle w:val="Funotenzeichen"/>
              </w:rPr>
              <w:footnoteReference w:id="977"/>
            </w:r>
            <w:r w:rsidR="001900F0">
              <w:t xml:space="preserve"> und nach der EU-Kraftstoffqualitätsrichtlinie (Richtlinie (EU) 2025/652), als Emissionen, die durch vorgelagerte Zulieferer durch Strom, Dampf, Wärme, Kälte oder durch die Produktion von Produkten, aber nicht in dem eigenen Unternehmen entstehen. Diese UER (Upstream Emission </w:t>
            </w:r>
            <w:proofErr w:type="spellStart"/>
            <w:r w:rsidR="001900F0">
              <w:t>Reductions</w:t>
            </w:r>
            <w:proofErr w:type="spellEnd"/>
            <w:r w:rsidR="001900F0">
              <w:t>) müssen durch Prüfstellen zertifiziert werden. Etwa wenn ein Transportunternehmen Rohöl klimaneutral mit Brennstoffzellen Lkw transportieren würde, könnte dies angerechnet werden.</w:t>
            </w:r>
            <w:r w:rsidR="001900F0">
              <w:rPr>
                <w:rStyle w:val="Funotenzeichen"/>
              </w:rPr>
              <w:footnoteReference w:id="978"/>
            </w:r>
            <w:r w:rsidR="001900F0">
              <w:t xml:space="preserve"> </w:t>
            </w:r>
            <w:r w:rsidR="00913765">
              <w:t>Genau hier</w:t>
            </w:r>
            <w:r w:rsidR="00A36F71">
              <w:t>bei</w:t>
            </w:r>
            <w:r w:rsidR="00913765">
              <w:t xml:space="preserve"> ist der China-Skandal passiert, dass hier Upstream Emissionsminderungen chinesischer Firmen offenkundig nur vorgetäuscht wurden.</w:t>
            </w:r>
            <w:r w:rsidR="00D470A6">
              <w:t xml:space="preserve"> Dies wurde am 23.05.2024 vom Verband der Deutschen Biokraftstoffindustrie (VDB) öffentlich gemacht, am 22.05.2024 hat das Bundeskabinett bereits einem </w:t>
            </w:r>
            <w:r w:rsidR="00A912E7">
              <w:t>Verordnungs</w:t>
            </w:r>
            <w:r w:rsidR="00D470A6">
              <w:t>entwurf zugestimmt, dass die UER-Möglichkeit generell nur noch bis Ende 2024 bestehen bleibt.</w:t>
            </w:r>
            <w:r w:rsidR="00913765">
              <w:rPr>
                <w:rStyle w:val="Funotenzeichen"/>
              </w:rPr>
              <w:footnoteReference w:id="979"/>
            </w:r>
            <w:r w:rsidR="00913765">
              <w:t xml:space="preserve"> </w:t>
            </w:r>
            <w:r w:rsidR="00A912E7">
              <w:t>Bereits im Februar 2024 hatte der Verordnungsentwurf vorgelegen</w:t>
            </w:r>
            <w:r w:rsidR="00BC4A5B">
              <w:t>, siehe den ausführlichen Artikel in der FAZ</w:t>
            </w:r>
            <w:r w:rsidR="00A912E7">
              <w:t>.</w:t>
            </w:r>
            <w:r w:rsidR="00BC4A5B">
              <w:rPr>
                <w:rStyle w:val="Funotenzeichen"/>
              </w:rPr>
              <w:footnoteReference w:id="980"/>
            </w:r>
            <w:r w:rsidR="00A912E7">
              <w:t xml:space="preserve"> </w:t>
            </w:r>
            <w:r w:rsidR="00FF1254">
              <w:t>Jedenfalls wurde dies</w:t>
            </w:r>
            <w:r w:rsidR="00D3435E">
              <w:t xml:space="preserve"> </w:t>
            </w:r>
            <w:r w:rsidR="00FF1254">
              <w:t>nicht von der Af</w:t>
            </w:r>
            <w:r w:rsidR="00F918C6">
              <w:t>D</w:t>
            </w:r>
            <w:r w:rsidR="00FF1254">
              <w:t xml:space="preserve"> aufgedeckt, die mit der CDU, zu diesem Thema am 14. Juni 2024 eine aktuelle Stunde im Bundestag abgehalten hat.</w:t>
            </w:r>
            <w:r w:rsidR="00FF1254">
              <w:rPr>
                <w:rStyle w:val="Funotenzeichen"/>
              </w:rPr>
              <w:footnoteReference w:id="981"/>
            </w:r>
            <w:r w:rsidR="00FF1254">
              <w:t xml:space="preserve"> </w:t>
            </w:r>
            <w:r w:rsidR="00A912E7">
              <w:t xml:space="preserve">Das ZDF berichtet, dass der Marktwert dieser Zertifikate 1,7 Mrd. Euro betrug, Anfangs war so ein Zertifikat 400 Euro Wert, siehe den Artikel in </w:t>
            </w:r>
            <w:proofErr w:type="spellStart"/>
            <w:r w:rsidR="00A912E7">
              <w:lastRenderedPageBreak/>
              <w:t>zdfheute</w:t>
            </w:r>
            <w:proofErr w:type="spellEnd"/>
            <w:r w:rsidR="00A912E7">
              <w:t>.</w:t>
            </w:r>
            <w:r w:rsidR="00A912E7">
              <w:rPr>
                <w:rStyle w:val="Funotenzeichen"/>
              </w:rPr>
              <w:footnoteReference w:id="982"/>
            </w:r>
            <w:r w:rsidR="00A912E7">
              <w:t xml:space="preserve"> </w:t>
            </w:r>
            <w:r w:rsidR="008151D2">
              <w:t>Insgesamt laufen</w:t>
            </w:r>
            <w:r w:rsidR="00D3435E">
              <w:t>, so ein weiterer FAZ Artikel zu diesem Thema,</w:t>
            </w:r>
            <w:r w:rsidR="008151D2">
              <w:t xml:space="preserve"> weltweit 73 UER-Projekte</w:t>
            </w:r>
            <w:r w:rsidR="00D3435E">
              <w:t>, in China 66, es wird von Dirk Messner, Präsident des Umweltbundesamts nicht ausgeschlossen, dass es noch in anderen Ländern Betrugsfälle gibt, da Zertifizierungsfirmen teils falsche Angaben machen und dies nur schwer aus der Ferne zu überprüfen ist. Derzeit wird in Gesprächen mit China sondiert, ob auch Mitarbeiter von deutschen Behörden chinesische Projekte überprüfen dürfen.</w:t>
            </w:r>
            <w:r w:rsidR="00D3435E">
              <w:rPr>
                <w:rStyle w:val="Funotenzeichen"/>
              </w:rPr>
              <w:footnoteReference w:id="983"/>
            </w:r>
            <w:r w:rsidR="00D3435E">
              <w:t xml:space="preserve"> </w:t>
            </w:r>
            <w:r w:rsidR="00F918C6">
              <w:t>Nun hat sich eine Initiative Klimabetrug stoppen (IKS) gegründet</w:t>
            </w:r>
            <w:r w:rsidR="00F918C6">
              <w:rPr>
                <w:rStyle w:val="Funotenzeichen"/>
              </w:rPr>
              <w:footnoteReference w:id="984"/>
            </w:r>
            <w:r w:rsidR="00F918C6">
              <w:t>, Stand der Dinge ist, dass ab Juli 2023 neue UER-Projekte nicht mehr genehmigt werden und die Anrech</w:t>
            </w:r>
            <w:r w:rsidR="007C0C8E">
              <w:t>n</w:t>
            </w:r>
            <w:r w:rsidR="00F918C6">
              <w:t>ung von UER-Zertifikaten noch bis 2025 möglich sein wird.</w:t>
            </w:r>
            <w:r w:rsidR="00F918C6">
              <w:rPr>
                <w:rStyle w:val="Funotenzeichen"/>
              </w:rPr>
              <w:footnoteReference w:id="985"/>
            </w:r>
            <w:r w:rsidR="00F918C6">
              <w:t xml:space="preserve"> </w:t>
            </w:r>
            <w:r w:rsidR="00ED6841">
              <w:t>Gemeldet wird am 12.09.2024 von der FAZ, dass 45 von 66 Klimaschutzprojekten vom Umweltbundesamt als ‚stark verdächtig‘ eingestuft werden.</w:t>
            </w:r>
            <w:r w:rsidR="00ED6841">
              <w:rPr>
                <w:rStyle w:val="Funotenzeichen"/>
              </w:rPr>
              <w:footnoteReference w:id="986"/>
            </w:r>
            <w:r w:rsidR="00ED6841">
              <w:t xml:space="preserve"> </w:t>
            </w:r>
            <w:r w:rsidR="00BC4A5B">
              <w:t>Ob der Verbraucher geschädigt wurde, wird kontrovers diskutiert, das Umweltbundesamt, dass für die Zertifizierung verantwortlich ist bzw. war, weist darauf hin, dass die Zertifikate billiger waren als eine Alternative.</w:t>
            </w:r>
            <w:r w:rsidR="00BC4A5B">
              <w:rPr>
                <w:rStyle w:val="Funotenzeichen"/>
              </w:rPr>
              <w:t xml:space="preserve"> </w:t>
            </w:r>
            <w:r w:rsidR="00BC4A5B">
              <w:rPr>
                <w:rStyle w:val="Funotenzeichen"/>
              </w:rPr>
              <w:footnoteReference w:id="987"/>
            </w:r>
            <w:r w:rsidR="00BC4A5B">
              <w:t xml:space="preserve"> Derzeit liegt der Preis bei 100 Euro für 1 Tonne eingespartes CO2, dadurch haben Stadtwerke nun eine andere Kalkulation, sie hatten Elektrobusse gekauft und mit Einnahmen aus der THG-Quote von 300 bis 400 Euro gerechnet.</w:t>
            </w:r>
            <w:r w:rsidR="00BC4A5B">
              <w:rPr>
                <w:rStyle w:val="Funotenzeichen"/>
              </w:rPr>
              <w:footnoteReference w:id="988"/>
            </w:r>
            <w:r w:rsidR="00BC4A5B">
              <w:t xml:space="preserve"> </w:t>
            </w:r>
            <w:r w:rsidR="00913765">
              <w:t xml:space="preserve">In der </w:t>
            </w:r>
            <w:r w:rsidR="00913765" w:rsidRPr="00913765">
              <w:t>Verordnung zur Festlegung weiterer Bestimmungen zur Treibhausgasminderung bei Kraftstoffen (38. BImSchV) vom 8. Dezember 2017</w:t>
            </w:r>
            <w:r w:rsidR="00913765">
              <w:t xml:space="preserve"> wurde ermöglicht, dass Elektrofahrzeuge (Autos, aber auch Roller</w:t>
            </w:r>
            <w:r w:rsidR="00BC4A5B">
              <w:t xml:space="preserve"> … Busse … </w:t>
            </w:r>
            <w:r w:rsidR="00C14455">
              <w:t>Ladestrom für Elektrofahrzeuge</w:t>
            </w:r>
            <w:r w:rsidR="00C14455">
              <w:rPr>
                <w:rStyle w:val="Funotenzeichen"/>
              </w:rPr>
              <w:footnoteReference w:id="989"/>
            </w:r>
            <w:r w:rsidR="00200A31">
              <w:t xml:space="preserve"> … vielleicht auch Elektrorangierloks</w:t>
            </w:r>
            <w:r w:rsidR="00913765">
              <w:t>) ihre Treibhausminderungen auf die THG-Quote anrechnen lassen können und dadurch Geld verdienen können</w:t>
            </w:r>
            <w:r w:rsidR="00C14455">
              <w:t xml:space="preserve"> und zwar wird das </w:t>
            </w:r>
            <w:r w:rsidR="00650C48">
              <w:t>D</w:t>
            </w:r>
            <w:r w:rsidR="00C14455">
              <w:t>reifache des Energiegehaltes angerechnet</w:t>
            </w:r>
            <w:r w:rsidR="00913765">
              <w:t>.</w:t>
            </w:r>
            <w:r w:rsidR="00913765">
              <w:rPr>
                <w:rStyle w:val="Funotenzeichen"/>
              </w:rPr>
              <w:footnoteReference w:id="990"/>
            </w:r>
            <w:r w:rsidR="00650C48">
              <w:t xml:space="preserve"> </w:t>
            </w:r>
            <w:r w:rsidR="00A82D52">
              <w:t xml:space="preserve">Aufgrund der Doppelanrechnung von Biokraftstoffen, wird viel HVO100 Treibstoff nach Deutschland gebracht. HVO100 wird in China hergestellt, deshalb wird derzeit befürchtet, dass HVO100 aus Palmöl aus Indonesien hergestellt wird. Palmöl darf als Rohstoff für Biodiesel seit Januar </w:t>
            </w:r>
            <w:r w:rsidR="003B2F3D">
              <w:t>2023 nicht mehr beigemischt werden.</w:t>
            </w:r>
            <w:r w:rsidR="00A82D52">
              <w:t xml:space="preserve"> </w:t>
            </w:r>
            <w:r w:rsidR="003B2F3D">
              <w:t xml:space="preserve">Indonesische Firmen sind deshalb sicher daran interessiert, es nach China zu exportieren und dort wird es als HVO aus Altspeisefett </w:t>
            </w:r>
            <w:proofErr w:type="spellStart"/>
            <w:r w:rsidR="003B2F3D">
              <w:t>umdeklariert</w:t>
            </w:r>
            <w:proofErr w:type="spellEnd"/>
            <w:r w:rsidR="003B2F3D">
              <w:t>. Folge ist jedenfalls wieder ein Preisverfall für Biokraftstoffe aus Deutschland und ggf. auch für den Preis der Zertifikate für 1 Tonne eingespartes CO2.</w:t>
            </w:r>
            <w:r w:rsidR="003B2F3D">
              <w:rPr>
                <w:rStyle w:val="Funotenzeichen"/>
              </w:rPr>
              <w:footnoteReference w:id="991"/>
            </w:r>
            <w:r w:rsidR="00D3435E">
              <w:t xml:space="preserve"> Die EU Kommission hat hier allerdings bereits reagiert und eine Antidumping Untersuchung im Bereich Biodiesel eingeleitet.</w:t>
            </w:r>
            <w:r w:rsidR="00D3435E">
              <w:rPr>
                <w:rStyle w:val="Funotenzeichen"/>
              </w:rPr>
              <w:t xml:space="preserve"> </w:t>
            </w:r>
            <w:r w:rsidR="00D3435E">
              <w:rPr>
                <w:rStyle w:val="Funotenzeichen"/>
              </w:rPr>
              <w:footnoteReference w:id="992"/>
            </w:r>
            <w:r w:rsidR="003B2F3D">
              <w:t xml:space="preserve"> </w:t>
            </w:r>
            <w:r w:rsidR="001B2F61">
              <w:t>Nun werden ab Mitte August 2024 vorläufige Zölle von 12,8 und 36,4 % erhoben, endgültige Zülle werden für Februar erwartet.</w:t>
            </w:r>
            <w:r w:rsidR="001B2F61">
              <w:rPr>
                <w:rStyle w:val="Funotenzeichen"/>
              </w:rPr>
              <w:footnoteReference w:id="993"/>
            </w:r>
            <w:r w:rsidR="001B2F61">
              <w:t xml:space="preserve"> </w:t>
            </w:r>
            <w:r w:rsidR="003B2F3D">
              <w:t>In diesem Bereich gibt es</w:t>
            </w:r>
            <w:r w:rsidR="00650C48">
              <w:t xml:space="preserve"> komplexe Kontroversen, siehe die Pressestatements des Bundesverbands THG-Quote bzw. Stellungnahmen zu einem Referentenentwurf zur Änderung des 38. BlmSchV.</w:t>
            </w:r>
            <w:r w:rsidR="00650C48">
              <w:rPr>
                <w:rStyle w:val="Funotenzeichen"/>
              </w:rPr>
              <w:footnoteReference w:id="994"/>
            </w:r>
            <w:r w:rsidR="00650C48">
              <w:t xml:space="preserve"> </w:t>
            </w:r>
            <w:r w:rsidR="00CC00CC">
              <w:t xml:space="preserve">Die Automobilindustrie möchte die Biokraftstoffe, sie geht davon aus, dass bis 2045 noch 50 % der </w:t>
            </w:r>
            <w:r w:rsidR="00CC00CC">
              <w:lastRenderedPageBreak/>
              <w:t>deutschen Pkw mit Verbrennungsmotor unterweg</w:t>
            </w:r>
            <w:r w:rsidR="00176157">
              <w:t>s</w:t>
            </w:r>
            <w:r w:rsidR="00CC00CC">
              <w:t xml:space="preserve"> sind und sieht Biokraftstoffe als einen Weg die Emissionen zu senken. Sie geht davon aus, dass man bis 2030 Treibhausgasemissionen real um 30 % senken kann, wenn man neben 29 Mrd. Liter fossilen Treibstoffen noch 1,3 Milliarden Liter Biosprit, 5 Milliarden Liter HVO und 0,8 Mrd. Liter E-Fuels verwendet.</w:t>
            </w:r>
            <w:r w:rsidR="00CC00CC">
              <w:rPr>
                <w:rStyle w:val="Funotenzeichen"/>
              </w:rPr>
              <w:footnoteReference w:id="995"/>
            </w:r>
            <w:r w:rsidR="00CC00CC">
              <w:t xml:space="preserve"> </w:t>
            </w:r>
            <w:r w:rsidR="00A44AF6">
              <w:t>Siehe zu HVO100 Einführung den folgenden FAZ-Artikel.</w:t>
            </w:r>
            <w:r w:rsidR="00A44AF6">
              <w:rPr>
                <w:rStyle w:val="Funotenzeichen"/>
              </w:rPr>
              <w:footnoteReference w:id="996"/>
            </w:r>
            <w:r w:rsidR="00A44AF6">
              <w:t xml:space="preserve"> Die Deutsche Umwelthilfe klagt nun gegen den HVO Biodiesel, angeblich seien die Emissionen höher als bei Diesel.</w:t>
            </w:r>
            <w:r w:rsidR="00A44AF6">
              <w:rPr>
                <w:rStyle w:val="Funotenzeichen"/>
              </w:rPr>
              <w:footnoteReference w:id="997"/>
            </w:r>
            <w:r w:rsidR="00A44AF6">
              <w:t xml:space="preserve"> </w:t>
            </w:r>
            <w:r w:rsidR="00CC00CC">
              <w:t>Bei den Berechnungen bezieht sich die Umwelthilfe auch auf das Konzept der Planetaren Grenzen und bezieht auch den Verbrauch von Düngemitteln wie Phosphat mit ein, dies kann hier aber nicht weiter vertieft werden.</w:t>
            </w:r>
            <w:r w:rsidR="00CC00CC">
              <w:rPr>
                <w:rStyle w:val="Funotenzeichen"/>
              </w:rPr>
              <w:footnoteReference w:id="998"/>
            </w:r>
            <w:r w:rsidR="00CC00CC">
              <w:t xml:space="preserve"> </w:t>
            </w:r>
            <w:r w:rsidR="00913765">
              <w:t xml:space="preserve">In der Neufassung der RED II Richtlinie der EU </w:t>
            </w:r>
            <w:r w:rsidR="00AA60C0">
              <w:t xml:space="preserve">– sprich: </w:t>
            </w:r>
            <w:r w:rsidR="00E83A75">
              <w:t xml:space="preserve">offenkundig </w:t>
            </w:r>
            <w:r w:rsidR="00AA60C0">
              <w:t xml:space="preserve">RED III - </w:t>
            </w:r>
            <w:r w:rsidR="00913765">
              <w:t xml:space="preserve">wurde der </w:t>
            </w:r>
            <w:r w:rsidR="00A44AF6">
              <w:t xml:space="preserve">zu erreichende </w:t>
            </w:r>
            <w:r w:rsidR="00913765">
              <w:t>Anteil der erneuerbaren Energien am Endenergieverbrauch des Verkehrssektors auf 14 % 2030 angehoben.</w:t>
            </w:r>
            <w:r w:rsidR="00913765">
              <w:rPr>
                <w:rStyle w:val="Funotenzeichen"/>
              </w:rPr>
              <w:footnoteReference w:id="999"/>
            </w:r>
            <w:r w:rsidR="00B1342C">
              <w:t xml:space="preserve"> </w:t>
            </w:r>
            <w:r w:rsidR="00B1342C">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tc>
      </w:tr>
    </w:tbl>
    <w:p w14:paraId="5E436FD6" w14:textId="77777777" w:rsidR="00112190" w:rsidRDefault="00112190" w:rsidP="00112190"/>
    <w:tbl>
      <w:tblPr>
        <w:tblStyle w:val="Tabellenraster"/>
        <w:tblW w:w="0" w:type="auto"/>
        <w:tblLook w:val="04A0" w:firstRow="1" w:lastRow="0" w:firstColumn="1" w:lastColumn="0" w:noHBand="0" w:noVBand="1"/>
      </w:tblPr>
      <w:tblGrid>
        <w:gridCol w:w="9062"/>
      </w:tblGrid>
      <w:tr w:rsidR="00112190" w14:paraId="2D6B7CFE" w14:textId="77777777" w:rsidTr="006B301B">
        <w:tc>
          <w:tcPr>
            <w:tcW w:w="9062" w:type="dxa"/>
          </w:tcPr>
          <w:p w14:paraId="5C265668" w14:textId="75CCA1BA" w:rsidR="00112190" w:rsidRDefault="00112190" w:rsidP="006B301B">
            <w:r>
              <w:t xml:space="preserve">Elektroautos. </w:t>
            </w:r>
            <w:r w:rsidR="003716FF">
              <w:t xml:space="preserve">Umweltbonus: </w:t>
            </w:r>
            <w:r>
              <w:t>2016 hat die Bundesregierung den Umweltbonus eingeführt, um den Absatz von Elektroautos zu fördern. Die geschah zusammen mit den Herstellern, über 40.000 bis 65.000 gab es einen Bonus von 3000, bis 40.000 4500 Euro. seit 2023 gibt es die Förderung nur noch für reine E-Autos, zuvor auch für Plug-In Hybride. Weil die Förderung aus dem Klima- und Transformationsfond bezahlt wurde und dieser durch das Urteil des BVerfG nicht fortbestehen kann, ist sie zum 17. Dezember 2023 ausgelaufen</w:t>
            </w:r>
            <w:r w:rsidR="000C7BBF">
              <w:t>, der Klima- und Transformationsfond ist aber bestehen geblieben</w:t>
            </w:r>
            <w:r>
              <w:t>. Der ADAC kritisiert, dass es 2023 auf dem deutschen Markt nur drei Elektro-Fahrzeuge unter 30.000 Euro gibt.</w:t>
            </w:r>
            <w:r>
              <w:rPr>
                <w:rStyle w:val="Funotenzeichen"/>
              </w:rPr>
              <w:footnoteReference w:id="1000"/>
            </w:r>
            <w:r>
              <w:t xml:space="preserve">  </w:t>
            </w:r>
          </w:p>
          <w:p w14:paraId="45CDC2AD" w14:textId="77777777" w:rsidR="00112190" w:rsidRDefault="00112190" w:rsidP="006B301B"/>
          <w:p w14:paraId="01B23A19" w14:textId="5DFA0E39" w:rsidR="00112190" w:rsidRDefault="000C7BBF" w:rsidP="006B301B">
            <w:r>
              <w:t>Schnellladestellen</w:t>
            </w:r>
            <w:r w:rsidR="003716FF">
              <w:t>:</w:t>
            </w:r>
            <w:r>
              <w:t xml:space="preserve"> </w:t>
            </w:r>
            <w:r w:rsidR="00112190">
              <w:t>Immerhin wurde im Mai 2024 nun ein Gesetzentwurf beschlossen, der vorsieht, dass ab dem 1. Januar 2028 jede Tankstelle (Unternehmen mit mindestens 200 Tankstellen) mindestens eine Schnellladestelle für Elektroautos vorhalten soll, mit einer Leistung von mindestens 150 Kilowatt.</w:t>
            </w:r>
            <w:r w:rsidR="00112190">
              <w:rPr>
                <w:rStyle w:val="Funotenzeichen"/>
              </w:rPr>
              <w:footnoteReference w:id="1001"/>
            </w:r>
            <w:r w:rsidR="001A322A">
              <w:t xml:space="preserve"> Ein gutes Beispiel für die Planung von Ladesäulen bietet Frankfurt, welche alle 450.000 Parkplätze der Stadt kartographiert hat und nun auch mit Firmen zusammenarbeitet, um Ladesäulen bei Firmen etwa aufzubauen, ebenso sollen Ladesäulen zu 85 % auf privaten Flächen etabliert werden, um den Bedarf zu decken, der 2030 bei 35.000 und für 2035 bei 60.000 geschätzt wird.</w:t>
            </w:r>
            <w:r w:rsidR="001A322A">
              <w:rPr>
                <w:rStyle w:val="Funotenzeichen"/>
              </w:rPr>
              <w:footnoteReference w:id="1002"/>
            </w:r>
          </w:p>
        </w:tc>
      </w:tr>
    </w:tbl>
    <w:p w14:paraId="7E5E665C" w14:textId="77777777" w:rsidR="000C7BBF" w:rsidRDefault="000C7BBF" w:rsidP="00112190"/>
    <w:p w14:paraId="017CA6CB" w14:textId="30036281" w:rsidR="000C7BBF" w:rsidRDefault="005662C6" w:rsidP="00112190">
      <w:r w:rsidRPr="00550090">
        <w:rPr>
          <w:u w:val="single"/>
          <w:lang w:val="en-US"/>
        </w:rPr>
        <w:t>CCS (Carbon Capture and Storage) und CCU (Carbon Capture and Usage)</w:t>
      </w:r>
      <w:r w:rsidRPr="00550090">
        <w:rPr>
          <w:lang w:val="en-US"/>
        </w:rPr>
        <w:t xml:space="preserve">. </w:t>
      </w:r>
      <w:r w:rsidR="000C7BBF">
        <w:t xml:space="preserve">Im Bereich CCS (Carbon Capture and Storage) und CCU (Carbon Capture and </w:t>
      </w:r>
      <w:proofErr w:type="spellStart"/>
      <w:r w:rsidR="000C7BBF">
        <w:t>Usage</w:t>
      </w:r>
      <w:proofErr w:type="spellEnd"/>
      <w:r w:rsidR="000C7BBF">
        <w:t xml:space="preserve">) liegt vom Wirtschaftsministerium </w:t>
      </w:r>
      <w:proofErr w:type="gramStart"/>
      <w:r w:rsidR="000C7BBF">
        <w:t>eine Referentenentwurf</w:t>
      </w:r>
      <w:proofErr w:type="gramEnd"/>
      <w:r w:rsidR="000C7BBF">
        <w:t xml:space="preserve"> für ein Kohlendioxid-Speicherungsgesetz (</w:t>
      </w:r>
      <w:proofErr w:type="spellStart"/>
      <w:r w:rsidR="000C7BBF">
        <w:t>KSpG</w:t>
      </w:r>
      <w:proofErr w:type="spellEnd"/>
      <w:r w:rsidR="000C7BBF">
        <w:t>) vor.</w:t>
      </w:r>
      <w:r w:rsidR="000C7BBF">
        <w:rPr>
          <w:rStyle w:val="Funotenzeichen"/>
        </w:rPr>
        <w:footnoteReference w:id="1003"/>
      </w:r>
      <w:r w:rsidR="000C7BBF">
        <w:t xml:space="preserve"> Am 26.02.2024 wurde, siehe schon oben, eine Carbon-Management-Strategie der Bundesregierung vorgestellt. CSS wird für sog. ‚</w:t>
      </w:r>
      <w:proofErr w:type="spellStart"/>
      <w:r w:rsidR="000C7BBF">
        <w:t>hard</w:t>
      </w:r>
      <w:proofErr w:type="spellEnd"/>
      <w:r w:rsidR="000C7BBF">
        <w:t xml:space="preserve"> </w:t>
      </w:r>
      <w:proofErr w:type="spellStart"/>
      <w:r w:rsidR="000C7BBF">
        <w:t>to</w:t>
      </w:r>
      <w:proofErr w:type="spellEnd"/>
      <w:r w:rsidR="000C7BBF">
        <w:t xml:space="preserve"> </w:t>
      </w:r>
      <w:proofErr w:type="spellStart"/>
      <w:r w:rsidR="000C7BBF">
        <w:t>abate</w:t>
      </w:r>
      <w:proofErr w:type="spellEnd"/>
      <w:r w:rsidR="000C7BBF">
        <w:t xml:space="preserve">‘ Sektoren erlaubt, etwa Zement, Kalk, Grundstoffchemie oder Abfallverbrennung, im Einzelfall sogar für Wasserstoffherstellung aus Erdgas jedoch nicht für Kohleverstromung. Für </w:t>
      </w:r>
      <w:r w:rsidR="000C7BBF">
        <w:lastRenderedPageBreak/>
        <w:t>Gaskraftwerke wird CSS erlaubt, es erfolgt aber keine finanzielle Förderung. Speicherstätten wären die Nordsee, im Einzelfall könnten sich auch einzelne Bundesländer freiwillig entscheiden, eine Landspeicherung auszuprobieren. Die Rohrsysteme dafür, etwa das Rohr nach Norwegen, solle die Industrie finanzieren, eine Förderung wäre für die anderen Bereiche denkbar.</w:t>
      </w:r>
      <w:r w:rsidR="000C7BBF">
        <w:rPr>
          <w:rStyle w:val="Funotenzeichen"/>
        </w:rPr>
        <w:footnoteReference w:id="1004"/>
      </w:r>
      <w:r w:rsidR="000C7BBF">
        <w:t xml:space="preserve"> Auch für Anlagen zur Kraft-Wärme-Kopplung ist es nicht erlaubt. Mit diesem Kompromiss ist die FDP zufrieden, die Grünen wollten CCS nicht bei blauem Wasserstoff oder bei Gaskraftwerken zulassen und kritisieren, dass diese beiden Bereiche auch auf Strom mit erneuerbaren Energien umgestellt werden könnten und dass so die alten Technologien verlängert werden.</w:t>
      </w:r>
      <w:r w:rsidR="000C7BBF">
        <w:rPr>
          <w:rStyle w:val="Funotenzeichen"/>
        </w:rPr>
        <w:footnoteReference w:id="1005"/>
      </w:r>
    </w:p>
    <w:p w14:paraId="09AF2F81" w14:textId="77777777" w:rsidR="00B2693A" w:rsidRDefault="00B2693A" w:rsidP="00112190"/>
    <w:p w14:paraId="2F36748F" w14:textId="3E7053F6" w:rsidR="002A29C2" w:rsidRDefault="00B2693A" w:rsidP="00127E03">
      <w:r>
        <w:t>Es gibt nun eine 49 Seiten Carbon Management Strategie, die sich derzeit in der Abstimmung befindet (nicht im Internet verfügbar). In dieser Strategie sind nun auch erste CCS-Projekte in Deutschland erwähnt und zwar eine Anlage in der Zementindustrie und eine an einer Müllverbrennungsanlage. Auch ein CO2-Pipelinenetz wird gebaut werden, es wird bis 2045 mehr als 4500 Kilometer lang sein. Bereits Ende Mai wurde ein aktualisiertes Kohlendioxidspeicherungsgesetz verabschiedet, dass CCS erlaubt. Umstritten sind die Bereiche, in denen CCS erlaubt wird. Klar ist, dass es für Kohleverstromung nicht möglich ist. Umstritten ist der Einsatz bei blauem Wasserstoff. In der neuen Carbon Management Strategie gibt es dafür eine Ampel, ob steht Zement, darunter die chemische Grundstoffindustrie.</w:t>
      </w:r>
      <w:r>
        <w:rPr>
          <w:rStyle w:val="Funotenzeichen"/>
        </w:rPr>
        <w:footnoteReference w:id="1006"/>
      </w:r>
      <w:r>
        <w:t xml:space="preserve"> </w:t>
      </w:r>
      <w:r w:rsidR="005139BB">
        <w:t>Auch gibt einen Entwurf zu einem Kohlendioxid-Speicherungs- und Transportgesetzes zu geben, um Pipelines und Speicher zu ermöglichen.</w:t>
      </w:r>
      <w:r w:rsidR="005139BB">
        <w:rPr>
          <w:rStyle w:val="Funotenzeichen"/>
        </w:rPr>
        <w:footnoteReference w:id="1007"/>
      </w:r>
      <w:r w:rsidR="00127E03">
        <w:t xml:space="preserve"> </w:t>
      </w:r>
    </w:p>
    <w:p w14:paraId="5DC79EFA" w14:textId="77777777" w:rsidR="002A29C2" w:rsidRDefault="002A29C2" w:rsidP="00127E03"/>
    <w:p w14:paraId="54B1D1CC" w14:textId="77777777" w:rsidR="00B67E01" w:rsidRDefault="00A166C4" w:rsidP="00B67E01">
      <w:r>
        <w:t>Nun liegt der Entwurf eines Kohlendioxid-Speicherungs- und Transportgesetzes (</w:t>
      </w:r>
      <w:proofErr w:type="spellStart"/>
      <w:r>
        <w:t>KSpG</w:t>
      </w:r>
      <w:proofErr w:type="spellEnd"/>
      <w:r>
        <w:t xml:space="preserve">) vor, hier wird CCS nur für Kohlekraftwerke verboten, ansonsten ist CCS für alle Industrien erlaubt (diskutiert wird nur ein weiteres Verbot für die Gaskraftwerke), CCS wird nur auf der See, 8. Kilometer entfernt von der Küste erlaubt, CCS auf dem Land ist nur möglich, wenn sich ein Bundesland dafür selbst entscheidet, es gibt aber keinen Zwang dazu, weiterhin werden CO2-Pipelines und Speicher für CO2 ermöglicht. Dieses Gesetz ändert das </w:t>
      </w:r>
      <w:proofErr w:type="spellStart"/>
      <w:r>
        <w:t>KSpG</w:t>
      </w:r>
      <w:proofErr w:type="spellEnd"/>
      <w:r>
        <w:t xml:space="preserve"> von 2012, das nur für die Erforschung und Erprobung von CCS vorgesehen war. Wichtig ist hier § 33 Abs. 5</w:t>
      </w:r>
      <w:r>
        <w:rPr>
          <w:rStyle w:val="Funotenzeichen"/>
        </w:rPr>
        <w:footnoteReference w:id="1008"/>
      </w:r>
      <w:r>
        <w:t>, der festlegt, dass Kohlekraftwerke nicht an der Pipelinenetz angeschlossen werden dürfen.</w:t>
      </w:r>
      <w:r>
        <w:rPr>
          <w:rStyle w:val="Funotenzeichen"/>
        </w:rPr>
        <w:footnoteReference w:id="1009"/>
      </w:r>
      <w:r>
        <w:t xml:space="preserve"> Siehe eine kurze Rede von Robert Habeck dazu hier.</w:t>
      </w:r>
      <w:r>
        <w:rPr>
          <w:rStyle w:val="Funotenzeichen"/>
        </w:rPr>
        <w:footnoteReference w:id="1010"/>
      </w:r>
      <w:r>
        <w:t xml:space="preserve">  In der 125 Sitzung des Ausschuss für Klimaschutz und Energie am 6. November 2024 wird </w:t>
      </w:r>
      <w:r>
        <w:lastRenderedPageBreak/>
        <w:t>u.a. auch eine Ausdehnung von $ 33 auf Gaskraftwerke gefordert, z.B. vom WWF.</w:t>
      </w:r>
      <w:r>
        <w:rPr>
          <w:rStyle w:val="Funotenzeichen"/>
        </w:rPr>
        <w:footnoteReference w:id="1011"/>
      </w:r>
      <w:r>
        <w:t xml:space="preserve"> Das Gesetz ist (Stand: 16.04.2025)  noch nicht beschlossen worden, es findet sich bislang kein Eintrag im elektronischen Bundesgesetzblatt</w:t>
      </w:r>
      <w:r>
        <w:rPr>
          <w:rStyle w:val="Funotenzeichen"/>
        </w:rPr>
        <w:footnoteReference w:id="1012"/>
      </w:r>
      <w:r>
        <w:t>, und auch nicht in Gesetze im Internet.</w:t>
      </w:r>
      <w:r>
        <w:rPr>
          <w:rStyle w:val="Funotenzeichen"/>
        </w:rPr>
        <w:footnoteReference w:id="1013"/>
      </w:r>
      <w:r>
        <w:t xml:space="preserve"> Der Sachverständigenrat für Umweltfragen hatte gefordert, CCS nur für unvermeidbare Restemissionen zu begrenzen, siehe hier diese klar formulierte Stellungnahme.</w:t>
      </w:r>
      <w:r>
        <w:rPr>
          <w:rStyle w:val="Funotenzeichen"/>
        </w:rPr>
        <w:footnoteReference w:id="1014"/>
      </w:r>
      <w:r w:rsidR="00B67E01">
        <w:t xml:space="preserve"> Nun liegt eine neuer Entwurf für eine Änderung des </w:t>
      </w:r>
      <w:proofErr w:type="spellStart"/>
      <w:r w:rsidR="00B67E01">
        <w:t>KSpTG</w:t>
      </w:r>
      <w:proofErr w:type="spellEnd"/>
      <w:r w:rsidR="00B67E01">
        <w:t xml:space="preserve"> vor, auch für Gaskraftwerke und für die Herstellung von blauem Wasserstoff aus Erdgas ist CCS nun erlaubt. Für Kohlekraftwerke und Kohleheizkraftwerke ist CCS nicht möglich, da für diese Kraftwerke ein Verbot der Nutzung von Kohlendioxidleitungen in diesem Gesetz festgehalten wurde.</w:t>
      </w:r>
      <w:r w:rsidR="00B67E01">
        <w:rPr>
          <w:rStyle w:val="Funotenzeichen"/>
        </w:rPr>
        <w:footnoteReference w:id="1015"/>
      </w:r>
    </w:p>
    <w:p w14:paraId="7975005E" w14:textId="062BFFB5" w:rsidR="005139BB" w:rsidRDefault="005139BB" w:rsidP="005139BB"/>
    <w:p w14:paraId="3A83F765" w14:textId="77777777" w:rsidR="00A166C4" w:rsidRDefault="00A166C4" w:rsidP="00A166C4">
      <w:r>
        <w:t>Es wird geschätzt, dass in Deutschland nach 2040 noch jährlich 50 Millionen Tonnen CO2 Emissionen aus ‚</w:t>
      </w:r>
      <w:proofErr w:type="spellStart"/>
      <w:r>
        <w:t>hard</w:t>
      </w:r>
      <w:proofErr w:type="spellEnd"/>
      <w:r>
        <w:t xml:space="preserve"> </w:t>
      </w:r>
      <w:proofErr w:type="spellStart"/>
      <w:r>
        <w:t>to</w:t>
      </w:r>
      <w:proofErr w:type="spellEnd"/>
      <w:r>
        <w:t xml:space="preserve"> </w:t>
      </w:r>
      <w:proofErr w:type="spellStart"/>
      <w:r>
        <w:t>abate</w:t>
      </w:r>
      <w:proofErr w:type="spellEnd"/>
      <w:r>
        <w:t>‘-Bereichen bestehen werden, die mit CCS aufgefangen werden müssten. Dazu wird von der Bundesregierung eine Langfriststrategie Negativemissionen, siehe das diesbezügliche Eckpunktepapier vom 26.02.2024 (hier nicht eingearbeitet)</w:t>
      </w:r>
      <w:r>
        <w:rPr>
          <w:rStyle w:val="Funotenzeichen"/>
        </w:rPr>
        <w:footnoteReference w:id="1016"/>
      </w:r>
      <w:r>
        <w:t>, ausgearbeitet.</w:t>
      </w:r>
      <w:r w:rsidRPr="009E3789">
        <w:rPr>
          <w:rStyle w:val="Funotenzeichen"/>
        </w:rPr>
        <w:t xml:space="preserve"> </w:t>
      </w:r>
      <w:r>
        <w:rPr>
          <w:rStyle w:val="Funotenzeichen"/>
        </w:rPr>
        <w:footnoteReference w:id="1017"/>
      </w:r>
      <w:r>
        <w:t xml:space="preserve"> </w:t>
      </w:r>
    </w:p>
    <w:p w14:paraId="6A3F06F7" w14:textId="77777777" w:rsidR="000C7BBF" w:rsidRDefault="000C7BBF" w:rsidP="00112190"/>
    <w:p w14:paraId="684AC11A" w14:textId="7C025E5E" w:rsidR="001B718E" w:rsidRDefault="001B718E" w:rsidP="00112190">
      <w:r>
        <w:t>Siehe hierzu auch den Punkt EU, hier wird derzeit eine Industrial Carbon Managementstrategie entwickelt, die eng mit der Kreislaufwirtschaft verbunden ist, siehe schon Teil 2.</w:t>
      </w:r>
    </w:p>
    <w:p w14:paraId="0347998F" w14:textId="77777777" w:rsidR="001B718E" w:rsidRDefault="001B718E" w:rsidP="00112190"/>
    <w:p w14:paraId="3A9DDCCD" w14:textId="6507F085" w:rsidR="00112190" w:rsidRDefault="005662C6" w:rsidP="00112190">
      <w:r w:rsidRPr="005662C6">
        <w:rPr>
          <w:u w:val="single"/>
        </w:rPr>
        <w:t>Stromspeicherung</w:t>
      </w:r>
      <w:r>
        <w:t xml:space="preserve">. </w:t>
      </w:r>
      <w:r w:rsidR="00112190">
        <w:t xml:space="preserve">Kritisiert wird beispielweise vom </w:t>
      </w:r>
      <w:proofErr w:type="gramStart"/>
      <w:r w:rsidR="00112190">
        <w:t>RWE Chef</w:t>
      </w:r>
      <w:proofErr w:type="gramEnd"/>
      <w:r w:rsidR="00112190">
        <w:t xml:space="preserve"> Markus Krebber, dass im Bereich Stromspeicherung mehr getan werden muss und dass, Thema Kapazitätsmärkte, Ersatzkapazitäten, wasserstofffähige Gaskraftwerke nötig seien, die im Winter die Versorgung stabil halten können.</w:t>
      </w:r>
      <w:r w:rsidR="00112190">
        <w:rPr>
          <w:rStyle w:val="Funotenzeichen"/>
        </w:rPr>
        <w:footnoteReference w:id="1018"/>
      </w:r>
      <w:r w:rsidR="00112190">
        <w:t xml:space="preserve"> </w:t>
      </w:r>
    </w:p>
    <w:p w14:paraId="3FAD0909" w14:textId="77777777" w:rsidR="00BE75A2" w:rsidRDefault="00BE75A2" w:rsidP="00112190">
      <w:pPr>
        <w:rPr>
          <w:u w:val="single"/>
        </w:rPr>
      </w:pPr>
    </w:p>
    <w:p w14:paraId="7EF0CB7D" w14:textId="6234571F" w:rsidR="00BE75A2" w:rsidRPr="00BE75A2" w:rsidRDefault="00BE75A2" w:rsidP="00112190">
      <w:r w:rsidRPr="00BE75A2">
        <w:t>Dazu können Großbatterien und Pumpspeicherkraftwerke ihren Beitrag leisten, siehe dazu auch Teil 2.</w:t>
      </w:r>
      <w:r>
        <w:t xml:space="preserve"> Wenn dies nicht ausreicht, sollen wasserstofffähige Gaskraftwerke aktiv werden. Wasserstoff soll im Sommer aus Elektrolyseuren produziert werden und dann gespeichert werden und im Winter verheizt werden, um Stromengpässe, spricht eine Dunkelflaute, zu überbrücken.</w:t>
      </w:r>
    </w:p>
    <w:p w14:paraId="114A6B90" w14:textId="77777777" w:rsidR="00BE75A2" w:rsidRDefault="00BE75A2" w:rsidP="00112190">
      <w:pPr>
        <w:rPr>
          <w:u w:val="single"/>
        </w:rPr>
      </w:pPr>
    </w:p>
    <w:p w14:paraId="552C89ED" w14:textId="76BB7A29" w:rsidR="00112190" w:rsidRDefault="005662C6" w:rsidP="00112190">
      <w:r w:rsidRPr="005662C6">
        <w:rPr>
          <w:u w:val="single"/>
        </w:rPr>
        <w:t>Kraftwerksstrategie</w:t>
      </w:r>
      <w:r>
        <w:rPr>
          <w:u w:val="single"/>
        </w:rPr>
        <w:t xml:space="preserve"> und Kapazitätsmärkte</w:t>
      </w:r>
      <w:r w:rsidRPr="005662C6">
        <w:rPr>
          <w:u w:val="single"/>
        </w:rPr>
        <w:t>.</w:t>
      </w:r>
      <w:r>
        <w:t xml:space="preserve"> </w:t>
      </w:r>
      <w:r w:rsidR="00112190">
        <w:t>Und im Bereich Kapazitätsmärkte wurde ein erster Schritt hin zu einer Lösung vollzogen, es besteht aber erhebliche Unsicherheit über die tatsächlichen nötigen Gaskraftwerke, die zur Aufrechterhaltung der Stromversorgung nötig sein werden:</w:t>
      </w:r>
    </w:p>
    <w:p w14:paraId="28B420B1" w14:textId="77777777" w:rsidR="00112190" w:rsidRDefault="00112190" w:rsidP="00112190"/>
    <w:p w14:paraId="56D41E07" w14:textId="509DF261" w:rsidR="001A322A" w:rsidRDefault="001A322A" w:rsidP="001A322A">
      <w:r>
        <w:t xml:space="preserve">Einigung auf Kraftwerksstrategie, 05.02.2024. Die Ampel hat sich darauf geeinigt, dass bis zu vier 2,5 GW Gaskraftwerke gebaut werden sollen, die auch mit Wasserstoff betrieben werden können. Die Förderung soll aus dem Klima- und Transformationsfond finanziert werden, die Kosten lägen bei 16 </w:t>
      </w:r>
      <w:r>
        <w:lastRenderedPageBreak/>
        <w:t>Mrd. Euro für die nächsten 20 Jahre. Spätestens im Sommer 2024 soll dann ein Konzept für einen Kapazitätsmechanismus entwickelt worden sein, der die Kraftwerke für die sog. Dunkelflaute, wenn kein Wind- und kein Solarstrom verfügbar ist, vorhält. Die Firmen müssen für die Zeit des Stillstands der Kraftwerke in irgendeiner Form kompensiert werden, damit sich der Bau lohnt.</w:t>
      </w:r>
      <w:r>
        <w:rPr>
          <w:rStyle w:val="Funotenzeichen"/>
        </w:rPr>
        <w:footnoteReference w:id="1019"/>
      </w:r>
      <w:r>
        <w:t xml:space="preserve"> Uniper und </w:t>
      </w:r>
      <w:proofErr w:type="spellStart"/>
      <w:r>
        <w:t>Iqony</w:t>
      </w:r>
      <w:proofErr w:type="spellEnd"/>
      <w:r>
        <w:t xml:space="preserve"> von Steag sind am Bau von Gaskraftwerken interessiert, siehe dazu hier.</w:t>
      </w:r>
      <w:r>
        <w:rPr>
          <w:rStyle w:val="Funotenzeichen"/>
        </w:rPr>
        <w:footnoteReference w:id="1020"/>
      </w:r>
    </w:p>
    <w:p w14:paraId="2290E243" w14:textId="77777777" w:rsidR="001A322A" w:rsidRDefault="001A322A" w:rsidP="001A322A"/>
    <w:p w14:paraId="3B4D2899" w14:textId="11105B4D" w:rsidR="00A166C4" w:rsidRDefault="00A166C4" w:rsidP="001A322A">
      <w:r>
        <w:t>Steag hat eine Klage gegen die Bundesnetzagentur angestrengt. Von 30 Kraftwerken, die als Netzreserven dienen müssen, betreibt Steag 6 Kohlekraftwerke. Dafür gibt es von der Bundesnetzagentur nur eine Kostenerstattung. Steag möchte Kosten für laufende Instandsetzung und eine maßvolle Vergütung. Die Kraftwerke Bexbach und Weiher sollen seit der neuesten Anweisung nun von 2017 bis 2031 in der Netzreserve bleiben, da dies mehr als Hälfte der Lebensdauer dieser Kraftwerke sei, sei eine Vergütung nötig.</w:t>
      </w:r>
      <w:r>
        <w:rPr>
          <w:rStyle w:val="Funotenzeichen"/>
        </w:rPr>
        <w:footnoteReference w:id="1021"/>
      </w:r>
    </w:p>
    <w:p w14:paraId="262FC37C" w14:textId="77777777" w:rsidR="00A166C4" w:rsidRDefault="00A166C4" w:rsidP="001A322A"/>
    <w:p w14:paraId="2B44F783" w14:textId="1A51C0BA" w:rsidR="001A322A" w:rsidRDefault="001A322A" w:rsidP="001A322A">
      <w:r>
        <w:t xml:space="preserve">Das </w:t>
      </w:r>
      <w:proofErr w:type="spellStart"/>
      <w:r>
        <w:t>EnGW</w:t>
      </w:r>
      <w:proofErr w:type="spellEnd"/>
      <w:r>
        <w:t xml:space="preserve"> </w:t>
      </w:r>
      <w:r w:rsidR="00455141">
        <w:t>§</w:t>
      </w:r>
      <w:r>
        <w:t xml:space="preserve"> 13d sieht eine Netzreserve vor, d.h. Kraftwerke, die dafür da sind, einen sicheren Netzbetrieb zu ermöglichen, z.B. dafür, um den Redispatch zu ermöglichen, beim Redispatch wird bei einer Überlastung ein Kraftwerk vor der überlasteten Strecke heruntergefahren und dahinter hochgefahren, „dadurch nimmt der Stromfluss auf der überlasteten Strecke ab.“</w:t>
      </w:r>
      <w:r>
        <w:rPr>
          <w:rStyle w:val="Funotenzeichen"/>
        </w:rPr>
        <w:footnoteReference w:id="1022"/>
      </w:r>
      <w:r>
        <w:t xml:space="preserve"> Die Netzreserve ist in Deutschland nur dazu da, in solchen Fällen in Betrieb genommen zu werden, sie sollte den Strommarkt nicht in ihrer Preisbildung berühren. In Deutschland ist die Rede von einem Energy-Only-Markt bzw. einen Strommarkt 2.0.</w:t>
      </w:r>
      <w:r>
        <w:rPr>
          <w:rStyle w:val="Funotenzeichen"/>
        </w:rPr>
        <w:footnoteReference w:id="1023"/>
      </w:r>
      <w:r>
        <w:t xml:space="preserve"> Ein Kapazitätsmarkt ist letztlich eine Netzreserve, die in einer Form eines Marktes organisiert wird.</w:t>
      </w:r>
    </w:p>
    <w:p w14:paraId="0FD827E5" w14:textId="77777777" w:rsidR="001A322A" w:rsidRDefault="001A322A" w:rsidP="001A322A"/>
    <w:p w14:paraId="727F44B8" w14:textId="77777777" w:rsidR="001A322A" w:rsidRDefault="001A322A" w:rsidP="001A322A">
      <w:r>
        <w:t xml:space="preserve">Diese Pläne wurden von der CDU im März 2024 als unzureichend kritisiert. Grund für die niedrigen Ausbauzahlen war aber Christian Linder, FDP, war, der Sorge über zu hohe Kosten hatte, siehe den </w:t>
      </w:r>
      <w:proofErr w:type="gramStart"/>
      <w:r>
        <w:t>FAZ Artikel</w:t>
      </w:r>
      <w:proofErr w:type="gramEnd"/>
      <w:r>
        <w:t xml:space="preserve"> zur Kritik Jens Spahn, CDU, zur Kraftwerksstrategie.</w:t>
      </w:r>
      <w:r>
        <w:rPr>
          <w:rStyle w:val="Funotenzeichen"/>
        </w:rPr>
        <w:footnoteReference w:id="1024"/>
      </w:r>
      <w:r>
        <w:t xml:space="preserve"> </w:t>
      </w:r>
    </w:p>
    <w:p w14:paraId="177C4075" w14:textId="77777777" w:rsidR="001A322A" w:rsidRDefault="001A322A" w:rsidP="001A322A"/>
    <w:p w14:paraId="14C1747D" w14:textId="77777777" w:rsidR="001A322A" w:rsidRDefault="001A322A" w:rsidP="001A322A">
      <w:r>
        <w:t xml:space="preserve">Die Kraftwerksstrategie ist weiterhin mit dem Kohleausstieg verbunden. Im Februar 2024 wird von </w:t>
      </w:r>
      <w:proofErr w:type="gramStart"/>
      <w:r>
        <w:t>NRW Ministerpräsident</w:t>
      </w:r>
      <w:proofErr w:type="gramEnd"/>
      <w:r>
        <w:t xml:space="preserve"> Wüst bezweifelt, dass ein vorgezogener Kohleausstieg 2030 möglich ist. Dies sollte 2026 noch einmal überprüft werden. Genehmigungen und Planungen für die neuen Gaskraftwerke dauern lang, wenn man erst nach 2024 damit anfängt, sei es nicht möglich, bis 2030 eine genügende Kapazität gebaut zu haben. Dazu kommt, dass viele Experten sagen, dass 10 GW Leistung nicht ausreicht, wie dies das Wirtschaftsministerium behauptet, es seien 20 GW oder sogar 35 GW nötig, um NRW als Industriestandort in der Dunkelflaute zu versorgen.</w:t>
      </w:r>
      <w:r>
        <w:rPr>
          <w:rStyle w:val="Funotenzeichen"/>
        </w:rPr>
        <w:footnoteReference w:id="1025"/>
      </w:r>
      <w:r>
        <w:t xml:space="preserve"> Der BDI hatte 2021 43 GW Gaskraftwerke geschätzt, die H2-ready sein müssten, falls man 2030 den Kohleausstieg vorziehen will.</w:t>
      </w:r>
      <w:r>
        <w:rPr>
          <w:rStyle w:val="Funotenzeichen"/>
        </w:rPr>
        <w:footnoteReference w:id="1026"/>
      </w:r>
      <w:r>
        <w:t xml:space="preserve"> Eine aktuelle, detaillierte Literaturanalyse des Wissenschaftlichen Dienstes des </w:t>
      </w:r>
      <w:r>
        <w:lastRenderedPageBreak/>
        <w:t>Deutschen Bundestags zu diesem Thema liegt vor, vom 11.03.2024.</w:t>
      </w:r>
      <w:r>
        <w:rPr>
          <w:rStyle w:val="Funotenzeichen"/>
        </w:rPr>
        <w:footnoteReference w:id="1027"/>
      </w:r>
      <w:r>
        <w:t xml:space="preserve"> Möglich ist es allerdings, Gaskraftwerke und Kohlekraftwerke zu kombinieren und etwa Kohlekraftwerke als letzte Möglichkeit hochzufahren, wenn die Gaskraftwerke nicht mehr reichen. Auch Kohlekraftwerke können schnell hochgefahren werden. </w:t>
      </w:r>
    </w:p>
    <w:p w14:paraId="5C9EAAC9" w14:textId="77777777" w:rsidR="001A322A" w:rsidRDefault="001A322A" w:rsidP="001A322A"/>
    <w:p w14:paraId="4E0AD6E2" w14:textId="57E30897" w:rsidR="001A322A" w:rsidRDefault="001A322A" w:rsidP="001A322A">
      <w:r>
        <w:t>Einen Überblick über den Stand der Dinge zu diesem Thema gibt der Präsident der Bundesnetzagentur Klaus Müller in einem langen Interview im Geladen Podcast, 31.03.2024.</w:t>
      </w:r>
      <w:r>
        <w:rPr>
          <w:rStyle w:val="Funotenzeichen"/>
        </w:rPr>
        <w:footnoteReference w:id="1028"/>
      </w:r>
    </w:p>
    <w:p w14:paraId="10E26B3B" w14:textId="77777777" w:rsidR="001A322A" w:rsidRDefault="001A322A" w:rsidP="001A322A"/>
    <w:p w14:paraId="593862B7" w14:textId="5FADBF0D" w:rsidR="001A322A" w:rsidRDefault="007C0C8E" w:rsidP="001A322A">
      <w:r>
        <w:t>Im Jahr 2024 wurde</w:t>
      </w:r>
      <w:r w:rsidR="001A322A">
        <w:t xml:space="preserve"> </w:t>
      </w:r>
      <w:r w:rsidR="00D21D5C">
        <w:t>folgendes geplant:</w:t>
      </w:r>
      <w:r w:rsidR="001A322A">
        <w:t xml:space="preserve"> siehe den FAZ-Artikel</w:t>
      </w:r>
      <w:r w:rsidR="00BD2FC6">
        <w:t xml:space="preserve"> vom 09.07.2024</w:t>
      </w:r>
      <w:r w:rsidR="001A322A">
        <w:t xml:space="preserve"> dazu</w:t>
      </w:r>
      <w:r w:rsidR="001A322A">
        <w:rPr>
          <w:rStyle w:val="Funotenzeichen"/>
        </w:rPr>
        <w:footnoteReference w:id="1029"/>
      </w:r>
      <w:r w:rsidR="00D21D5C">
        <w:t>, Infos wurden aber auch hier entnommen.</w:t>
      </w:r>
      <w:r w:rsidR="00D21D5C">
        <w:rPr>
          <w:rStyle w:val="Funotenzeichen"/>
        </w:rPr>
        <w:footnoteReference w:id="1030"/>
      </w:r>
      <w:r w:rsidR="00D21D5C">
        <w:t xml:space="preserve"> </w:t>
      </w:r>
      <w:r w:rsidR="004B002A">
        <w:t>Geplant ist, d</w:t>
      </w:r>
      <w:r w:rsidR="001A322A">
        <w:t xml:space="preserve">ass 10 neue wasserstofffähige Gaskraftwerke entstehen sollen mit einer Leistung von 5 Gigawatt. 2 weitere sollen durch Modernisierung entstehen. 8 Jahre nach der Inbetriebnahme sollen sie mit Wasserstoff laufen. Insgesamt wird nun mit 12,5 GW Leistung geplant. Dies bleibt niedriger als 17 </w:t>
      </w:r>
      <w:r w:rsidR="00D21D5C">
        <w:t xml:space="preserve">GW </w:t>
      </w:r>
      <w:r w:rsidR="001A322A">
        <w:t>bis 21</w:t>
      </w:r>
      <w:r w:rsidR="00D21D5C">
        <w:t xml:space="preserve"> GW</w:t>
      </w:r>
      <w:r w:rsidR="001A322A">
        <w:t>, welches von der Bundesnetzagentur ausgerechnet wurde. Diese hohen Werte müssen noch nicht erreicht werden, weil noch Kohlekraftwerke zur Verfügung stünden (somit scheint ein Kohleausstieg 2030 offenbar nicht geplant zu sein). Neu ist, dass 0,5 GW als Langfristspeicher zur Verfügung stehen sollen, der Strom für 72 Stunden bereitstellen kann. Und es soll ein 0,5 GW Kraftwerk gebaut werden, das direkt mit Wasserstoff läuft.</w:t>
      </w:r>
      <w:r w:rsidR="00D21D5C">
        <w:rPr>
          <w:rStyle w:val="Funotenzeichen"/>
        </w:rPr>
        <w:footnoteReference w:id="1031"/>
      </w:r>
      <w:r w:rsidR="001A322A">
        <w:t xml:space="preserve"> Dies wird gerade in einem neuen </w:t>
      </w:r>
      <w:r w:rsidR="001A322A" w:rsidRPr="00A01252">
        <w:rPr>
          <w:u w:val="single"/>
        </w:rPr>
        <w:t xml:space="preserve">Kraftwerkssicherheitsgesetz </w:t>
      </w:r>
      <w:r w:rsidR="00A01252">
        <w:rPr>
          <w:u w:val="single"/>
        </w:rPr>
        <w:t>(</w:t>
      </w:r>
      <w:r w:rsidR="00A01252" w:rsidRPr="00A01252">
        <w:rPr>
          <w:u w:val="single"/>
        </w:rPr>
        <w:t>KWSG</w:t>
      </w:r>
      <w:r w:rsidR="00A01252">
        <w:rPr>
          <w:u w:val="single"/>
        </w:rPr>
        <w:t>)</w:t>
      </w:r>
      <w:r w:rsidR="00A01252">
        <w:t xml:space="preserve"> </w:t>
      </w:r>
      <w:r w:rsidR="001A322A">
        <w:t xml:space="preserve">erarbeitet. Die Finanzierung </w:t>
      </w:r>
      <w:r w:rsidR="00BD2FC6">
        <w:t>soll offenbar</w:t>
      </w:r>
      <w:r w:rsidR="00D21D5C">
        <w:t xml:space="preserve"> über eine Investitionskostenzuschlag</w:t>
      </w:r>
      <w:r w:rsidR="001A322A">
        <w:t xml:space="preserve"> </w:t>
      </w:r>
      <w:r w:rsidR="00D21D5C">
        <w:t xml:space="preserve">mit 10 jährlichen Raten ab Inbetriebnahme, dann eine </w:t>
      </w:r>
      <w:r w:rsidR="001A322A">
        <w:t>Betriebskostenförderung über einen Differenz</w:t>
      </w:r>
      <w:r w:rsidR="00D21D5C">
        <w:t>förderung für die Nutzung von Wasserstoff für 4 Jahre, für 800 Betriebsstunden</w:t>
      </w:r>
      <w:r w:rsidR="00BD2FC6">
        <w:t xml:space="preserve"> erfolgen</w:t>
      </w:r>
      <w:r w:rsidR="00D21D5C">
        <w:t xml:space="preserve"> (der Zuschuss erfolgt so, dass alles was teurer ist, als die Kosten für Erdgas und CO2-Abgaben</w:t>
      </w:r>
      <w:r w:rsidR="00BD2FC6">
        <w:t>)</w:t>
      </w:r>
      <w:r w:rsidR="00D21D5C">
        <w:t xml:space="preserve">, </w:t>
      </w:r>
      <w:r w:rsidR="00BD2FC6">
        <w:t xml:space="preserve">der </w:t>
      </w:r>
      <w:r w:rsidR="00D21D5C">
        <w:t>vom Staat getragen wird</w:t>
      </w:r>
      <w:r w:rsidR="004B002A">
        <w:t>, siehe weitere Details in Becker Büttner Held</w:t>
      </w:r>
      <w:r w:rsidR="00D21D5C">
        <w:rPr>
          <w:rStyle w:val="Funotenzeichen"/>
        </w:rPr>
        <w:footnoteReference w:id="1032"/>
      </w:r>
      <w:r w:rsidR="004B002A">
        <w:rPr>
          <w:rStyle w:val="Funotenzeichen"/>
        </w:rPr>
        <w:t>)</w:t>
      </w:r>
      <w:r w:rsidR="001A322A">
        <w:t xml:space="preserve">, und ab 2030 </w:t>
      </w:r>
      <w:r w:rsidR="00D21D5C">
        <w:t>soll e</w:t>
      </w:r>
      <w:r w:rsidR="001A322A">
        <w:t>ine Finanzierung aus dem Klima- und Transformationsfond und als zweite Säule über eine Umlage auf die Stromverbrauchen (bisher unklar, sie soll unter 1. Cent pro kWh liegen)</w:t>
      </w:r>
      <w:r w:rsidR="00D21D5C">
        <w:t xml:space="preserve"> erfolgen</w:t>
      </w:r>
      <w:r w:rsidR="001A322A">
        <w:t>, eingeordnet womöglich in die Umlage für die Kraftwärmekopplung, die 0,28 Cent pro kWh beträgt. Es wird mit 15-20 Mrd. über 15 Jahre gerechnet, also ca. 1,5 Mrd. pro Jahr.</w:t>
      </w:r>
      <w:r w:rsidR="001A322A">
        <w:rPr>
          <w:rStyle w:val="Funotenzeichen"/>
        </w:rPr>
        <w:t xml:space="preserve"> </w:t>
      </w:r>
      <w:r w:rsidR="001A322A">
        <w:rPr>
          <w:rStyle w:val="Funotenzeichen"/>
        </w:rPr>
        <w:footnoteReference w:id="1033"/>
      </w:r>
      <w:r w:rsidR="001A322A">
        <w:t xml:space="preserve"> Dies w</w:t>
      </w:r>
      <w:r w:rsidR="009D723F">
        <w:t>urden</w:t>
      </w:r>
      <w:r w:rsidR="001A322A">
        <w:t xml:space="preserve"> bei der Beihilfekontrolle der EU-Kommission notifiziert</w:t>
      </w:r>
      <w:r w:rsidR="001A322A">
        <w:rPr>
          <w:rStyle w:val="Funotenzeichen"/>
        </w:rPr>
        <w:footnoteReference w:id="1034"/>
      </w:r>
      <w:r w:rsidR="001A322A">
        <w:t>, unter den Leitlinien für staatliche Klima-, Umweltschutz und Energiebeihilfe 2022, siehe die Mitteilung der Kommission</w:t>
      </w:r>
      <w:r w:rsidR="001A322A">
        <w:rPr>
          <w:rStyle w:val="Funotenzeichen"/>
        </w:rPr>
        <w:footnoteReference w:id="1035"/>
      </w:r>
      <w:r w:rsidR="001A322A">
        <w:t xml:space="preserve">, siehe eine </w:t>
      </w:r>
      <w:r w:rsidR="001A322A">
        <w:lastRenderedPageBreak/>
        <w:t>Erläuterung mit weiteren Links</w:t>
      </w:r>
      <w:r w:rsidR="00F51215">
        <w:t>.</w:t>
      </w:r>
      <w:r w:rsidR="001A322A">
        <w:rPr>
          <w:rStyle w:val="Funotenzeichen"/>
        </w:rPr>
        <w:footnoteReference w:id="1036"/>
      </w:r>
      <w:r w:rsidR="00F51215">
        <w:t xml:space="preserve"> Zum Kraftwerkssicherheitsgesetz haben nun die öffentlichen Konsultationen begonnen.</w:t>
      </w:r>
      <w:r w:rsidR="00F51215">
        <w:rPr>
          <w:rStyle w:val="Funotenzeichen"/>
        </w:rPr>
        <w:footnoteReference w:id="1037"/>
      </w:r>
    </w:p>
    <w:p w14:paraId="24EDA423" w14:textId="77777777" w:rsidR="00BD2FC6" w:rsidRDefault="00BD2FC6" w:rsidP="001A322A"/>
    <w:p w14:paraId="25832096" w14:textId="39B641EF" w:rsidR="009D723F" w:rsidRDefault="00A01252" w:rsidP="00C6555F">
      <w:r>
        <w:t>Am 01.08.2024 ist vom BMWK ein Bericht mit dem Titel Strommarktdesign der Zukunft veröffentlicht worden, hier wird</w:t>
      </w:r>
      <w:r w:rsidR="00C6555F">
        <w:t xml:space="preserve"> von einem Zubau von „neuen und modernisierten Kraftwerken von 17 bis 21 GW“ (S. 56) gesprochen und davon, </w:t>
      </w:r>
      <w:r>
        <w:t xml:space="preserve">dass </w:t>
      </w:r>
      <w:r w:rsidR="00C6555F">
        <w:t xml:space="preserve">in einer ersten Säule </w:t>
      </w:r>
      <w:r>
        <w:t xml:space="preserve">mit dem </w:t>
      </w:r>
      <w:r w:rsidRPr="009D723F">
        <w:rPr>
          <w:u w:val="single"/>
        </w:rPr>
        <w:t xml:space="preserve">Kraftwerksicherheitsgesetz </w:t>
      </w:r>
      <w:r w:rsidR="009D723F" w:rsidRPr="009D723F">
        <w:rPr>
          <w:u w:val="single"/>
        </w:rPr>
        <w:t>KWSG</w:t>
      </w:r>
      <w:r w:rsidR="009D723F">
        <w:t xml:space="preserve"> </w:t>
      </w:r>
      <w:r w:rsidR="00BD2FC6">
        <w:t>nun</w:t>
      </w:r>
      <w:r>
        <w:t xml:space="preserve"> 5 GW für wasserstofffähige Gaskraftwerke ausgeschrieben worden sollen und 2 GW für </w:t>
      </w:r>
      <w:r w:rsidR="00C6555F">
        <w:t xml:space="preserve">wasserstofffähige </w:t>
      </w:r>
      <w:r>
        <w:t>Modernisierungen</w:t>
      </w:r>
      <w:r w:rsidR="009D723F">
        <w:t>, dazu 500 MW reine Wasserstoffkraftwerke (Wasserstoffsprinter) und 500 MW Lan</w:t>
      </w:r>
      <w:r w:rsidR="001F0EAF">
        <w:t>g</w:t>
      </w:r>
      <w:r w:rsidR="009D723F">
        <w:t>zeitspeicher</w:t>
      </w:r>
      <w:r w:rsidR="001F0EAF">
        <w:t xml:space="preserve"> (wohl Strom)</w:t>
      </w:r>
      <w:r w:rsidR="009D723F">
        <w:t>.</w:t>
      </w:r>
      <w:r>
        <w:t xml:space="preserve"> </w:t>
      </w:r>
      <w:r w:rsidR="009D723F">
        <w:t>In einer zweiten Säule sollen 5 GW neue Gaskraftwerke ausgeschrieben werden, die bei Dunkelflauten einen Beitrag zur Versorgungssicherheit leisten sollen (hier fehlt ‚wasserstofffähig‘, es sind offenbar reine Erdgaskraftwerke). Ab 2028 sei dann</w:t>
      </w:r>
      <w:r>
        <w:t xml:space="preserve"> ein </w:t>
      </w:r>
      <w:r w:rsidRPr="00A01252">
        <w:rPr>
          <w:u w:val="single"/>
        </w:rPr>
        <w:t>Kapazitätsmechanismus</w:t>
      </w:r>
      <w:r>
        <w:t xml:space="preserve"> „operativ“ und die Kraftwerke des Kraftwerksicherheitsgesetz werden </w:t>
      </w:r>
      <w:r w:rsidR="009D723F">
        <w:t xml:space="preserve">dann </w:t>
      </w:r>
      <w:r>
        <w:t>in den Kapazitätsmechanismus integriert</w:t>
      </w:r>
      <w:r w:rsidR="009D723F">
        <w:t xml:space="preserve"> (Box 8, S. 57).</w:t>
      </w:r>
      <w:r>
        <w:rPr>
          <w:rStyle w:val="Funotenzeichen"/>
        </w:rPr>
        <w:footnoteReference w:id="1038"/>
      </w:r>
      <w:r>
        <w:t xml:space="preserve"> </w:t>
      </w:r>
    </w:p>
    <w:p w14:paraId="25F0BE2D" w14:textId="77777777" w:rsidR="001E06E2" w:rsidRDefault="001E06E2" w:rsidP="00C6555F"/>
    <w:p w14:paraId="04649A87" w14:textId="3285DEFA" w:rsidR="00C6555F" w:rsidRDefault="00C6555F" w:rsidP="00C6555F">
      <w:r>
        <w:t xml:space="preserve">Die Debatte zu diesem Thema wurde weitergeführt, die FAZ schreibt über einen weiteren Bericht von Aurora Energy Research, für die konservative Denkfabrik </w:t>
      </w:r>
      <w:proofErr w:type="spellStart"/>
      <w:r>
        <w:t>Epico</w:t>
      </w:r>
      <w:proofErr w:type="spellEnd"/>
      <w:r>
        <w:t>, der viel mehr Flexibilität, etwa mit Batteriespeichern und Elektrolyseuren, fordert, um die schwankende Stromerzeugung auszugleichen.</w:t>
      </w:r>
      <w:r>
        <w:rPr>
          <w:rStyle w:val="Funotenzeichen"/>
        </w:rPr>
        <w:footnoteReference w:id="1039"/>
      </w:r>
      <w:r>
        <w:t xml:space="preserve"> </w:t>
      </w:r>
    </w:p>
    <w:p w14:paraId="6CD7D858" w14:textId="77777777" w:rsidR="00A01252" w:rsidRDefault="00A01252" w:rsidP="001A322A"/>
    <w:tbl>
      <w:tblPr>
        <w:tblStyle w:val="Tabellenraster"/>
        <w:tblW w:w="0" w:type="auto"/>
        <w:tblLook w:val="04A0" w:firstRow="1" w:lastRow="0" w:firstColumn="1" w:lastColumn="0" w:noHBand="0" w:noVBand="1"/>
      </w:tblPr>
      <w:tblGrid>
        <w:gridCol w:w="9062"/>
      </w:tblGrid>
      <w:tr w:rsidR="00A01252" w14:paraId="60DFC046" w14:textId="77777777" w:rsidTr="00A01252">
        <w:tc>
          <w:tcPr>
            <w:tcW w:w="9062" w:type="dxa"/>
          </w:tcPr>
          <w:p w14:paraId="1E22C54C" w14:textId="1859E5BC" w:rsidR="001E06E2" w:rsidRDefault="00BD2FC6" w:rsidP="001A322A">
            <w:r>
              <w:t>Im Mai 2025 sind nun Pläne der neuen Wirtschaftsministerin Katharina Reiche bekannt geworden, dass sie mindestens für 20 GW neue Gaskraftwerke in Deutschland bauen wolle, weil sonst die Versorgungssicherheit in Deutschland nicht gewährleistet werden könne.</w:t>
            </w:r>
            <w:r w:rsidR="00C6555F">
              <w:t xml:space="preserve"> Daraufhin ist wiederum eine Debatte entstanden.</w:t>
            </w:r>
            <w:r>
              <w:rPr>
                <w:rStyle w:val="Funotenzeichen"/>
              </w:rPr>
              <w:footnoteReference w:id="1040"/>
            </w:r>
            <w:r>
              <w:t xml:space="preserve"> </w:t>
            </w:r>
            <w:r w:rsidR="009D723F">
              <w:t>Es geht offenbar darum, dass nun statt 5 GW nun insgesamt 20 GW reine Erdgaskraftwerke gebaut werden sollen. Das zuvor geschnürte Paket war allerdings bereits mit der</w:t>
            </w:r>
            <w:r w:rsidR="00C6555F">
              <w:t xml:space="preserve"> Beihilfen</w:t>
            </w:r>
            <w:r w:rsidR="009D723F">
              <w:t>kontrolle der EU ausgehandelt worden, somit wird auch diese Veränderung nun in Brüssel noch diskutiert werden. Der Spiegel schreibt, dass z.B. eine Vorgabe sein könne, dass der genaue Bedarf der Versorgungssicherheit nachgewiesen werden müssen und auch Technologieoffenheit bestehen müsse, d.h. dass auch diese Kraftwerke H2-ready sein mü</w:t>
            </w:r>
            <w:r w:rsidR="001F0EAF">
              <w:t>sst</w:t>
            </w:r>
            <w:r w:rsidR="009D723F">
              <w:t>en. Der Spiegel schreibt weiterhin, dass diese Erdgaskraftwerke mit CCS ausgestattet werden sollen, gemeint ist offenbar ein Auffangen von CO2 an der Punktquelle, die</w:t>
            </w:r>
            <w:r w:rsidR="00812976">
              <w:t>s</w:t>
            </w:r>
            <w:r w:rsidR="009D723F">
              <w:t xml:space="preserve"> gelte in der EU als </w:t>
            </w:r>
            <w:proofErr w:type="spellStart"/>
            <w:r w:rsidR="009D723F">
              <w:t>Dekarbo</w:t>
            </w:r>
            <w:r w:rsidR="001F0EAF">
              <w:t>nisierungsmaßnahme</w:t>
            </w:r>
            <w:proofErr w:type="spellEnd"/>
            <w:r w:rsidR="001F0EAF">
              <w:t>.</w:t>
            </w:r>
            <w:r w:rsidR="001F0EAF">
              <w:rPr>
                <w:rStyle w:val="Funotenzeichen"/>
              </w:rPr>
              <w:footnoteReference w:id="1041"/>
            </w:r>
            <w:r w:rsidR="001F0EAF">
              <w:t xml:space="preserve"> </w:t>
            </w:r>
            <w:r w:rsidR="00C6555F">
              <w:t xml:space="preserve"> </w:t>
            </w:r>
            <w:r w:rsidR="001F0EAF">
              <w:t>Der BDEW schreibt dazu: „</w:t>
            </w:r>
            <w:r w:rsidR="001F0EAF" w:rsidRPr="001F0EAF">
              <w:t>Denn eine Ausdehnung des KWSG auf 20 GW könnte europarechtlich schwierig werden und weitere Zeit kosten</w:t>
            </w:r>
            <w:r w:rsidR="001F0EAF">
              <w:t>“, man solle lieber an dem neuen Kapazitätsmarktgesetz weiterarbeiten, hier hat der BDEW einen Vorschlag gemacht, dass dort integriert wird, dass 8 GW reine Erdgaskraftwerke zuzubauen, statt 5 GW.</w:t>
            </w:r>
            <w:r w:rsidR="001F0EAF">
              <w:rPr>
                <w:rStyle w:val="Funotenzeichen"/>
              </w:rPr>
              <w:footnoteReference w:id="1042"/>
            </w:r>
            <w:r w:rsidR="00AB6B90">
              <w:t xml:space="preserve"> Siehe für </w:t>
            </w:r>
            <w:r w:rsidR="00AB6B90">
              <w:lastRenderedPageBreak/>
              <w:t>den Vorschlag.</w:t>
            </w:r>
            <w:r w:rsidR="00AB6B90">
              <w:rPr>
                <w:rStyle w:val="Funotenzeichen"/>
              </w:rPr>
              <w:footnoteReference w:id="1043"/>
            </w:r>
            <w:r w:rsidR="00933054">
              <w:t xml:space="preserve"> Es dauert aber noch bis Ende diesen Jahres, bis die ersten Ausschreibungen erfolgen sollen, da die Beihilfekontrolle der EU eine ausführlich Begründung verlangt (offenbar für die Erdgaskraftwerke, die schnell gebaut werden sollen). Weiterhin wurde ein ‚</w:t>
            </w:r>
            <w:proofErr w:type="spellStart"/>
            <w:r w:rsidR="00933054">
              <w:t>Südbonus</w:t>
            </w:r>
            <w:proofErr w:type="spellEnd"/>
            <w:r w:rsidR="00933054">
              <w:t>‘ zugestanden, weil südlich des Mains Engpässe drohen.</w:t>
            </w:r>
            <w:r w:rsidR="00933054">
              <w:rPr>
                <w:rStyle w:val="Funotenzeichen"/>
              </w:rPr>
              <w:footnoteReference w:id="1044"/>
            </w:r>
            <w:r w:rsidR="00933054">
              <w:t xml:space="preserve"> </w:t>
            </w:r>
          </w:p>
          <w:p w14:paraId="58CF64F2" w14:textId="77777777" w:rsidR="001E06E2" w:rsidRDefault="001E06E2" w:rsidP="001A322A"/>
          <w:p w14:paraId="05CEDF4A" w14:textId="7CDF5A60" w:rsidR="001E06E2" w:rsidRDefault="001E06E2" w:rsidP="001E06E2">
            <w:r>
              <w:t>Dass die Erdgaskraftwerke nicht H2-ready sein müssen, versteht wirklich kein Mensch, u.a. weil am 11.04.2025 wurde das erste wasserstofffähige Gaskraftwerk von EnBW in Stuttgart Münster in Betrieb genommen wurde, es hat eine Gasturbinenanlagen mit einer Leistung von 2 mal 62 MW, also 124 MW und Abhitze- und Heizwasserkessel, Bauzeit 2 Jahre, Plan- und Genehmigungszeit 3 Jahre. Auch in Altbach/Deizisau und Heilbronn werden vom EnBW wasserstofffähige Gaskraftwerke gebaut, mit einer Gesamtkapazität von 1,5 Gigawatt, und einem Gesamtinvestitionsvolumen von 1,6 Mrd. Euro.</w:t>
            </w:r>
            <w:r>
              <w:rPr>
                <w:rStyle w:val="Funotenzeichen"/>
              </w:rPr>
              <w:footnoteReference w:id="1045"/>
            </w:r>
            <w:r>
              <w:t xml:space="preserve"> 1 GW Leistung kosten 1 Mrd. Euro.</w:t>
            </w:r>
          </w:p>
          <w:p w14:paraId="09C280AB" w14:textId="77777777" w:rsidR="001E06E2" w:rsidRDefault="001E06E2" w:rsidP="001A322A"/>
          <w:p w14:paraId="6452B01D" w14:textId="77777777" w:rsidR="00A01252" w:rsidRDefault="00CF4775" w:rsidP="001A322A">
            <w:r>
              <w:t xml:space="preserve">Ende Mai 2025 </w:t>
            </w:r>
            <w:r w:rsidR="001F0EAF">
              <w:t xml:space="preserve">wurde weiterhin offenbar während </w:t>
            </w:r>
            <w:r>
              <w:t>eine</w:t>
            </w:r>
            <w:r w:rsidR="001F0EAF">
              <w:t>r</w:t>
            </w:r>
            <w:r>
              <w:t xml:space="preserve"> Konferenz der für Energie zuständigen Minister von Bund und Länder</w:t>
            </w:r>
            <w:r w:rsidR="001F0EAF">
              <w:t xml:space="preserve"> </w:t>
            </w:r>
            <w:r>
              <w:t>über Standorte der wasserstofffähigen Gaskraftwerke</w:t>
            </w:r>
            <w:r w:rsidR="001F0EAF">
              <w:t xml:space="preserve"> gesprochen</w:t>
            </w:r>
            <w:r>
              <w:t xml:space="preserve">, für Mecklenburg-Vorpommern ist Rostock und Lubmin </w:t>
            </w:r>
            <w:r w:rsidR="001F0EAF">
              <w:t>erwähnt worden</w:t>
            </w:r>
            <w:r>
              <w:t>.</w:t>
            </w:r>
            <w:r>
              <w:rPr>
                <w:rStyle w:val="Funotenzeichen"/>
              </w:rPr>
              <w:footnoteReference w:id="1046"/>
            </w:r>
            <w:r>
              <w:t xml:space="preserve"> </w:t>
            </w:r>
            <w:r w:rsidR="00A01252">
              <w:t xml:space="preserve"> </w:t>
            </w:r>
          </w:p>
          <w:p w14:paraId="2E7886FF" w14:textId="47207A7A" w:rsidR="00812976" w:rsidRDefault="00812976" w:rsidP="001A322A">
            <w:r>
              <w:t xml:space="preserve">Nun ist am 17.01.2026 eine Einigung mit der </w:t>
            </w:r>
            <w:proofErr w:type="gramStart"/>
            <w:r>
              <w:t>EU Kommission</w:t>
            </w:r>
            <w:proofErr w:type="gramEnd"/>
            <w:r>
              <w:t xml:space="preserve"> erfolgt, ausgeschrieben werden nun Kraftwerke für 12 Gigawatt, davon müssen 10 Gigawatt langfristig Strom liefern können, d.h. Gaskraftwerke sein. Sämtliche Kraftwerke müssen wasserstofffähig sein. Bis 2040 sollen 2 GW und bis 2043 4 GW auf Wasserstoff umgestellt werden. Ab 2045 sollen die Anlagen zu Beginn schon mit Wasserstoff laufen, es wird allerdings angemerkt, dass dies technisch noch nicht ganz geklärt sei.</w:t>
            </w:r>
            <w:r>
              <w:rPr>
                <w:rStyle w:val="Funotenzeichen"/>
              </w:rPr>
              <w:footnoteReference w:id="1047"/>
            </w:r>
          </w:p>
        </w:tc>
      </w:tr>
    </w:tbl>
    <w:p w14:paraId="74B43E06" w14:textId="77777777" w:rsidR="00E83A75" w:rsidRDefault="00E83A75" w:rsidP="004C1AB0">
      <w:pPr>
        <w:rPr>
          <w:u w:val="single"/>
        </w:rPr>
      </w:pPr>
    </w:p>
    <w:p w14:paraId="514F0391" w14:textId="7AFA7054" w:rsidR="004C1AB0" w:rsidRDefault="004C1AB0" w:rsidP="004C1AB0">
      <w:r w:rsidRPr="005662C6">
        <w:rPr>
          <w:u w:val="single"/>
        </w:rPr>
        <w:t xml:space="preserve">Differenzverträge für den Klimaschutz (Carbon </w:t>
      </w:r>
      <w:proofErr w:type="spellStart"/>
      <w:r w:rsidRPr="005662C6">
        <w:rPr>
          <w:u w:val="single"/>
        </w:rPr>
        <w:t>Contracts</w:t>
      </w:r>
      <w:proofErr w:type="spellEnd"/>
      <w:r w:rsidRPr="005662C6">
        <w:rPr>
          <w:u w:val="single"/>
        </w:rPr>
        <w:t xml:space="preserve"> </w:t>
      </w:r>
      <w:proofErr w:type="spellStart"/>
      <w:r w:rsidRPr="005662C6">
        <w:rPr>
          <w:u w:val="single"/>
        </w:rPr>
        <w:t>for</w:t>
      </w:r>
      <w:proofErr w:type="spellEnd"/>
      <w:r w:rsidRPr="005662C6">
        <w:rPr>
          <w:u w:val="single"/>
        </w:rPr>
        <w:t xml:space="preserve"> </w:t>
      </w:r>
      <w:proofErr w:type="spellStart"/>
      <w:r w:rsidRPr="005662C6">
        <w:rPr>
          <w:u w:val="single"/>
        </w:rPr>
        <w:t>Difference</w:t>
      </w:r>
      <w:proofErr w:type="spellEnd"/>
      <w:r w:rsidRPr="005662C6">
        <w:rPr>
          <w:u w:val="single"/>
        </w:rPr>
        <w:t xml:space="preserve">, </w:t>
      </w:r>
      <w:proofErr w:type="spellStart"/>
      <w:r w:rsidRPr="005662C6">
        <w:rPr>
          <w:u w:val="single"/>
        </w:rPr>
        <w:t>CCfDs</w:t>
      </w:r>
      <w:proofErr w:type="spellEnd"/>
      <w:r w:rsidRPr="005662C6">
        <w:rPr>
          <w:u w:val="single"/>
        </w:rPr>
        <w:t>)</w:t>
      </w:r>
      <w:r>
        <w:t xml:space="preserve">. </w:t>
      </w:r>
      <w:proofErr w:type="gramStart"/>
      <w:r>
        <w:t>Eine weiteres Teil</w:t>
      </w:r>
      <w:proofErr w:type="gramEnd"/>
      <w:r>
        <w:t xml:space="preserve"> der Klimastrategie sind sog. Differenzverträge für den Klimaschutz (Carbon </w:t>
      </w:r>
      <w:proofErr w:type="spellStart"/>
      <w:r>
        <w:t>Contracts</w:t>
      </w:r>
      <w:proofErr w:type="spellEnd"/>
      <w:r>
        <w:t xml:space="preserve"> </w:t>
      </w:r>
      <w:proofErr w:type="spellStart"/>
      <w:r>
        <w:t>for</w:t>
      </w:r>
      <w:proofErr w:type="spellEnd"/>
      <w:r>
        <w:t xml:space="preserve"> </w:t>
      </w:r>
      <w:proofErr w:type="spellStart"/>
      <w:r>
        <w:t>Difference</w:t>
      </w:r>
      <w:proofErr w:type="spellEnd"/>
      <w:r>
        <w:t xml:space="preserve">, </w:t>
      </w:r>
      <w:proofErr w:type="spellStart"/>
      <w:r>
        <w:t>CCfDs</w:t>
      </w:r>
      <w:proofErr w:type="spellEnd"/>
      <w:r>
        <w:t>), dabei gleicht der Staat bzw. der Steuerzahler anfangs den Unterschied der Preise von klimaneutral produzierten Produkten gegenüber dem Weltmarktpreis aus</w:t>
      </w:r>
      <w:r>
        <w:rPr>
          <w:rStyle w:val="Funotenzeichen"/>
        </w:rPr>
        <w:footnoteReference w:id="1048"/>
      </w:r>
      <w:r>
        <w:t xml:space="preserve">, denkbar etwa im Bereich Wasserstoff, siehe oben, wurde schon die H2Global und die </w:t>
      </w:r>
      <w:proofErr w:type="spellStart"/>
      <w:r>
        <w:t>Hintco</w:t>
      </w:r>
      <w:proofErr w:type="spellEnd"/>
      <w:r>
        <w:t xml:space="preserve"> erwähnt. </w:t>
      </w:r>
    </w:p>
    <w:p w14:paraId="6278D9F9" w14:textId="77777777" w:rsidR="004C1AB0" w:rsidRDefault="004C1AB0" w:rsidP="00112190"/>
    <w:p w14:paraId="5AF3649B" w14:textId="10544105" w:rsidR="00112190" w:rsidRDefault="00112190" w:rsidP="00112190">
      <w:r>
        <w:t xml:space="preserve">Am Dienstag, den 12.03.2024 hat Wirtschaftsminister Habeck die erste offizielle Ausschreibung gestartet, für </w:t>
      </w:r>
      <w:r w:rsidRPr="004C1AB0">
        <w:rPr>
          <w:u w:val="single"/>
        </w:rPr>
        <w:t>Klimaschutzverträge</w:t>
      </w:r>
      <w:r>
        <w:t>, die einen Umbau der Produktion fördern sollen. Dazu wurde auch eine Webseite eröffnet, mit dem Namen Klimaschutzverträge.</w:t>
      </w:r>
      <w:r>
        <w:rPr>
          <w:rStyle w:val="Funotenzeichen"/>
        </w:rPr>
        <w:footnoteReference w:id="1049"/>
      </w:r>
      <w:r>
        <w:t xml:space="preserve"> </w:t>
      </w:r>
      <w:r w:rsidR="001A0FED">
        <w:t>Siehe auch diesen FAZ-Artikel</w:t>
      </w:r>
      <w:r w:rsidR="001A0FED">
        <w:rPr>
          <w:rStyle w:val="Funotenzeichen"/>
        </w:rPr>
        <w:footnoteReference w:id="1050"/>
      </w:r>
      <w:r w:rsidR="001A0FED">
        <w:t xml:space="preserve">: </w:t>
      </w:r>
      <w:r>
        <w:t xml:space="preserve">Mit den sog. Klimaschutzverträgen sollen Mehrkosten für die klimafreundliche Produktion gegenüber fossilen Energieträgern über einen Zeitraum von 15 Jahren subventioniert werden. Das Programm ist für energieintensive Unternehmen, u.a. aus der Glas-, Papier-, und Zementindustrie gedacht. In der ersten Ausschreibungsrunde werden </w:t>
      </w:r>
      <w:r w:rsidR="00FF5908">
        <w:t>ab</w:t>
      </w:r>
      <w:r>
        <w:t xml:space="preserve"> März 2024 4 Mrd. Euro vergeben, im Herbst 2024 19 Mrd. Euro. Die Unternehmen müssen angeben, wie viel Euro sie brauchen, um eine Tonne CO2 </w:t>
      </w:r>
      <w:r>
        <w:lastRenderedPageBreak/>
        <w:t>einzusparen. Die Verträge sind privatrechtliche Verträge, die der Staat nicht mehr kündigen kann, wenn etwa eine neue Regierung kommt. Es ginge darum, grüne Leitmärkte zu organisieren, bei denen der Staat für eine gewisse Zeit auch als Nachfrager auftreten kann.</w:t>
      </w:r>
      <w:r w:rsidRPr="0006260C">
        <w:rPr>
          <w:rStyle w:val="Funotenzeichen"/>
        </w:rPr>
        <w:t xml:space="preserve"> </w:t>
      </w:r>
      <w:r>
        <w:t xml:space="preserve">Wenn die klimafreundliche Produktion günstiger wird, als die mit fossilen Energieträgen soll über 3 Jahre lang Geld zurückgezahlt werden, bevor der Vertrag gekündigt werden kann. </w:t>
      </w:r>
      <w:r w:rsidRPr="0091775D">
        <w:t>Sich rechnen würde sich die Produktion etwa dann, wenn der CO2 Preis stark ansteigt</w:t>
      </w:r>
      <w:r>
        <w:t xml:space="preserve"> und Unternehmen, die nicht in grüne Technologie investiert haben, nun höhere Kosten haben</w:t>
      </w:r>
      <w:r w:rsidRPr="0091775D">
        <w:t>.</w:t>
      </w:r>
      <w:r>
        <w:rPr>
          <w:rStyle w:val="Funotenzeichen"/>
        </w:rPr>
        <w:footnoteReference w:id="1051"/>
      </w:r>
      <w:r>
        <w:t xml:space="preserve"> </w:t>
      </w:r>
      <w:r w:rsidR="00B65313">
        <w:t xml:space="preserve">Dies alles ist im Original noch komplexer </w:t>
      </w:r>
      <w:r w:rsidR="00B65313">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sidR="00B65313">
        <w:t xml:space="preserve"> Mittlerweile sind die Klimaschutzverträge überarbeitet worden, u.a. </w:t>
      </w:r>
      <w:r w:rsidR="00C52A78">
        <w:t xml:space="preserve">sind sie etwas flexibler, bei einer Änderung von Umständen und es </w:t>
      </w:r>
      <w:r w:rsidR="00B65313">
        <w:t>haben nun kleinere Firme</w:t>
      </w:r>
      <w:r w:rsidR="00C52A78">
        <w:t>n</w:t>
      </w:r>
      <w:r w:rsidR="00B65313">
        <w:t xml:space="preserve"> bessere Chancen sie zu beantragen, siehe die Infoseite zu den Klimaschutzverträgen.</w:t>
      </w:r>
      <w:r w:rsidR="00B65313">
        <w:rPr>
          <w:rStyle w:val="Funotenzeichen"/>
        </w:rPr>
        <w:footnoteReference w:id="1052"/>
      </w:r>
      <w:r w:rsidR="00B65313">
        <w:t xml:space="preserve"> </w:t>
      </w:r>
      <w:r w:rsidR="00C52A78">
        <w:t>CCS oder CCU Vorhaben oder Industriedampf sind nun förderfähig, also könnte auch die Zement und Kalkindustrie berücksichtigt werden.</w:t>
      </w:r>
      <w:r w:rsidR="00C52A78">
        <w:rPr>
          <w:rStyle w:val="Funotenzeichen"/>
        </w:rPr>
        <w:footnoteReference w:id="1053"/>
      </w:r>
      <w:r w:rsidR="00C52A78">
        <w:t xml:space="preserve"> Bei zwei Förderungen gleichzeitig, kann es teils Schwierigkeiten geben.</w:t>
      </w:r>
      <w:r w:rsidR="00C52A78">
        <w:rPr>
          <w:rStyle w:val="Funotenzeichen"/>
        </w:rPr>
        <w:footnoteReference w:id="1054"/>
      </w:r>
    </w:p>
    <w:p w14:paraId="6EA07DCA" w14:textId="77777777" w:rsidR="00B65313" w:rsidRDefault="00B65313" w:rsidP="00112190"/>
    <w:p w14:paraId="48CBAF94" w14:textId="76811D7E" w:rsidR="003B423C" w:rsidRDefault="00FF5908" w:rsidP="00112190">
      <w:r>
        <w:t xml:space="preserve">Die erste Ausschreibungsrunde (bis zum 11. Juli 2024) wird als Erfolg eingeschätzt, da 17 Gebote eingingen, für die man 5,3 Mrd. Euro hätte bereitstellen müssen. Nun werden davon </w:t>
      </w:r>
      <w:r w:rsidR="006C36CD">
        <w:t xml:space="preserve">15 </w:t>
      </w:r>
      <w:r>
        <w:t>Projekte ausgewählt, die weniger Geld brauchen, um 1 Tonne CO2 einzusparen.</w:t>
      </w:r>
      <w:r w:rsidR="0077376C">
        <w:t xml:space="preserve"> In </w:t>
      </w:r>
      <w:r w:rsidR="00AC3238">
        <w:t>einigen</w:t>
      </w:r>
      <w:r w:rsidR="0077376C">
        <w:t xml:space="preserve"> dieser Projekte geht es um den Einsatz von Wasserstoff.</w:t>
      </w:r>
      <w:r w:rsidR="0077376C">
        <w:rPr>
          <w:rStyle w:val="Funotenzeichen"/>
        </w:rPr>
        <w:footnoteReference w:id="1055"/>
      </w:r>
      <w:r w:rsidR="003B423C">
        <w:t xml:space="preserve"> </w:t>
      </w:r>
      <w:r w:rsidR="006C36CD">
        <w:t>Die Firmen sind.</w:t>
      </w:r>
      <w:r w:rsidR="006C36CD">
        <w:rPr>
          <w:rStyle w:val="Funotenzeichen"/>
        </w:rPr>
        <w:footnoteReference w:id="1056"/>
      </w:r>
      <w:r w:rsidR="008337E1">
        <w:t xml:space="preserve"> Den höchsten Einzelbetrag von 564 Mill. Euro hat die Papierfabrik Adolf Jass aus Fulda erhalten, die den für die Produktion nötigen Dampf nun mit Strom statt mit Erdgas erzeugen wird. Der geringste Betrag von 57 Mill. Euro geht an die Firma Knauf </w:t>
      </w:r>
      <w:proofErr w:type="spellStart"/>
      <w:r w:rsidR="008337E1">
        <w:t>Insulation</w:t>
      </w:r>
      <w:proofErr w:type="spellEnd"/>
      <w:r w:rsidR="008337E1">
        <w:t xml:space="preserve"> Operation, die ihre Öfen umrüsten will.</w:t>
      </w:r>
      <w:r w:rsidR="008337E1">
        <w:rPr>
          <w:rStyle w:val="Funotenzeichen"/>
        </w:rPr>
        <w:footnoteReference w:id="1057"/>
      </w:r>
      <w:r w:rsidR="008337E1">
        <w:t xml:space="preserve"> </w:t>
      </w:r>
      <w:r w:rsidR="00F24DF8">
        <w:t xml:space="preserve">Die </w:t>
      </w:r>
      <w:r w:rsidR="005C61D5">
        <w:t xml:space="preserve">Glencore </w:t>
      </w:r>
      <w:r w:rsidR="00F24DF8">
        <w:t xml:space="preserve">Nordenham Metall GmbH (Zink- und Bleihütte) wird mit 360 Mill. Euro, bei der Umstellung von </w:t>
      </w:r>
      <w:r w:rsidR="005C61D5">
        <w:t>Petrolkoks</w:t>
      </w:r>
      <w:r w:rsidR="00F24DF8">
        <w:t xml:space="preserve"> auf</w:t>
      </w:r>
      <w:r w:rsidR="005C61D5">
        <w:t xml:space="preserve"> selbst hergestellte</w:t>
      </w:r>
      <w:r w:rsidR="00F24DF8">
        <w:t xml:space="preserve"> </w:t>
      </w:r>
      <w:proofErr w:type="spellStart"/>
      <w:r w:rsidR="00F24DF8">
        <w:t>Biokohle</w:t>
      </w:r>
      <w:proofErr w:type="spellEnd"/>
      <w:r w:rsidR="00F24DF8">
        <w:t xml:space="preserve"> und bei der Umstellung von Öl und Erdgas auf Wasserstoff unterstützt.</w:t>
      </w:r>
      <w:r w:rsidR="00F24DF8">
        <w:rPr>
          <w:rStyle w:val="Funotenzeichen"/>
        </w:rPr>
        <w:footnoteReference w:id="1058"/>
      </w:r>
      <w:r w:rsidR="00F24DF8">
        <w:t xml:space="preserve"> </w:t>
      </w:r>
      <w:r w:rsidR="008337E1">
        <w:t xml:space="preserve">BASF will in Ludwigshafen mit 310 Mill. Euro die weltweit größte Wärmepumpe bauen, wobei erstmals eine Wärmepumpe zur Dampferzeugung eingesetzt werden soll. Bis zu 500.000 Tonne Dampf sollen pro Jahr erzeugt werden, die vor allem zur </w:t>
      </w:r>
      <w:proofErr w:type="spellStart"/>
      <w:r w:rsidR="008337E1">
        <w:t>Ameisensäurenproduktion</w:t>
      </w:r>
      <w:proofErr w:type="spellEnd"/>
      <w:r w:rsidR="008337E1">
        <w:t xml:space="preserve"> eingesetzt werden sollen. Die Wärme erhält die Wärmepumpe vom Chemiewerk selbst, nämlich von zwei </w:t>
      </w:r>
      <w:proofErr w:type="spellStart"/>
      <w:r w:rsidR="008337E1">
        <w:t>Ethylenchrackern</w:t>
      </w:r>
      <w:proofErr w:type="spellEnd"/>
      <w:r w:rsidR="008337E1">
        <w:t xml:space="preserve">. Gespart werden 100.000 Tonnen Treibhausemissionen jährlich. Die Anlage soll 2027 in Betrieb </w:t>
      </w:r>
      <w:r w:rsidR="008337E1">
        <w:lastRenderedPageBreak/>
        <w:t>gehen.</w:t>
      </w:r>
      <w:r w:rsidR="008337E1">
        <w:rPr>
          <w:rStyle w:val="Funotenzeichen"/>
        </w:rPr>
        <w:footnoteReference w:id="1059"/>
      </w:r>
      <w:r w:rsidR="00E9292A">
        <w:t xml:space="preserve"> Die Schmiedewerke Gröditz, ein Teil des Stahlkonzerns Georgsmarienhütte, stellen Kurbelwellen u.a. für Kreuzfahrtschiffe her, zum Schmieden muss der Stahl auf 1300 Grad erhitzt werden. Hier soll in einem Schmiedeofen statt Erdgas zukünftig Wasserstoff eingesetzt werden, dafür erhalten die Schmiedewerke 173 Mill. Euro.</w:t>
      </w:r>
      <w:r w:rsidR="00E9292A">
        <w:rPr>
          <w:rStyle w:val="Funotenzeichen"/>
        </w:rPr>
        <w:footnoteReference w:id="1060"/>
      </w:r>
      <w:r w:rsidR="00E9292A">
        <w:t xml:space="preserve"> Siehe die auch die Webseite der GMH Gruppe.</w:t>
      </w:r>
      <w:r w:rsidR="00E9292A">
        <w:rPr>
          <w:rStyle w:val="Funotenzeichen"/>
        </w:rPr>
        <w:footnoteReference w:id="1061"/>
      </w:r>
      <w:r w:rsidR="00E9292A">
        <w:t xml:space="preserve"> </w:t>
      </w:r>
      <w:r w:rsidR="007C70BA" w:rsidRPr="007C70BA">
        <w:t xml:space="preserve">H&amp;R Chemisch-Pharmazeutische Spezialitäten </w:t>
      </w:r>
      <w:r w:rsidR="007C70BA">
        <w:t>erhält 116 Mill. Euro für eine Power-</w:t>
      </w:r>
      <w:proofErr w:type="spellStart"/>
      <w:r w:rsidR="007C70BA">
        <w:t>to</w:t>
      </w:r>
      <w:proofErr w:type="spellEnd"/>
      <w:r w:rsidR="007C70BA">
        <w:t>-Heat Technologie, die Gas ersetzt.</w:t>
      </w:r>
      <w:r w:rsidR="007C70BA">
        <w:rPr>
          <w:rStyle w:val="Funotenzeichen"/>
        </w:rPr>
        <w:footnoteReference w:id="1062"/>
      </w:r>
      <w:r w:rsidR="007C70BA">
        <w:t xml:space="preserve"> </w:t>
      </w:r>
      <w:r w:rsidR="00E9292A">
        <w:t xml:space="preserve">Das Ziegelwerk </w:t>
      </w:r>
      <w:proofErr w:type="spellStart"/>
      <w:r w:rsidR="00E9292A">
        <w:t>Janinhoff</w:t>
      </w:r>
      <w:proofErr w:type="spellEnd"/>
      <w:r w:rsidR="00E9292A">
        <w:t xml:space="preserve"> erhält 60 Mill. Euro für die Ziegelproduktion mit grünem Wasserstoff.</w:t>
      </w:r>
      <w:r w:rsidR="00E9292A">
        <w:rPr>
          <w:rStyle w:val="Funotenzeichen"/>
        </w:rPr>
        <w:footnoteReference w:id="1063"/>
      </w:r>
      <w:r w:rsidR="00FE16A7">
        <w:t xml:space="preserve"> </w:t>
      </w:r>
      <w:r w:rsidR="005C61D5">
        <w:t>Der Baumaterial- und Ziegelhersteller Wienerberger stellt in Kirchkimmen für 72 Mill. Euro eines seiner Ziegelwerke um, hier wird nun ein Ofen, der 1.100 Grad Celsius Hitze erzeugt von Gas auf Strom umgestellt.</w:t>
      </w:r>
      <w:r w:rsidR="005C61D5">
        <w:rPr>
          <w:rStyle w:val="Funotenzeichen"/>
        </w:rPr>
        <w:footnoteReference w:id="1064"/>
      </w:r>
      <w:r w:rsidR="005C61D5">
        <w:t xml:space="preserve"> </w:t>
      </w:r>
      <w:r w:rsidR="00FE16A7">
        <w:t xml:space="preserve">Im Saint-Gobain ISOVER Glaswolle Werk in Speyer wird eine Schmelzwanne von Gas auf Strom umgestellt, </w:t>
      </w:r>
      <w:r w:rsidR="00E33F67">
        <w:t>weiter Prozessschritte müssen allerdings noch folgen. Im Saint-Gobain Glaswerk in Köln Porz wird ebenfalls eine Schmelzwanne von Gas auf Strom umgestellt.</w:t>
      </w:r>
      <w:r w:rsidR="00E33F67">
        <w:rPr>
          <w:rStyle w:val="Funotenzeichen"/>
        </w:rPr>
        <w:footnoteReference w:id="1065"/>
      </w:r>
      <w:r w:rsidR="00751D3F">
        <w:t xml:space="preserve"> Schumacher </w:t>
      </w:r>
      <w:proofErr w:type="spellStart"/>
      <w:r w:rsidR="00751D3F">
        <w:t>Packaging</w:t>
      </w:r>
      <w:proofErr w:type="spellEnd"/>
      <w:r w:rsidR="00751D3F">
        <w:t xml:space="preserve"> mit drei Papierfabriken für recycelte Wellpappen-Rohpapier und zwei Kartonwerke, insgesamt mit 29 Standorten, baut viele Solarkraftwerke auf, bei sich auf dem Firmengelände, in Deutschland und in Polen.</w:t>
      </w:r>
      <w:r w:rsidR="00751D3F">
        <w:rPr>
          <w:rStyle w:val="Funotenzeichen"/>
        </w:rPr>
        <w:footnoteReference w:id="1066"/>
      </w:r>
      <w:r w:rsidR="00075EDF">
        <w:t xml:space="preserve"> </w:t>
      </w:r>
      <w:r w:rsidR="0053503A">
        <w:t xml:space="preserve">Durch einen 51 Mill. Klimaschutzvertrag baut Schumacher </w:t>
      </w:r>
      <w:proofErr w:type="spellStart"/>
      <w:r w:rsidR="0053503A">
        <w:t>Packaging</w:t>
      </w:r>
      <w:proofErr w:type="spellEnd"/>
      <w:r w:rsidR="0053503A">
        <w:t xml:space="preserve"> die Wärme auf klimaneutrale Biomasse und baut einen Solarpark am Standort auf.</w:t>
      </w:r>
      <w:r w:rsidR="0053503A">
        <w:rPr>
          <w:rStyle w:val="Funotenzeichen"/>
        </w:rPr>
        <w:footnoteReference w:id="1067"/>
      </w:r>
      <w:r w:rsidR="0053503A">
        <w:t xml:space="preserve"> </w:t>
      </w:r>
      <w:r w:rsidR="007C70BA">
        <w:t xml:space="preserve">Weitere Papierfirmen auf der Liste sind Kimberly-Clark und Drewsen Spezialpapiere. </w:t>
      </w:r>
      <w:r w:rsidR="00075EDF">
        <w:t xml:space="preserve">Das Tesa Werk in Norderstedt in Hamburg ist </w:t>
      </w:r>
      <w:r w:rsidR="003716FF">
        <w:t>T</w:t>
      </w:r>
      <w:r w:rsidR="00075EDF">
        <w:t>eil des Projekts HH-WIN und wird an das Hamburger Wasserstoff Industrie Netz angeschlossen, ab 2027 sollen Klebebänder mit Hilfe von grünem Wasserstoff hergestellt werden. Die Förderhöhe konnte nicht herausgefunden werden.</w:t>
      </w:r>
      <w:r w:rsidR="00075EDF">
        <w:rPr>
          <w:rStyle w:val="Funotenzeichen"/>
        </w:rPr>
        <w:footnoteReference w:id="1068"/>
      </w:r>
      <w:r w:rsidR="007C70BA">
        <w:t xml:space="preserve"> Es fehlt noch die Südzucker AG, hier sind Informationen schwer zu finden. </w:t>
      </w:r>
    </w:p>
    <w:p w14:paraId="30FD98BB" w14:textId="77777777" w:rsidR="00FE16A7" w:rsidRPr="00FE16A7" w:rsidRDefault="00FE16A7" w:rsidP="00112190"/>
    <w:p w14:paraId="1F4EFFC2" w14:textId="3B0BE04E" w:rsidR="00F066F4" w:rsidRDefault="009B68E5" w:rsidP="00112190">
      <w:r>
        <w:t>Das Vorverfahren für die zweite Gebotsrunde ist gestartet, siehe die Pressemitteilung vom BMWK vom 29.07.2024.</w:t>
      </w:r>
      <w:r>
        <w:rPr>
          <w:rStyle w:val="Funotenzeichen"/>
        </w:rPr>
        <w:footnoteReference w:id="1069"/>
      </w:r>
      <w:r>
        <w:t xml:space="preserve"> </w:t>
      </w:r>
      <w:r w:rsidR="00E33F67">
        <w:t>Es liegen 130 Projektskizzen vor.</w:t>
      </w:r>
      <w:r w:rsidR="00341DC6" w:rsidRPr="00341DC6">
        <w:rPr>
          <w:rStyle w:val="Funotenzeichen"/>
        </w:rPr>
        <w:t xml:space="preserve"> </w:t>
      </w:r>
      <w:r w:rsidR="00341DC6">
        <w:rPr>
          <w:rStyle w:val="Funotenzeichen"/>
        </w:rPr>
        <w:footnoteReference w:id="1070"/>
      </w:r>
      <w:r w:rsidR="00C52A78">
        <w:t xml:space="preserve"> Die Entscheidung über die zweite Gebotsrunde wird von der neuen Bundesregierung gefällt werden.</w:t>
      </w:r>
    </w:p>
    <w:p w14:paraId="56860508" w14:textId="77777777" w:rsidR="00C52A78" w:rsidRDefault="00C52A78" w:rsidP="00112190"/>
    <w:p w14:paraId="5752FFFA" w14:textId="7EC8DA25" w:rsidR="00341DC6" w:rsidRDefault="00341DC6" w:rsidP="00112190">
      <w:r>
        <w:t xml:space="preserve">Kritisiert werden </w:t>
      </w:r>
      <w:r w:rsidR="00832DA5">
        <w:t xml:space="preserve">hier </w:t>
      </w:r>
      <w:r>
        <w:t xml:space="preserve">die Klimaschutzverträge mit einer Überschlagsrechnung: über 15 Jahre sollen bis zu 17 Mill. Tonnen CO2 eingespart werden, mit 2,8 Mrd. Euro, dies sind 165 Euro pro Tonne CO2, </w:t>
      </w:r>
      <w:r>
        <w:lastRenderedPageBreak/>
        <w:t>derzeit liegt der Preis bei Emissionshandel bei 65 Euro pro Tonne CO2.</w:t>
      </w:r>
      <w:r w:rsidRPr="00341DC6">
        <w:rPr>
          <w:rStyle w:val="Funotenzeichen"/>
        </w:rPr>
        <w:t xml:space="preserve"> </w:t>
      </w:r>
      <w:r>
        <w:rPr>
          <w:rStyle w:val="Funotenzeichen"/>
        </w:rPr>
        <w:footnoteReference w:id="1071"/>
      </w:r>
      <w:r>
        <w:t xml:space="preserve"> Was auch immer mit dieser Kritik gemeint ist, ich verstehe </w:t>
      </w:r>
      <w:r w:rsidR="00B65313">
        <w:t>den Vergleich</w:t>
      </w:r>
      <w:r>
        <w:t xml:space="preserve"> jedenfalls nicht. Bedeutet das, dass die Förderung zu teuer ist? Der Chemieverband VCI merkt an, dass viele klimafreundliche Produktionsverfahren heute noch nicht wettbewerbsfähig sind und lobt das Förderinstrument.</w:t>
      </w:r>
      <w:r w:rsidRPr="00341DC6">
        <w:rPr>
          <w:rStyle w:val="Funotenzeichen"/>
        </w:rPr>
        <w:t xml:space="preserve"> </w:t>
      </w:r>
      <w:r>
        <w:rPr>
          <w:rStyle w:val="Funotenzeichen"/>
        </w:rPr>
        <w:footnoteReference w:id="1072"/>
      </w:r>
      <w:r>
        <w:t xml:space="preserve"> Trotzdem bestehe die Gefahr einer „Dauersubventionierung der Wirtschaft.“</w:t>
      </w:r>
      <w:r>
        <w:rPr>
          <w:rStyle w:val="Funotenzeichen"/>
        </w:rPr>
        <w:footnoteReference w:id="1073"/>
      </w:r>
    </w:p>
    <w:p w14:paraId="0B670FD2" w14:textId="77777777" w:rsidR="00341DC6" w:rsidRDefault="00341DC6" w:rsidP="00112190"/>
    <w:tbl>
      <w:tblPr>
        <w:tblStyle w:val="Tabellenraster"/>
        <w:tblW w:w="0" w:type="auto"/>
        <w:tblLook w:val="04A0" w:firstRow="1" w:lastRow="0" w:firstColumn="1" w:lastColumn="0" w:noHBand="0" w:noVBand="1"/>
      </w:tblPr>
      <w:tblGrid>
        <w:gridCol w:w="9062"/>
      </w:tblGrid>
      <w:tr w:rsidR="00F066F4" w14:paraId="5129679C" w14:textId="77777777" w:rsidTr="00F066F4">
        <w:tc>
          <w:tcPr>
            <w:tcW w:w="9062" w:type="dxa"/>
          </w:tcPr>
          <w:p w14:paraId="081BE70F" w14:textId="4E6F4E2A" w:rsidR="00612F4C" w:rsidRDefault="00962B8E" w:rsidP="00112190">
            <w:r>
              <w:t>Box der Staat kann nicht alles finanzieren</w:t>
            </w:r>
            <w:r w:rsidR="00D4030B">
              <w:t xml:space="preserve"> </w:t>
            </w:r>
          </w:p>
          <w:p w14:paraId="686334EC" w14:textId="77777777" w:rsidR="006B5779" w:rsidRDefault="00832DA5" w:rsidP="00112190">
            <w:r>
              <w:t xml:space="preserve">Ich kann die Klimaschutzverträge nicht wirklich bewerten, weil ich die Berechnungsmethoden nicht nachvollziehen kann, u.a. nicht, wie die Preise der Produkte von Firmen, die ‚normal‘ produzieren, die Zahlungen verringern. Es scheint aber so gedacht zu sein, dass dann, wenn etwa das Emissionshandelssystem ETS bei anderen Firmen Preissteigerungen auslöst und die Produkte der Firmen mit den Klimaschutzverträgen </w:t>
            </w:r>
            <w:r w:rsidR="006B5779">
              <w:t xml:space="preserve">nicht mehr teurer sind, dass dann der Staat nichts mehr zahlen muss und sogar, wenn die Firma mit den Klimaschutzverträgen günstiger produzieren kann, Gelder zurückerhält. </w:t>
            </w:r>
          </w:p>
          <w:p w14:paraId="25C4C94C" w14:textId="3431D402" w:rsidR="006B5779" w:rsidRDefault="006B5779" w:rsidP="00112190">
            <w:r>
              <w:t xml:space="preserve">Kurz: Zum Ende hin, wenn das ETS greift, sinken, so die Hoffnung, die Zahlungen immer weiter ab, vereinfacht formuliert: die teuerste Phase </w:t>
            </w:r>
            <w:proofErr w:type="gramStart"/>
            <w:r>
              <w:t>sind</w:t>
            </w:r>
            <w:proofErr w:type="gramEnd"/>
            <w:r>
              <w:t xml:space="preserve"> (hoffentlich) die ersten 5 Jahre bis 2030 … aber die Chemie ist sehr zögerlich, was ist, wenn sie erst 2035 beginnt, umzubauen, dann ist man ggf. bei den vollen 15 Jahren!</w:t>
            </w:r>
          </w:p>
          <w:p w14:paraId="1391EB56" w14:textId="40F22D68" w:rsidR="00832DA5" w:rsidRDefault="00832DA5" w:rsidP="00112190">
            <w:r>
              <w:t xml:space="preserve">  </w:t>
            </w:r>
          </w:p>
          <w:p w14:paraId="0A5D40A1" w14:textId="137696B3" w:rsidR="00317CD1" w:rsidRDefault="006B5779" w:rsidP="00112190">
            <w:r>
              <w:t>Kritik Zementindustrie</w:t>
            </w:r>
            <w:r w:rsidR="00612F4C">
              <w:t xml:space="preserve">: </w:t>
            </w:r>
            <w:r w:rsidR="00D4030B">
              <w:t>Die</w:t>
            </w:r>
            <w:r w:rsidR="00F066F4">
              <w:t xml:space="preserve"> Zementindustrie, die einen großen Anteil an den CO2-Emissionen hat, und die man nicht </w:t>
            </w:r>
            <w:proofErr w:type="spellStart"/>
            <w:r w:rsidR="00F066F4">
              <w:t>dekarbonisieren</w:t>
            </w:r>
            <w:proofErr w:type="spellEnd"/>
            <w:r w:rsidR="00F066F4">
              <w:t xml:space="preserve"> kann, </w:t>
            </w:r>
            <w:r w:rsidR="00D4030B">
              <w:t>m</w:t>
            </w:r>
            <w:r>
              <w:t xml:space="preserve">uss </w:t>
            </w:r>
            <w:r w:rsidR="00D4030B">
              <w:t>sowieso ihre Emissionen auffangen, wie oben gezeigt. W</w:t>
            </w:r>
            <w:r w:rsidR="00612F4C">
              <w:t xml:space="preserve">arum </w:t>
            </w:r>
            <w:r w:rsidR="00D4030B">
              <w:t xml:space="preserve">soll der Staat </w:t>
            </w:r>
            <w:r w:rsidR="00612F4C">
              <w:t xml:space="preserve">eine </w:t>
            </w:r>
            <w:r w:rsidR="00D4030B">
              <w:t>Post-</w:t>
            </w:r>
            <w:proofErr w:type="spellStart"/>
            <w:r w:rsidR="00D4030B">
              <w:t>Combustion</w:t>
            </w:r>
            <w:proofErr w:type="spellEnd"/>
            <w:r w:rsidR="00D4030B">
              <w:t xml:space="preserve">, </w:t>
            </w:r>
            <w:proofErr w:type="spellStart"/>
            <w:r w:rsidR="00D4030B">
              <w:t>Oxyfuel</w:t>
            </w:r>
            <w:proofErr w:type="spellEnd"/>
            <w:r w:rsidR="00D4030B">
              <w:t xml:space="preserve"> oder </w:t>
            </w:r>
            <w:proofErr w:type="spellStart"/>
            <w:r w:rsidR="00D4030B">
              <w:t>Leilac</w:t>
            </w:r>
            <w:proofErr w:type="spellEnd"/>
            <w:r w:rsidR="00D4030B">
              <w:t>-Anlage bezahlen</w:t>
            </w:r>
            <w:r w:rsidR="00612F4C">
              <w:t>?</w:t>
            </w:r>
            <w:r w:rsidR="00D4030B">
              <w:t xml:space="preserve"> Die</w:t>
            </w:r>
            <w:r w:rsidR="00612F4C">
              <w:t xml:space="preserve"> Zementindustrie ist</w:t>
            </w:r>
            <w:r w:rsidR="00D4030B">
              <w:t xml:space="preserve"> nicht in der Krise und hat einen sicheren Markt. Es ist auch nicht so, dass sie nur die Option hat, ganz teure CCS-Verträge mit Norwegen oder Dänemark abzuschließen und erst einmal eine teure Pipeline nach Rotterdam zu bauen, bis überhaupt eine Auffanganlage gebaut wird. Sie kann eigentlich das CO2 </w:t>
            </w:r>
            <w:r>
              <w:t xml:space="preserve">jetzt schon </w:t>
            </w:r>
            <w:r w:rsidR="00612F4C">
              <w:t>a</w:t>
            </w:r>
            <w:r w:rsidR="00D4030B">
              <w:t xml:space="preserve">uffangen und erst einmal </w:t>
            </w:r>
            <w:r w:rsidR="00317CD1">
              <w:t xml:space="preserve">jahrelang </w:t>
            </w:r>
            <w:r w:rsidR="00D4030B">
              <w:t>in Tanklager</w:t>
            </w:r>
            <w:r w:rsidR="00317CD1">
              <w:t xml:space="preserve">n lagern. </w:t>
            </w:r>
            <w:r w:rsidR="00612F4C">
              <w:t xml:space="preserve">Wenn sie CCS machen will, kann sie das </w:t>
            </w:r>
            <w:r w:rsidR="00317CD1">
              <w:t xml:space="preserve">CO2 auch mit Lkw oder der Bahn nach Rotterdam </w:t>
            </w:r>
            <w:r w:rsidR="00612F4C">
              <w:t xml:space="preserve">oder Wilhelmshaven </w:t>
            </w:r>
            <w:r w:rsidR="00317CD1">
              <w:t>bringen.</w:t>
            </w:r>
          </w:p>
          <w:p w14:paraId="1FB1E8AD" w14:textId="1ED2C689" w:rsidR="00C52A78" w:rsidRDefault="00C52A78" w:rsidP="00112190">
            <w:r>
              <w:t xml:space="preserve">Dennoch wurde jetzt </w:t>
            </w:r>
            <w:r w:rsidR="006B5779">
              <w:t xml:space="preserve">in Klimaschutzverträgen </w:t>
            </w:r>
            <w:r>
              <w:t>CCS und CCU als</w:t>
            </w:r>
            <w:r w:rsidR="006B5779">
              <w:t xml:space="preserve"> </w:t>
            </w:r>
            <w:r>
              <w:t xml:space="preserve">förderfähig eingestuft, d.h. bei einem Zuschlag kann sich die Zementindustrie </w:t>
            </w:r>
            <w:r w:rsidR="006B5779">
              <w:t xml:space="preserve">- möglicherweise - </w:t>
            </w:r>
            <w:r>
              <w:t xml:space="preserve">15 Jahre lang </w:t>
            </w:r>
            <w:proofErr w:type="gramStart"/>
            <w:r>
              <w:t>CCS Kosten</w:t>
            </w:r>
            <w:proofErr w:type="gramEnd"/>
            <w:r>
              <w:t xml:space="preserve"> für Norwegens Northern Light Projekt bezahlen lassen</w:t>
            </w:r>
            <w:r w:rsidR="006B5779">
              <w:t>.</w:t>
            </w:r>
            <w:r>
              <w:t xml:space="preserve"> </w:t>
            </w:r>
            <w:r w:rsidR="006B5779">
              <w:t>M</w:t>
            </w:r>
            <w:r>
              <w:t>ir erscheint das unsinnig</w:t>
            </w:r>
            <w:r w:rsidR="00832DA5">
              <w:t xml:space="preserve">, </w:t>
            </w:r>
            <w:r w:rsidR="006B5779">
              <w:t>da es dabei</w:t>
            </w:r>
            <w:r w:rsidR="00832DA5">
              <w:t xml:space="preserve"> zuerst einmal nicht um die Installation einer grünen Technologie geht  … </w:t>
            </w:r>
            <w:r w:rsidR="006B5779">
              <w:t>zweitens</w:t>
            </w:r>
            <w:r w:rsidR="00832DA5">
              <w:t xml:space="preserve"> nimmt </w:t>
            </w:r>
            <w:r w:rsidR="006B5779">
              <w:t xml:space="preserve">es </w:t>
            </w:r>
            <w:r w:rsidR="00832DA5">
              <w:t xml:space="preserve">Druck weg, eine Nutzung dieses CO2 in der Chemieindustrie einzurichten … </w:t>
            </w:r>
            <w:r w:rsidR="006B5779">
              <w:t xml:space="preserve">weiterhin werden </w:t>
            </w:r>
            <w:r w:rsidR="00832DA5">
              <w:t xml:space="preserve">mögliche billigere Übergangstechniken nicht genutzt (obwohl CO2-Speicheranlagen auch von der EU bereits gefordert werden) … </w:t>
            </w:r>
            <w:r w:rsidR="006B5779">
              <w:t xml:space="preserve">Fragen über Fragen: gibt es eigentlich einen Test, ob es nicht eine noch billigere Option gibt, als die billige Option CO2 zu sparen, die die Firma angibt?  … </w:t>
            </w:r>
            <w:r w:rsidR="00832DA5">
              <w:t>und ich bin mal gespannt, wie schnell dann Fördergelder bei einem solchen Zementprojekt zurückgezahlt werden m</w:t>
            </w:r>
            <w:r w:rsidR="006B5779">
              <w:t>üssen</w:t>
            </w:r>
            <w:r w:rsidR="00832DA5">
              <w:t xml:space="preserve"> … denn andere Zementwerke müssen Emissionszertifikate kaufen und der Zement wird teurer, das Zementwerk mit Klimaschutzverträgen hat eine solche Kostensteigerung</w:t>
            </w:r>
            <w:r w:rsidR="006B5779">
              <w:t xml:space="preserve"> </w:t>
            </w:r>
            <w:r w:rsidR="00832DA5">
              <w:t xml:space="preserve">15 Jahre </w:t>
            </w:r>
            <w:r w:rsidR="006B5779">
              <w:t xml:space="preserve">lang </w:t>
            </w:r>
            <w:r w:rsidR="00832DA5">
              <w:t>nicht … es m</w:t>
            </w:r>
            <w:r w:rsidR="006B5779">
              <w:t>üsste</w:t>
            </w:r>
            <w:r w:rsidR="00832DA5">
              <w:t xml:space="preserve"> also ab einem bestimmten Punkt im Rahmen der Klimaschutzverträge an die Bundesregierung Rückzahlungen geben … </w:t>
            </w:r>
            <w:r>
              <w:t xml:space="preserve"> </w:t>
            </w:r>
          </w:p>
          <w:p w14:paraId="0796414B" w14:textId="77777777" w:rsidR="00C52A78" w:rsidRDefault="00C52A78" w:rsidP="00112190"/>
          <w:p w14:paraId="459A728D" w14:textId="2717AC16" w:rsidR="00F066F4" w:rsidRDefault="00317CD1" w:rsidP="00112190">
            <w:r>
              <w:t xml:space="preserve">Vorsicht 2: Die Klimaschutzverträge können </w:t>
            </w:r>
            <w:r w:rsidR="00BE75A2">
              <w:t>sicher nicht</w:t>
            </w:r>
            <w:r>
              <w:t xml:space="preserve"> </w:t>
            </w:r>
            <w:r w:rsidR="00BE75A2">
              <w:t xml:space="preserve">für 15 Jahre die </w:t>
            </w:r>
            <w:r>
              <w:t xml:space="preserve">gesamten höheren Kosten der Chemieindustrie </w:t>
            </w:r>
            <w:r w:rsidR="00612F4C">
              <w:t xml:space="preserve">durch </w:t>
            </w:r>
            <w:r w:rsidR="006B5779">
              <w:t>grünen Wasserstoff, der im</w:t>
            </w:r>
            <w:r>
              <w:t xml:space="preserve"> </w:t>
            </w:r>
            <w:proofErr w:type="spellStart"/>
            <w:r>
              <w:t>Syngas</w:t>
            </w:r>
            <w:proofErr w:type="spellEnd"/>
            <w:r>
              <w:t xml:space="preserve"> und Fischer-Tropsch-Prozess</w:t>
            </w:r>
            <w:r w:rsidR="006B5779">
              <w:t xml:space="preserve"> eingesetzt wird und</w:t>
            </w:r>
            <w:r>
              <w:t xml:space="preserve"> </w:t>
            </w:r>
            <w:proofErr w:type="gramStart"/>
            <w:r w:rsidR="00612F4C">
              <w:t xml:space="preserve">der </w:t>
            </w:r>
            <w:r>
              <w:t>synthetisches Naphtha</w:t>
            </w:r>
            <w:proofErr w:type="gramEnd"/>
            <w:r w:rsidR="00612F4C">
              <w:t xml:space="preserve"> herstellt,</w:t>
            </w:r>
            <w:r>
              <w:t xml:space="preserve"> bezahlen.</w:t>
            </w:r>
            <w:r w:rsidR="00612F4C">
              <w:t xml:space="preserve"> Es gibt hier einfach mehr Prozessschritte als zuvor, grünes </w:t>
            </w:r>
            <w:r w:rsidR="006B5779">
              <w:t xml:space="preserve">Naphtha oder </w:t>
            </w:r>
            <w:r w:rsidR="00612F4C">
              <w:t xml:space="preserve">Ethylen wird allein schon dadurch teurer sein als </w:t>
            </w:r>
            <w:r w:rsidR="00612F4C">
              <w:lastRenderedPageBreak/>
              <w:t xml:space="preserve">heute. </w:t>
            </w:r>
            <w:r w:rsidR="006B5779">
              <w:t xml:space="preserve">Methanol-zu-Olefinen soll aber günstiger sein. </w:t>
            </w:r>
            <w:r w:rsidR="00612F4C">
              <w:t>Und: Erdgas ist heutzutage für Großverbraucher</w:t>
            </w:r>
            <w:r w:rsidR="006B5779">
              <w:t xml:space="preserve"> immer noch günstig</w:t>
            </w:r>
            <w:r w:rsidR="00612F4C">
              <w:t xml:space="preserve">. </w:t>
            </w:r>
            <w:r w:rsidR="00962B8E">
              <w:t xml:space="preserve">Bierdeckelrechnung: </w:t>
            </w:r>
            <w:r w:rsidR="009A48C5" w:rsidRPr="009A48C5">
              <w:t xml:space="preserve">1 Tonne Ethylen kostet derzeit ca. 1000 Euro, das sind bei ca. 4 Mill. Tonnen Ethylen (4,3 Mill. Tonnen </w:t>
            </w:r>
            <w:proofErr w:type="spellStart"/>
            <w:r w:rsidR="009A48C5" w:rsidRPr="009A48C5">
              <w:t>Ethylenproduktion</w:t>
            </w:r>
            <w:proofErr w:type="spellEnd"/>
            <w:r w:rsidR="009A48C5" w:rsidRPr="009A48C5">
              <w:t xml:space="preserve"> in Deutschland 2023) ein Wert von 4 Mrd. Euro. Wenn grünes Ethylen zum Beispiel 4 mal so viel kostet wären es 16 Mrd. Dann bräuchte man pro Jahr 12 Mrd. staatliche Subvention, um das Ethylen auf das zuvor bestehende Preisniveau herunter zu subventionieren. Für 5 Jahre wären dies 80 Mrd. Euro. Die Subventionen würden zudem nichts ändern, danach wäre das grüne Ethylen immer noch so </w:t>
            </w:r>
            <w:proofErr w:type="spellStart"/>
            <w:proofErr w:type="gramStart"/>
            <w:r w:rsidR="009A48C5" w:rsidRPr="009A48C5">
              <w:t>teuer.</w:t>
            </w:r>
            <w:r w:rsidR="00612F4C">
              <w:t>Da</w:t>
            </w:r>
            <w:proofErr w:type="spellEnd"/>
            <w:proofErr w:type="gramEnd"/>
            <w:r w:rsidR="00612F4C">
              <w:t xml:space="preserve"> hilft auch eine Subvention für den Bau der Anlage nicht. Die Anlage mag 2 Mrd. kosten, aber das Problem sind die laufenden Kosten. Aus meiner Sicht hilft hier nur die Erkenntnis, dass es zu irgendeinem Zeitpunkt, </w:t>
            </w:r>
            <w:r w:rsidR="00612F4C" w:rsidRPr="00612F4C">
              <w:rPr>
                <w:u w:val="single"/>
              </w:rPr>
              <w:t>einen koordinierten Preissprung geben muss</w:t>
            </w:r>
            <w:r w:rsidR="00612F4C">
              <w:t xml:space="preserve">. </w:t>
            </w:r>
            <w:r w:rsidR="00612F4C">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tc>
      </w:tr>
    </w:tbl>
    <w:p w14:paraId="1DF558D3" w14:textId="77777777" w:rsidR="00FF5908" w:rsidRDefault="00FF5908" w:rsidP="00112190"/>
    <w:p w14:paraId="7D89A9FF" w14:textId="6578FC4A" w:rsidR="00832DA5" w:rsidRDefault="00465B88" w:rsidP="00832DA5">
      <w:r>
        <w:t xml:space="preserve">Diese Probleme wurden bei der Konzeption der Klimaschutzverträge auch schon erkannt. </w:t>
      </w:r>
      <w:r w:rsidR="00832DA5">
        <w:t>In den Agora Studien aus dem Jahr 2022 zur Nutzung der Klimaschutzverträge in der Schwerindustrie Zement, Stahl und Ammoniak (diesen Bericht finde ich nicht) und der Gesamtstudie</w:t>
      </w:r>
      <w:r w:rsidR="00832DA5">
        <w:rPr>
          <w:rStyle w:val="Funotenzeichen"/>
        </w:rPr>
        <w:footnoteReference w:id="1074"/>
      </w:r>
      <w:r w:rsidR="00832DA5">
        <w:t xml:space="preserve">  wurde ebenfalls von möglichen Kostensteigerungen </w:t>
      </w:r>
      <w:r>
        <w:t xml:space="preserve">durch die grüne Produktion </w:t>
      </w:r>
      <w:r w:rsidR="00832DA5">
        <w:t xml:space="preserve">ausgegangen, aber argumentiert, dass es Maßnahmen gäbe, die Kostensteigerung weniger stark ausfallen zu lassen, dies seien Investitionszuschüsse (offenbar getrennt von den Klimaschutzverträgen erfolgende Subventionen für den Aufbau von Anlagen), und schließlich sei der Klima- und Transformationsfond KTF (damals noch Energie- und Klimafonds EKF) durch die Einnahmen der Versteigerung von Emissionszertifikaten finanziell ausreichend ausgestattet, zudem </w:t>
      </w:r>
      <w:r>
        <w:t xml:space="preserve">wird </w:t>
      </w:r>
      <w:r w:rsidR="00832DA5">
        <w:t>davon ausgegangen, dass er auch „durch den Bund oder aber die Vergabe von grünen Anleihen durch den Bund rekapitalisiert werden“ könne und es würden in Zukunft</w:t>
      </w:r>
      <w:r>
        <w:t xml:space="preserve"> </w:t>
      </w:r>
      <w:r w:rsidR="00832DA5">
        <w:t xml:space="preserve">durch den EU Innovationsfond Mittel bereitgestellt, </w:t>
      </w:r>
      <w:r>
        <w:t xml:space="preserve">schließlich </w:t>
      </w:r>
      <w:r w:rsidR="00832DA5">
        <w:t>würde ein Großteil der Mittel nur als Sicherheit dienen.“</w:t>
      </w:r>
      <w:r w:rsidR="00832DA5">
        <w:rPr>
          <w:rStyle w:val="Funotenzeichen"/>
        </w:rPr>
        <w:footnoteReference w:id="1075"/>
      </w:r>
      <w:r w:rsidR="00832DA5">
        <w:t xml:space="preserve"> </w:t>
      </w:r>
      <w:r>
        <w:t xml:space="preserve">(hier spricht der Finanzierungs-Optimismus der Ampel-Koalition vor dem Urteil des BVerfG) </w:t>
      </w:r>
      <w:r w:rsidR="00832DA5">
        <w:t xml:space="preserve">Für Stahl würde der Aufbau von </w:t>
      </w:r>
      <w:r>
        <w:t xml:space="preserve">gewissen (nicht genauer beschrieben) </w:t>
      </w:r>
      <w:r w:rsidR="00832DA5">
        <w:t>Anlagen 8 Mrd. Euro kosten, die Mehrkosten für den Betrieb mit erneuerbarem Wasserstoff 27 Mrd. (</w:t>
      </w:r>
      <w:r>
        <w:t xml:space="preserve">damals wurde noch ein </w:t>
      </w:r>
      <w:r w:rsidR="00832DA5">
        <w:t>Zeithorizon</w:t>
      </w:r>
      <w:r>
        <w:t>t</w:t>
      </w:r>
      <w:r w:rsidR="00832DA5">
        <w:t xml:space="preserve"> </w:t>
      </w:r>
      <w:r>
        <w:t xml:space="preserve">von </w:t>
      </w:r>
      <w:r w:rsidR="00832DA5">
        <w:t>10 Jahre</w:t>
      </w:r>
      <w:r>
        <w:t xml:space="preserve"> angesetzt</w:t>
      </w:r>
      <w:r w:rsidR="00832DA5">
        <w:t>). Dies lasse sich aber in Kombinationen mit anderen Politikinstrumente</w:t>
      </w:r>
      <w:r>
        <w:t>, hier wird – soweit ich das im Kontext deute - das ETS und das CBAM gemeint, das höhere Preisniveau etabliert und dann zu einer geringeren Fördersumme führt,</w:t>
      </w:r>
      <w:r w:rsidR="00832DA5">
        <w:t xml:space="preserve"> auf 2 Mrd. Euro senken.</w:t>
      </w:r>
      <w:r w:rsidR="00832DA5">
        <w:rPr>
          <w:rStyle w:val="Funotenzeichen"/>
        </w:rPr>
        <w:footnoteReference w:id="1076"/>
      </w:r>
      <w:r w:rsidR="00832DA5">
        <w:t xml:space="preserve"> </w:t>
      </w:r>
      <w:r>
        <w:t>(siehe dazu auch das Zitat gleich) Für Zement seien nur ganz geringe Mittel nötig, genannt werden 100 Mill. Euro.</w:t>
      </w:r>
      <w:r>
        <w:rPr>
          <w:rStyle w:val="Funotenzeichen"/>
        </w:rPr>
        <w:footnoteReference w:id="1077"/>
      </w:r>
      <w:r>
        <w:t xml:space="preserve"> </w:t>
      </w:r>
      <w:r w:rsidR="00832DA5">
        <w:t>Für Ammoniak mit dem Betrieb mit Wasserstoff sei kein Anlagenneubau nötig, es entstünden Mehrkosten von 6,6 Mrd. Euro</w:t>
      </w:r>
      <w:r w:rsidR="00832DA5">
        <w:rPr>
          <w:rStyle w:val="Funotenzeichen"/>
        </w:rPr>
        <w:footnoteReference w:id="1078"/>
      </w:r>
      <w:r w:rsidR="00832DA5">
        <w:t xml:space="preserve"> (</w:t>
      </w:r>
      <w:r>
        <w:t xml:space="preserve">dies </w:t>
      </w:r>
      <w:r w:rsidR="00832DA5">
        <w:t xml:space="preserve">entspricht nicht meiner Informationslage, ich gehen von 900 Mill. Euro für eine </w:t>
      </w:r>
      <w:r>
        <w:t>neue grüne Haber-Bosch-</w:t>
      </w:r>
      <w:r w:rsidR="00832DA5">
        <w:t>Anlage</w:t>
      </w:r>
      <w:r>
        <w:t>, vielleicht ist hier gemeint, dass</w:t>
      </w:r>
      <w:r w:rsidR="00832DA5">
        <w:t xml:space="preserve"> man grünen Wasserstoff </w:t>
      </w:r>
      <w:proofErr w:type="spellStart"/>
      <w:r w:rsidR="00832DA5">
        <w:t>dazumisch</w:t>
      </w:r>
      <w:r>
        <w:t>t</w:t>
      </w:r>
      <w:proofErr w:type="spellEnd"/>
      <w:r w:rsidR="00832DA5">
        <w:t xml:space="preserve">, </w:t>
      </w:r>
      <w:r>
        <w:t xml:space="preserve">dies spart auch CO2, </w:t>
      </w:r>
      <w:r w:rsidR="00832DA5">
        <w:t>ist keine vollständige Umstellung) Insgesamt ginge es um 35 Mrd. Euro.</w:t>
      </w:r>
      <w:r w:rsidR="00832DA5" w:rsidRPr="009479BA">
        <w:rPr>
          <w:rStyle w:val="Funotenzeichen"/>
        </w:rPr>
        <w:t xml:space="preserve"> </w:t>
      </w:r>
      <w:r w:rsidR="00832DA5">
        <w:rPr>
          <w:rStyle w:val="Funotenzeichen"/>
        </w:rPr>
        <w:footnoteReference w:id="1079"/>
      </w:r>
      <w:r w:rsidR="00832DA5">
        <w:t xml:space="preserve"> </w:t>
      </w:r>
      <w:r>
        <w:t xml:space="preserve">Formuliert wird: </w:t>
      </w:r>
      <w:r w:rsidR="00832DA5">
        <w:t xml:space="preserve">„Bei einer strategischen Reform des EU-ETS, seiner Carbon-Leakage-Mechanismen und dem erfolgreichen Aufbau von grünen Leitmärkten wird jedoch nur ein </w:t>
      </w:r>
      <w:r w:rsidR="00832DA5">
        <w:lastRenderedPageBreak/>
        <w:t>kleiner Teil dieser Summe zur Auszahlung kommen.“</w:t>
      </w:r>
      <w:r w:rsidR="00832DA5" w:rsidRPr="009479BA">
        <w:rPr>
          <w:rStyle w:val="Funotenzeichen"/>
        </w:rPr>
        <w:t xml:space="preserve"> </w:t>
      </w:r>
      <w:r w:rsidR="00832DA5">
        <w:rPr>
          <w:rStyle w:val="Funotenzeichen"/>
        </w:rPr>
        <w:footnoteReference w:id="1080"/>
      </w:r>
      <w:r w:rsidR="00832DA5">
        <w:t xml:space="preserve"> Zugestanden wird aber schon damals, dass eine Förderung </w:t>
      </w:r>
      <w:r>
        <w:t>nicht alle Probleme löst</w:t>
      </w:r>
      <w:r w:rsidR="00832DA5">
        <w:t xml:space="preserve">, denn es </w:t>
      </w:r>
      <w:r>
        <w:t>sei</w:t>
      </w:r>
      <w:r w:rsidR="00832DA5">
        <w:t xml:space="preserve"> auch wünschenswert, dass eine Kreislaufwirtschaft entsteht und wenn hier eine klimafreundliche direkte Produktion subventioniert wird, kann dies</w:t>
      </w:r>
      <w:r>
        <w:t xml:space="preserve"> beispielsweise </w:t>
      </w:r>
      <w:r w:rsidR="00832DA5">
        <w:t xml:space="preserve"> Kreislaufwirtschaftsstrategien benachteilig</w:t>
      </w:r>
      <w:r>
        <w:t>en</w:t>
      </w:r>
      <w:r w:rsidR="00832DA5">
        <w:t>, die zu Kostensteigerungen führen können.</w:t>
      </w:r>
      <w:r w:rsidR="00832DA5" w:rsidRPr="00947219">
        <w:rPr>
          <w:rStyle w:val="Funotenzeichen"/>
        </w:rPr>
        <w:t xml:space="preserve"> </w:t>
      </w:r>
      <w:r w:rsidR="00832DA5">
        <w:rPr>
          <w:rStyle w:val="Funotenzeichen"/>
        </w:rPr>
        <w:footnoteReference w:id="1081"/>
      </w:r>
      <w:r w:rsidR="00832DA5">
        <w:t xml:space="preserve"> Dies führt zu folgender Überlegung: „Eine Lösung dieses Problems besteht darin, die wahren Kosten der klimafreundlichen Produktion wie auch der konventionellen Produktion an die Konsumentinnen und Konsumenten weiterzugeben und so die richtigen Anreize zu schaffen. Dies kann über eine Ausgestaltung der Klimaschutzverträge als Absicherungsinstrument und in enger Abstimmung mit der Reform des EU-EHS und der Einführung eines Grenzausgleichsmechanismus erfolgen.“</w:t>
      </w:r>
      <w:r w:rsidR="00832DA5" w:rsidRPr="00947219">
        <w:rPr>
          <w:rStyle w:val="Funotenzeichen"/>
        </w:rPr>
        <w:t xml:space="preserve"> </w:t>
      </w:r>
      <w:r w:rsidR="00832DA5">
        <w:rPr>
          <w:rStyle w:val="Funotenzeichen"/>
        </w:rPr>
        <w:footnoteReference w:id="1082"/>
      </w:r>
      <w:r w:rsidR="00832DA5">
        <w:t xml:space="preserve"> Kurz: </w:t>
      </w:r>
      <w:r w:rsidR="00797DCA" w:rsidRPr="00797DCA">
        <w:rPr>
          <w:u w:val="single"/>
        </w:rPr>
        <w:t xml:space="preserve">es wird </w:t>
      </w:r>
      <w:r w:rsidRPr="00797DCA">
        <w:rPr>
          <w:u w:val="single"/>
        </w:rPr>
        <w:t>schon damals</w:t>
      </w:r>
      <w:r w:rsidR="00832DA5" w:rsidRPr="00797DCA">
        <w:rPr>
          <w:u w:val="single"/>
        </w:rPr>
        <w:t xml:space="preserve"> darüber nachgedacht einen Sprung auf ein neues Preisniveau zuzulassen</w:t>
      </w:r>
      <w:r w:rsidR="00832DA5">
        <w:t>. Bemerkenswert ist schließlich, dass die Klimaschutzverträge dennoch nur als „erster Schritt einer umfassenden Transformationsstrategie“ verstanden werden.</w:t>
      </w:r>
      <w:r w:rsidR="00832DA5">
        <w:rPr>
          <w:rStyle w:val="Funotenzeichen"/>
        </w:rPr>
        <w:footnoteReference w:id="1083"/>
      </w:r>
      <w:r w:rsidR="00797DCA">
        <w:t xml:space="preserve"> In der Excel-Datei über die Kosten für eine Klimaschutzvertrag im Bereich Stahl findet sich etwa die ‚Default‘-Berechnung, dass grüner Stahl, der mit grünem Wasserstoff produziert wird, statt 400 Euro / Tonne Rohstahl, nun 670 Euro / Tonnen Rohstahl kostet, siehe den Transformationskostenrechner Stahl.</w:t>
      </w:r>
      <w:r w:rsidR="00797DCA">
        <w:rPr>
          <w:rStyle w:val="Funotenzeichen"/>
        </w:rPr>
        <w:footnoteReference w:id="1084"/>
      </w:r>
      <w:r w:rsidR="00797DCA">
        <w:t xml:space="preserve"> </w:t>
      </w:r>
    </w:p>
    <w:p w14:paraId="0BEF7C8B" w14:textId="77777777" w:rsidR="00832DA5" w:rsidRDefault="00832DA5" w:rsidP="00112190"/>
    <w:p w14:paraId="1FF11C6D" w14:textId="3208C9A4" w:rsidR="00CA21F9" w:rsidRDefault="003B423C" w:rsidP="00112190">
      <w:r w:rsidRPr="00832DA5">
        <w:rPr>
          <w:u w:val="single"/>
        </w:rPr>
        <w:t>S</w:t>
      </w:r>
      <w:r w:rsidR="001A322A" w:rsidRPr="00832DA5">
        <w:rPr>
          <w:u w:val="single"/>
        </w:rPr>
        <w:t>ubventionen im Bereich Stahl.</w:t>
      </w:r>
      <w:r w:rsidR="001A322A">
        <w:t xml:space="preserve"> </w:t>
      </w:r>
      <w:r w:rsidR="00112190">
        <w:t xml:space="preserve">In Duisburg befindet sich </w:t>
      </w:r>
      <w:proofErr w:type="gramStart"/>
      <w:r w:rsidR="00112190">
        <w:t>ein großes integriertes Stahlwerke</w:t>
      </w:r>
      <w:proofErr w:type="gramEnd"/>
      <w:r w:rsidR="00112190">
        <w:t xml:space="preserve"> von Thyssenkrupp. Hier soll eine Direktreduktionsanlage auf Wasserstoffbetrieb umgestellt werden.</w:t>
      </w:r>
      <w:r w:rsidR="00112190">
        <w:rPr>
          <w:rStyle w:val="Funotenzeichen"/>
        </w:rPr>
        <w:footnoteReference w:id="1085"/>
      </w:r>
      <w:r w:rsidR="00112190">
        <w:t xml:space="preserve"> Dies erfolgt </w:t>
      </w:r>
      <w:r w:rsidR="00271C18">
        <w:t xml:space="preserve">zuerst allerdings ‚nur‘ </w:t>
      </w:r>
      <w:r w:rsidR="00112190">
        <w:t>schrittweise, zuerst hat Erdgas noch einen Anteil.</w:t>
      </w:r>
      <w:r w:rsidR="00112190">
        <w:rPr>
          <w:rStyle w:val="Funotenzeichen"/>
        </w:rPr>
        <w:footnoteReference w:id="1086"/>
      </w:r>
      <w:r w:rsidR="00112190">
        <w:t xml:space="preserve"> Von 20 Mill. Tonnen CO2 können damit 3,5 Mill. Tonnen eingespart werden.</w:t>
      </w:r>
      <w:r w:rsidR="00112190">
        <w:rPr>
          <w:rStyle w:val="Funotenzeichen"/>
        </w:rPr>
        <w:footnoteReference w:id="1087"/>
      </w:r>
      <w:r w:rsidR="00112190">
        <w:t xml:space="preserve">  Hier gibt es eine Subvention der Bundesregierung von 2 Mrd. Euro, NRW übernimmt 700 Mill. Euro.</w:t>
      </w:r>
      <w:r w:rsidR="00112190">
        <w:rPr>
          <w:rStyle w:val="Funotenzeichen"/>
        </w:rPr>
        <w:footnoteReference w:id="1088"/>
      </w:r>
      <w:r w:rsidR="00112190">
        <w:t xml:space="preserve"> Bei Thyssenkrupp in Duisburg gibt es Befürchtungen, dass sich die Stahlsparte in Zukunft alleine </w:t>
      </w:r>
      <w:r w:rsidR="00F0268A">
        <w:t>finanzieren</w:t>
      </w:r>
      <w:r w:rsidR="00112190">
        <w:t xml:space="preserve"> muss, ausgelöst durch den Einstieg des tschechischen Investors Daniel Kretinsky.</w:t>
      </w:r>
      <w:r w:rsidR="00CA21F9" w:rsidRPr="00CA21F9">
        <w:rPr>
          <w:rStyle w:val="Funotenzeichen"/>
        </w:rPr>
        <w:t xml:space="preserve"> </w:t>
      </w:r>
      <w:r w:rsidR="00CA21F9">
        <w:rPr>
          <w:rStyle w:val="Funotenzeichen"/>
        </w:rPr>
        <w:footnoteReference w:id="1089"/>
      </w:r>
      <w:r w:rsidR="00CA21F9">
        <w:t xml:space="preserve"> Thyssenkrupp mit 27.000 Mitarbeitern, davon 13.000 an den beiden Hauptstandorten in Duisburg, es hat derzeit Schwierigkeiten u.a. mit dem Rückgang der Nachfrage, es möchte u.a. seine Kapazität von 11,5 Mill. Tonnen auf 9 bis 9,5 Mill. Tonnen verringern. Angezweifelt wird, dass das CBAM helfen wird, vor Importen aus China zu schützen.</w:t>
      </w:r>
      <w:r w:rsidR="00CA21F9">
        <w:rPr>
          <w:rStyle w:val="Funotenzeichen"/>
        </w:rPr>
        <w:footnoteReference w:id="1090"/>
      </w:r>
      <w:r w:rsidR="00F0268A">
        <w:t xml:space="preserve"> </w:t>
      </w:r>
      <w:bookmarkStart w:id="54" w:name="_Hlk200299548"/>
      <w:r w:rsidR="00F0268A">
        <w:t>Nun soll Thyssenkrupp ganz aufgelöst werden, in der Stahlsparte will Thyssenkrupp nicht einmal mehr die Mehrheitsanteile halten.</w:t>
      </w:r>
      <w:r w:rsidR="00F0268A">
        <w:rPr>
          <w:rStyle w:val="Funotenzeichen"/>
        </w:rPr>
        <w:footnoteReference w:id="1091"/>
      </w:r>
      <w:r w:rsidR="00F0268A">
        <w:t xml:space="preserve"> </w:t>
      </w:r>
    </w:p>
    <w:bookmarkEnd w:id="54"/>
    <w:p w14:paraId="7F85F585" w14:textId="77777777" w:rsidR="00CA21F9" w:rsidRDefault="00CA21F9" w:rsidP="00112190"/>
    <w:p w14:paraId="7C2F2D69" w14:textId="4615EC46" w:rsidR="00112190" w:rsidRDefault="00CA21F9" w:rsidP="00112190">
      <w:r>
        <w:t xml:space="preserve">Insgesamt hat der Bund 7 Mrd. Euro Hilfen bereitgestellt, um Direktreduktionsanlagen auf Wasserstoff umzustellen, Salzgitter hat eine Förderzusage von 1 Mrd. Euro, </w:t>
      </w:r>
      <w:proofErr w:type="spellStart"/>
      <w:r>
        <w:t>Acelor</w:t>
      </w:r>
      <w:proofErr w:type="spellEnd"/>
      <w:r>
        <w:t xml:space="preserve"> Mittal hat für die Standorte Bremen und Eisenhüttenstadt 1,3 Mrd. Euro zugesagt bekommen. </w:t>
      </w:r>
      <w:r w:rsidR="00CB535E">
        <w:t>Dass Thyssenkrupp die Förderung zurückzahlen muss, wenn es Arbeiter entlässt, ist nicht vorgesehen.</w:t>
      </w:r>
      <w:r w:rsidR="00CB535E" w:rsidRPr="00CB535E">
        <w:rPr>
          <w:rStyle w:val="Funotenzeichen"/>
        </w:rPr>
        <w:t xml:space="preserve"> </w:t>
      </w:r>
      <w:r w:rsidR="00CB535E">
        <w:rPr>
          <w:rStyle w:val="Funotenzeichen"/>
        </w:rPr>
        <w:footnoteReference w:id="1092"/>
      </w:r>
      <w:r w:rsidR="00CB535E">
        <w:t xml:space="preserve"> </w:t>
      </w:r>
      <w:r>
        <w:t>Der Salzgitter Stahlkonzern meldet immerhin 204 Mill. Euro Gewinn für 2023, zuvor 2022 waren es 1,1 Mrd. Euro.</w:t>
      </w:r>
      <w:r>
        <w:rPr>
          <w:rStyle w:val="Funotenzeichen"/>
        </w:rPr>
        <w:footnoteReference w:id="1093"/>
      </w:r>
      <w:r>
        <w:t xml:space="preserve"> </w:t>
      </w:r>
      <w:r w:rsidR="00633B29">
        <w:t>Insgesamt sind in Deutschland 17 Hochöfen aktiv und 7 Warmwalzanlagen (2019), so Wikipedia, aber, siehe Teil 2, der Staat fördert derzeit Duisburg, Bremen, Salzgitter und das Saarland, also den Umbau von 4 Hochöfen.</w:t>
      </w:r>
      <w:r w:rsidR="00633B29">
        <w:rPr>
          <w:rStyle w:val="Funotenzeichen"/>
        </w:rPr>
        <w:footnoteReference w:id="1094"/>
      </w:r>
    </w:p>
    <w:p w14:paraId="2ACFD243" w14:textId="77777777" w:rsidR="00271C18" w:rsidRDefault="00271C18" w:rsidP="00112190"/>
    <w:p w14:paraId="4518AC41" w14:textId="16CDF898" w:rsidR="000D6E49" w:rsidRDefault="001A322A" w:rsidP="00112190">
      <w:r>
        <w:t xml:space="preserve">Weitere Beispiele Stahl: </w:t>
      </w:r>
      <w:r w:rsidR="00112190">
        <w:t xml:space="preserve">Der italienische Stahlhersteller </w:t>
      </w:r>
      <w:proofErr w:type="spellStart"/>
      <w:r w:rsidR="00112190">
        <w:t>Feralpi</w:t>
      </w:r>
      <w:proofErr w:type="spellEnd"/>
      <w:r w:rsidR="00A85E25">
        <w:t>, siehe den FAZ-Artikel dazu,</w:t>
      </w:r>
      <w:r w:rsidR="00112190">
        <w:t xml:space="preserve"> baut derzeit in Riesa für 200 Millionen Euro ein neues Stahlwalzwerk. Dort wird mit einem elektrischen Lichtbogenofen Stahl geschmolzen, er verbraucht 540 Gigawattstunden Strom pro Jahr, </w:t>
      </w:r>
      <w:r w:rsidR="0049037F">
        <w:t>zusätzlich</w:t>
      </w:r>
      <w:r w:rsidR="00112190">
        <w:t xml:space="preserve"> wird Gas benötigt, zum Erhitzen von Stahl vor dem Walzen. Energiekosten machen ein Fünftel der Kosten aus. Das neue Walzwerk wird nur noch mit Strom betrieben, dies erhöht die Stromkosten auf ca. 700 Gigawattstunden. Es sollen 1,3 Mill. Tonnen Baustahl produziert werden.</w:t>
      </w:r>
      <w:r w:rsidR="00112190" w:rsidRPr="00740098">
        <w:rPr>
          <w:rStyle w:val="Funotenzeichen"/>
        </w:rPr>
        <w:t xml:space="preserve"> </w:t>
      </w:r>
      <w:r w:rsidR="00112190">
        <w:t xml:space="preserve"> </w:t>
      </w:r>
      <w:proofErr w:type="spellStart"/>
      <w:r w:rsidR="00112190">
        <w:t>Feralpi</w:t>
      </w:r>
      <w:proofErr w:type="spellEnd"/>
      <w:r w:rsidR="00112190">
        <w:t xml:space="preserve"> erhält 3,5 Mill. Euro als Unterstützung vom Staat.</w:t>
      </w:r>
      <w:r w:rsidR="00112190">
        <w:rPr>
          <w:rStyle w:val="Funotenzeichen"/>
        </w:rPr>
        <w:footnoteReference w:id="1095"/>
      </w:r>
      <w:r w:rsidR="00112190">
        <w:t xml:space="preserve"> Einen Klimaschutzvertrag </w:t>
      </w:r>
      <w:proofErr w:type="spellStart"/>
      <w:r w:rsidR="00112190">
        <w:t>schliesst</w:t>
      </w:r>
      <w:proofErr w:type="spellEnd"/>
      <w:r w:rsidR="00112190">
        <w:t xml:space="preserve"> </w:t>
      </w:r>
      <w:proofErr w:type="spellStart"/>
      <w:r w:rsidR="00112190">
        <w:t>Feralpi</w:t>
      </w:r>
      <w:proofErr w:type="spellEnd"/>
      <w:r w:rsidR="00112190">
        <w:t xml:space="preserve"> nicht ab, </w:t>
      </w:r>
      <w:r w:rsidR="0049037F">
        <w:t xml:space="preserve">als ein Grund dafür wird in dem Artikel genannt, dass </w:t>
      </w:r>
      <w:proofErr w:type="spellStart"/>
      <w:r w:rsidR="0049037F">
        <w:t>mann</w:t>
      </w:r>
      <w:proofErr w:type="spellEnd"/>
      <w:r w:rsidR="0049037F">
        <w:t xml:space="preserve"> dazu</w:t>
      </w:r>
      <w:r w:rsidR="00112190">
        <w:t xml:space="preserve"> der Tendenz nach eine Beratungsgesellschaft, um einen solchen Antrag zu stellen und zu begleiten.</w:t>
      </w:r>
      <w:r w:rsidR="00112190">
        <w:rPr>
          <w:rStyle w:val="Funotenzeichen"/>
        </w:rPr>
        <w:footnoteReference w:id="1096"/>
      </w:r>
      <w:r w:rsidR="00112190">
        <w:t xml:space="preserve"> </w:t>
      </w:r>
      <w:proofErr w:type="spellStart"/>
      <w:r w:rsidR="00112190">
        <w:t>Feralpi</w:t>
      </w:r>
      <w:proofErr w:type="spellEnd"/>
      <w:r w:rsidR="00112190">
        <w:t xml:space="preserve"> könnte sicher bei der </w:t>
      </w:r>
      <w:proofErr w:type="spellStart"/>
      <w:r w:rsidR="00112190">
        <w:t>DEHSt</w:t>
      </w:r>
      <w:proofErr w:type="spellEnd"/>
      <w:r w:rsidR="00112190">
        <w:t xml:space="preserve"> eine Strompreiskompensation beantragen, wie andere Stahlhersteller, die mit einem Elektrolichtbogen arbeiten und viel Strom verbrauchen</w:t>
      </w:r>
      <w:r w:rsidR="002C5F71">
        <w:t>. Und, siehe da,</w:t>
      </w:r>
      <w:r w:rsidR="00112190">
        <w:t xml:space="preserve"> das Unternehmen befindet sich</w:t>
      </w:r>
      <w:r w:rsidR="004A3841">
        <w:t xml:space="preserve"> auch</w:t>
      </w:r>
      <w:r w:rsidR="00112190">
        <w:t xml:space="preserve"> auf der Liste</w:t>
      </w:r>
      <w:r w:rsidR="004A3841">
        <w:t>, es bekommt 6,4 Mill. Euro Strompreiskompensation, erwähnt wird</w:t>
      </w:r>
      <w:r w:rsidR="002C5F71">
        <w:t xml:space="preserve"> dies</w:t>
      </w:r>
      <w:r w:rsidR="004A3841">
        <w:t xml:space="preserve"> im o.g. </w:t>
      </w:r>
      <w:proofErr w:type="gramStart"/>
      <w:r w:rsidR="004A3841">
        <w:t>FAZ Artikel</w:t>
      </w:r>
      <w:proofErr w:type="gramEnd"/>
      <w:r w:rsidR="004A3841">
        <w:t xml:space="preserve"> nicht, dass es auf diese Weise Unterstützung vom deutschen Staat bekommt</w:t>
      </w:r>
      <w:r w:rsidR="00112190">
        <w:t>.</w:t>
      </w:r>
      <w:r w:rsidR="00112190">
        <w:rPr>
          <w:rStyle w:val="Funotenzeichen"/>
        </w:rPr>
        <w:footnoteReference w:id="1097"/>
      </w:r>
      <w:r w:rsidR="004A3841">
        <w:t xml:space="preserve"> </w:t>
      </w:r>
    </w:p>
    <w:p w14:paraId="17DBBD88" w14:textId="77777777" w:rsidR="000D6E49" w:rsidRDefault="000D6E49" w:rsidP="00112190"/>
    <w:p w14:paraId="1E34C5D9" w14:textId="215EFFF0" w:rsidR="00112190" w:rsidRDefault="000D6E49" w:rsidP="00112190">
      <w:r>
        <w:t>Anne-Marie Großmann</w:t>
      </w:r>
      <w:r w:rsidR="00846256">
        <w:t>, Chefin</w:t>
      </w:r>
      <w:r>
        <w:t xml:space="preserve"> </w:t>
      </w:r>
      <w:proofErr w:type="gramStart"/>
      <w:r>
        <w:t>der</w:t>
      </w:r>
      <w:r w:rsidR="004A3841">
        <w:t xml:space="preserve"> Georgsmarienhütte</w:t>
      </w:r>
      <w:proofErr w:type="gramEnd"/>
      <w:r w:rsidR="004A3841">
        <w:t xml:space="preserve"> </w:t>
      </w:r>
      <w:r>
        <w:t>(GMH)</w:t>
      </w:r>
      <w:r w:rsidR="00D07503">
        <w:t xml:space="preserve">, </w:t>
      </w:r>
      <w:r w:rsidR="00A85E25">
        <w:t xml:space="preserve">siehe den FAZ-Artikel, hat </w:t>
      </w:r>
      <w:r w:rsidR="00F90E9D">
        <w:t xml:space="preserve">einen </w:t>
      </w:r>
      <w:r w:rsidR="00D07503">
        <w:t xml:space="preserve">Jahresumsatz </w:t>
      </w:r>
      <w:r w:rsidR="00F90E9D">
        <w:t xml:space="preserve">von </w:t>
      </w:r>
      <w:r w:rsidR="00D07503">
        <w:t xml:space="preserve">2,3 </w:t>
      </w:r>
      <w:proofErr w:type="spellStart"/>
      <w:r w:rsidR="00D07503">
        <w:t>Mrd</w:t>
      </w:r>
      <w:proofErr w:type="spellEnd"/>
      <w:r w:rsidR="00D07503">
        <w:t>,</w:t>
      </w:r>
      <w:r w:rsidR="00F90E9D">
        <w:t xml:space="preserve"> Euro,</w:t>
      </w:r>
      <w:r w:rsidR="00D07503">
        <w:t xml:space="preserve"> 6000 Angestellte,</w:t>
      </w:r>
      <w:r>
        <w:t xml:space="preserve"> möchte im Jahr 2039 Treibhausneutral sein, auch sie betreibt eine Stahlherstellung über einen Lichtbogenofen. Ein Teil des Stahls wird als grüner Stahl produziert, da </w:t>
      </w:r>
      <w:proofErr w:type="gramStart"/>
      <w:r>
        <w:t>die Georgsmarienhütte</w:t>
      </w:r>
      <w:proofErr w:type="gramEnd"/>
      <w:r>
        <w:t xml:space="preserve"> grünen Strom über Windenergie dazu einsetzt. Die vier Elektroöfen verbrauche</w:t>
      </w:r>
      <w:r w:rsidR="00D07503">
        <w:t>n</w:t>
      </w:r>
      <w:r>
        <w:t xml:space="preserve"> mehr Strom als die Stadt Osnabrück, es wären 60 große Windräder nötig, um den Strom zu erzeugen. Der Bund hat mit 880.000 Euro eine Anlage zur Wärmebehandlung von Stahl gefördert, die Strom statt Gas einsetzt.</w:t>
      </w:r>
      <w:r w:rsidR="00D07503">
        <w:rPr>
          <w:rStyle w:val="Funotenzeichen"/>
        </w:rPr>
        <w:footnoteReference w:id="1098"/>
      </w:r>
      <w:r>
        <w:t xml:space="preserve"> </w:t>
      </w:r>
      <w:r w:rsidR="00F90E9D">
        <w:t>Die Georgsmarienhütte bekommt 5,6 Mill. Euro Strompreiskompensation.</w:t>
      </w:r>
      <w:r w:rsidR="00F90E9D">
        <w:rPr>
          <w:rStyle w:val="Funotenzeichen"/>
        </w:rPr>
        <w:footnoteReference w:id="1099"/>
      </w:r>
      <w:r w:rsidR="00F90E9D">
        <w:t xml:space="preserve"> </w:t>
      </w:r>
      <w:r w:rsidR="00FB3F73">
        <w:t xml:space="preserve">Dass die Georgsmarienhütte Strompreiskompensation bekommt, wird auch in diesem </w:t>
      </w:r>
      <w:proofErr w:type="gramStart"/>
      <w:r w:rsidR="00FB3F73">
        <w:t>FAZ Artikel</w:t>
      </w:r>
      <w:proofErr w:type="gramEnd"/>
      <w:r w:rsidR="00FB3F73">
        <w:t xml:space="preserve"> nicht erwähnt. Warum? Wahrscheinlich, weil dies den Eindruck des freien Unternehmertums stört. </w:t>
      </w:r>
    </w:p>
    <w:p w14:paraId="158B300D" w14:textId="77777777" w:rsidR="0049037F" w:rsidRDefault="0049037F" w:rsidP="00112190"/>
    <w:p w14:paraId="1C136E0D" w14:textId="1E91A1B5" w:rsidR="0049037F" w:rsidRDefault="0049037F" w:rsidP="00112190">
      <w:r>
        <w:t xml:space="preserve">Die Gießerei Lößnitz, </w:t>
      </w:r>
      <w:proofErr w:type="gramStart"/>
      <w:r>
        <w:t xml:space="preserve">einer </w:t>
      </w:r>
      <w:r w:rsidR="00C6339B">
        <w:t>kleine Gießerei</w:t>
      </w:r>
      <w:proofErr w:type="gramEnd"/>
      <w:r w:rsidR="00C6339B">
        <w:t xml:space="preserve"> kurz vor der Grenze zur Tschechei, bekommt keine Strompreiskompensation, da sie </w:t>
      </w:r>
      <w:r w:rsidR="00A85E25">
        <w:t xml:space="preserve">Eisen mit einem mit Kokskohle betriebenen </w:t>
      </w:r>
      <w:proofErr w:type="spellStart"/>
      <w:r w:rsidR="00A85E25">
        <w:t>Kupolaofen</w:t>
      </w:r>
      <w:proofErr w:type="spellEnd"/>
      <w:r w:rsidR="00A85E25">
        <w:t xml:space="preserve"> erhitzt</w:t>
      </w:r>
      <w:r w:rsidR="00C6339B">
        <w:t xml:space="preserve">. Sie </w:t>
      </w:r>
      <w:r w:rsidR="00C6339B">
        <w:lastRenderedPageBreak/>
        <w:t xml:space="preserve">ist </w:t>
      </w:r>
      <w:r w:rsidR="00A85E25">
        <w:t xml:space="preserve">als </w:t>
      </w:r>
      <w:r w:rsidR="00C6339B">
        <w:t>klimaneutral zertifiziert, da sie ein indisches Wasserkraftwerk unterstützt. Sie wirbt</w:t>
      </w:r>
      <w:r w:rsidR="007C0C8E">
        <w:t>, dies kann man nicht ganz nachvollziehen,</w:t>
      </w:r>
      <w:r w:rsidR="00C6339B">
        <w:t xml:space="preserve"> mit ihrer modernen Technologie.</w:t>
      </w:r>
      <w:r w:rsidR="00A85E25">
        <w:rPr>
          <w:rStyle w:val="Funotenzeichen"/>
        </w:rPr>
        <w:footnoteReference w:id="1100"/>
      </w:r>
      <w:r w:rsidR="00C6339B">
        <w:t xml:space="preserve"> Sie hat</w:t>
      </w:r>
      <w:r w:rsidR="00A85E25">
        <w:t>, siehe den FAZ-Artikel,</w:t>
      </w:r>
      <w:r w:rsidR="00C6339B">
        <w:t xml:space="preserve"> 85 Mitarbeiter und fertigt Gussformen. </w:t>
      </w:r>
      <w:r w:rsidR="00A85E25">
        <w:t>Es wurde bereits von der Bundesregierung angedacht 50 % der Investitionssumme zu übernehmen, die ein Elektro</w:t>
      </w:r>
      <w:r w:rsidR="00F90E9D">
        <w:t>-Lichtbogenofen</w:t>
      </w:r>
      <w:r w:rsidR="00A85E25">
        <w:t xml:space="preserve"> kostet, die</w:t>
      </w:r>
      <w:r w:rsidR="000679B9">
        <w:t>s</w:t>
      </w:r>
      <w:r w:rsidR="00A85E25">
        <w:t xml:space="preserve"> ist derzeit wegen der Haushaltsproblematik auf Eis gelegt. Die Klimaschutzverträge haben als Untergrenze 10.000 Tonnen eingespartes Kohlendioxid pro Jahr und 15 Millionen Euro Investitionen. Die Gießerei Lößnitz liegt bei 6000 Tonnen Kohlendioxid und 10 Mill. Euro Investitionen.</w:t>
      </w:r>
      <w:r w:rsidR="00A85E25">
        <w:rPr>
          <w:rStyle w:val="Funotenzeichen"/>
        </w:rPr>
        <w:footnoteReference w:id="1101"/>
      </w:r>
      <w:r w:rsidR="00A85E25">
        <w:t xml:space="preserve"> </w:t>
      </w:r>
      <w:r w:rsidR="00962B8E">
        <w:t>Mit etwas Pragmatismus oder einmal Auge zudrücken könnte man dies schaffen, oder?</w:t>
      </w:r>
    </w:p>
    <w:p w14:paraId="6996C722" w14:textId="77777777" w:rsidR="00112190" w:rsidRDefault="00112190" w:rsidP="00112190"/>
    <w:tbl>
      <w:tblPr>
        <w:tblStyle w:val="Tabellenraster"/>
        <w:tblW w:w="0" w:type="auto"/>
        <w:tblLook w:val="04A0" w:firstRow="1" w:lastRow="0" w:firstColumn="1" w:lastColumn="0" w:noHBand="0" w:noVBand="1"/>
      </w:tblPr>
      <w:tblGrid>
        <w:gridCol w:w="9062"/>
      </w:tblGrid>
      <w:tr w:rsidR="00112190" w14:paraId="17D3DC4D" w14:textId="77777777" w:rsidTr="006B301B">
        <w:tc>
          <w:tcPr>
            <w:tcW w:w="9062" w:type="dxa"/>
          </w:tcPr>
          <w:p w14:paraId="5862511F" w14:textId="77777777" w:rsidR="00112190" w:rsidRDefault="00112190" w:rsidP="006B301B">
            <w:r>
              <w:t>Klimaschutz und Bundeshaushalt. Eine zentrale Stelle nimmt damit für den Klimaschutz der Bundeshaushalt ein. Hier ist auffällig, dass die Schätzungen immer mal wieder divergieren, es gibt große Lücken, so der ein Gutachten des Fachbeirats für den Stabilitätsrat</w:t>
            </w:r>
            <w:r>
              <w:rPr>
                <w:rStyle w:val="Funotenzeichen"/>
              </w:rPr>
              <w:footnoteReference w:id="1102"/>
            </w:r>
            <w:r>
              <w:t xml:space="preserve"> von Bund und Ländern</w:t>
            </w:r>
            <w:r>
              <w:rPr>
                <w:rStyle w:val="Funotenzeichen"/>
              </w:rPr>
              <w:footnoteReference w:id="1103"/>
            </w:r>
            <w:r>
              <w:t>, die Haushaltslöcher sind groß</w:t>
            </w:r>
            <w:r>
              <w:rPr>
                <w:rStyle w:val="Funotenzeichen"/>
              </w:rPr>
              <w:footnoteReference w:id="1104"/>
            </w:r>
            <w:r>
              <w:t>, und nun doch wieder kleiner (statt 11 Mrd. weniger Steueraufkommen, nun nur 1,5 Mrd. Euro, da die Lücke bereits eingeplant war).</w:t>
            </w:r>
            <w:r>
              <w:rPr>
                <w:rStyle w:val="Funotenzeichen"/>
              </w:rPr>
              <w:footnoteReference w:id="1105"/>
            </w:r>
            <w:r>
              <w:t xml:space="preserve"> </w:t>
            </w:r>
          </w:p>
          <w:p w14:paraId="4ECEF012" w14:textId="77777777" w:rsidR="00112190" w:rsidRDefault="00112190" w:rsidP="006B301B"/>
          <w:p w14:paraId="68759DA6" w14:textId="1A7ED267" w:rsidR="007C0C8E" w:rsidRDefault="007C0C8E" w:rsidP="006B301B">
            <w:r>
              <w:t>Auch auf der Ebene der EU gibt es Schuldenregeln. Sie sind aktuell neu reformiert worden.</w:t>
            </w:r>
            <w:r>
              <w:rPr>
                <w:rStyle w:val="Funotenzeichen"/>
              </w:rPr>
              <w:footnoteReference w:id="1106"/>
            </w:r>
            <w:r>
              <w:t xml:space="preserve"> Im November 2024 werden von der Kommission Politikempfehlungen an Staaten mit hohen Defiziten vorgelegt, dies ist bei Italien (7,1 %) und Frankreich (5,5 %) Neuverschuldung 2023 in Prozent des Bruttosozialprodukts unausweichlich, ab 3 % ist der Richtwert.</w:t>
            </w:r>
            <w:r>
              <w:rPr>
                <w:rStyle w:val="Funotenzeichen"/>
              </w:rPr>
              <w:footnoteReference w:id="1107"/>
            </w:r>
          </w:p>
          <w:p w14:paraId="0F3C61C1" w14:textId="77777777" w:rsidR="007C0C8E" w:rsidRDefault="007C0C8E" w:rsidP="006B301B"/>
          <w:p w14:paraId="188B9203" w14:textId="0FA4CC34" w:rsidR="0069364A" w:rsidRDefault="00112190" w:rsidP="006B301B">
            <w:r>
              <w:t>Eine Möglichkeit Klimaschutzmaßnahmen zu finanzieren könnte durch Einnahmen entstehen, die durch den Emissionshandel entstehen, siehe dazu gleich das Thema EU, im Jahr 2023 sind die Einnahmen aus dem europäischen und nationalen Emissionshandel auf einen neuen Höchstwert von 18 Mrd. Euro gestiegen,</w:t>
            </w:r>
            <w:r w:rsidR="00260F52">
              <w:t xml:space="preserve"> die in den Klima- und Transformationsfond fließen,</w:t>
            </w:r>
            <w:r>
              <w:t xml:space="preserve"> meldet das Bundesumweltamt.</w:t>
            </w:r>
            <w:r>
              <w:rPr>
                <w:rStyle w:val="Funotenzeichen"/>
              </w:rPr>
              <w:footnoteReference w:id="1108"/>
            </w:r>
            <w:r w:rsidR="00260F52">
              <w:t xml:space="preserve"> Rudolf Scharping regt an, die Kreditanstalt für Wiederaufbau KfW zu nutzen, um hohe Ausgaben zu stemmen. Er stellt fest, dass Deutschland ein Vermögen von 1,8 Billionen Euro hat, u.a. auch durch staatliche Beteiligungen, etwa an der Deutschen Post AG und der Deutschen Telekom AG. Diese sollte der Bund keineswegs verkaufen, aber er könnte sie als Sicherheit nehmen, um der KfW Investitionen zu ermöglichen, etwa 600 Mrd. Dies war bereits einmal, 1993, in einer Einigung von Bund, Ländern und Bundestagsfraktion gelungen.</w:t>
            </w:r>
            <w:r w:rsidR="00260F52">
              <w:rPr>
                <w:rStyle w:val="Funotenzeichen"/>
              </w:rPr>
              <w:footnoteReference w:id="1109"/>
            </w:r>
            <w:r w:rsidR="00B1342C">
              <w:t xml:space="preserve"> </w:t>
            </w:r>
            <w:r w:rsidR="00B1342C">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24F7CDCB" w14:textId="77777777" w:rsidR="0069364A" w:rsidRDefault="0069364A" w:rsidP="006B301B"/>
          <w:p w14:paraId="50DD3C6B" w14:textId="7980E75B" w:rsidR="00234161" w:rsidRDefault="00AF43DB" w:rsidP="006B301B">
            <w:r>
              <w:t>D</w:t>
            </w:r>
            <w:r w:rsidR="00234161">
              <w:t xml:space="preserve">ie Hälfte der Einnahmen des nationalen Emissionshandel </w:t>
            </w:r>
            <w:r>
              <w:t xml:space="preserve">aus dem Bereich Luftfahrt des </w:t>
            </w:r>
            <w:r w:rsidR="00234161">
              <w:t xml:space="preserve">ETS 1 </w:t>
            </w:r>
            <w:r>
              <w:t>soll für den Aufbau von</w:t>
            </w:r>
            <w:r w:rsidR="00234161">
              <w:t xml:space="preserve"> SAF Frittenfett-Fabriken ausge</w:t>
            </w:r>
            <w:r>
              <w:t>b</w:t>
            </w:r>
            <w:r w:rsidR="00234161">
              <w:t>en</w:t>
            </w:r>
            <w:r>
              <w:t xml:space="preserve"> werden</w:t>
            </w:r>
            <w:r w:rsidR="00234161">
              <w:t>, dies wird im aktuellen CDU/SPD-Koalitionsvertrag festgehalten.</w:t>
            </w:r>
            <w:r w:rsidR="00234161">
              <w:rPr>
                <w:rStyle w:val="Funotenzeichen"/>
              </w:rPr>
              <w:footnoteReference w:id="1110"/>
            </w:r>
            <w:r w:rsidR="00234161">
              <w:t xml:space="preserve"> </w:t>
            </w:r>
            <w:bookmarkStart w:id="55" w:name="_Hlk198129225"/>
            <w:r>
              <w:t>Dazu habe ich mich in Teil 2 kritisch geäußert: Derzeit scheint für 2 % SAF genug da zu sein, es ist auch gerade so bezahlbar. Für 6 % 2030 müss</w:t>
            </w:r>
            <w:r w:rsidR="00D10AE7">
              <w:t>t</w:t>
            </w:r>
            <w:r>
              <w:t xml:space="preserve">en zusätzliche Fabriken gebaut werden, dafür ist aber 5 Jahre Zeit und deshalb könnte dies die Luftfahrtindustrie </w:t>
            </w:r>
            <w:r w:rsidR="00D10AE7">
              <w:t xml:space="preserve">(gemeinsam) </w:t>
            </w:r>
            <w:r>
              <w:t>finanziere</w:t>
            </w:r>
            <w:r w:rsidR="00D10AE7">
              <w:t>n</w:t>
            </w:r>
            <w:r>
              <w:t xml:space="preserve">. Da nicht genug biogene Rohstoffe da sind, kann </w:t>
            </w:r>
            <w:r w:rsidR="00D10AE7">
              <w:t xml:space="preserve">die </w:t>
            </w:r>
            <w:r>
              <w:t>SAF</w:t>
            </w:r>
            <w:r w:rsidR="00D10AE7">
              <w:t>-Produktion</w:t>
            </w:r>
            <w:r>
              <w:t xml:space="preserve"> </w:t>
            </w:r>
            <w:r>
              <w:lastRenderedPageBreak/>
              <w:t xml:space="preserve">sowieso nicht weiter gesteigert werden. Und wenn grünes Kerosin durch Fischer-Tropsch produziert werden soll, geht </w:t>
            </w:r>
            <w:r w:rsidR="00D10AE7">
              <w:t>dies</w:t>
            </w:r>
            <w:r>
              <w:t xml:space="preserve"> nicht mehr ohne eine Erhöhung der Flugpreise</w:t>
            </w:r>
            <w:r w:rsidR="00D10AE7">
              <w:t>, die den Umstieg auch finanziell trägt</w:t>
            </w:r>
            <w:r>
              <w:t xml:space="preserve">. Vielleicht kann die Politik noch den Aufbau der Anlagen finanzieren, um einen glatten Start zu ermöglichen, aber langfristig kann die Politik nicht die Preise von grünem Kerosin </w:t>
            </w:r>
            <w:proofErr w:type="spellStart"/>
            <w:r>
              <w:t>so weit</w:t>
            </w:r>
            <w:proofErr w:type="spellEnd"/>
            <w:r>
              <w:t xml:space="preserve"> heruntersubventionieren, dass sie den Passagieren Flugpreise wie zuvor garantiert</w:t>
            </w:r>
            <w:r w:rsidRPr="007C0C8E">
              <w:rPr>
                <w:u w:val="single"/>
              </w:rPr>
              <w:t>.</w:t>
            </w:r>
            <w:r w:rsidR="00D10AE7" w:rsidRPr="007C0C8E">
              <w:rPr>
                <w:u w:val="single"/>
              </w:rPr>
              <w:t xml:space="preserve"> </w:t>
            </w:r>
            <w:r w:rsidR="007C0C8E" w:rsidRPr="007C0C8E">
              <w:rPr>
                <w:u w:val="single"/>
              </w:rPr>
              <w:t>Auch hier muss ein Sprung auf ein neues Preisniveau erfolgen. Ist das neue Preisniveau bekannt, werden viele Konsumenten ihr Budget daraufhin planen können</w:t>
            </w:r>
            <w:r w:rsidR="007C0C8E">
              <w:rPr>
                <w:u w:val="single"/>
              </w:rPr>
              <w:t xml:space="preserve">. Den Preis für ein grünes Fischer-Tropsch-Flugticket rechne ich hier nicht aus, das wäre unseriös. </w:t>
            </w:r>
            <w:r w:rsidR="00D10AE7">
              <w:t>Aus meiner Sicht wäre es hier sinnvoll, das Geld lieber z.B. in ein Klimageld für ärmere Haushalte zu investieren.</w:t>
            </w:r>
            <w:r>
              <w:t xml:space="preserve"> </w:t>
            </w:r>
          </w:p>
          <w:p w14:paraId="249A6219" w14:textId="77777777" w:rsidR="00234161" w:rsidRDefault="00234161" w:rsidP="006B301B"/>
          <w:bookmarkEnd w:id="55"/>
          <w:p w14:paraId="08E6C302" w14:textId="333293C2" w:rsidR="00112190" w:rsidRDefault="00915BCB" w:rsidP="006B301B">
            <w:r>
              <w:t>Der Bundesverband der deutschen Industrie (BDI) ist jedenfalls der Meinung, dass dringend in Infrastruktur und Klimaschutz investiert werden muss, genannt wird die Zahl von 400 Mrd. in den nächsten zehn Jahren. Im Haushalt für 2025 könnten z.B. erneut Sondervermögen</w:t>
            </w:r>
            <w:r w:rsidR="00DD073E">
              <w:t xml:space="preserve"> eingerichtet werden, wenn sie inhaltlich und zeitlich besser definiert würden. Der BDI schätzt Ausgaben für Klima auf 41 Mrd., 158 Mrd. für Verkehrswege, 101 Mrd. für das Bildungssystem, 56 Mrd. gegen den Wohnungsmangel und 20 bis 40 Mrd. für Resilienz.</w:t>
            </w:r>
            <w:r w:rsidR="00DD073E">
              <w:rPr>
                <w:rStyle w:val="Funotenzeichen"/>
              </w:rPr>
              <w:footnoteReference w:id="1111"/>
            </w:r>
            <w:r w:rsidR="00DD073E">
              <w:t xml:space="preserve"> </w:t>
            </w:r>
            <w:r w:rsidR="004C1AB0">
              <w:t>Andere Stimmen aus der Wirtschaft sehen die Energiewende kritischer, die DIHK hat 3300 Unternehmen befragt, die sich kritisch äußern und eine Deindustrialisierung befürchten, gefordert werden niedrige Strompreise, die Versorgung mit Wasserstoff sei unsicher und die Reservekraftwerke für die Stromerzeugung würden den Strompreis wieder erhöhen, siehe dazu diesen FAZ-Artikel.</w:t>
            </w:r>
            <w:r w:rsidR="004C1AB0">
              <w:rPr>
                <w:rStyle w:val="Funotenzeichen"/>
              </w:rPr>
              <w:footnoteReference w:id="1112"/>
            </w:r>
            <w:r w:rsidR="004C1AB0">
              <w:t xml:space="preserve"> </w:t>
            </w:r>
          </w:p>
        </w:tc>
      </w:tr>
    </w:tbl>
    <w:p w14:paraId="35B72EC5" w14:textId="77777777" w:rsidR="00112190" w:rsidRDefault="00112190" w:rsidP="00112190"/>
    <w:tbl>
      <w:tblPr>
        <w:tblStyle w:val="Tabellenraster"/>
        <w:tblW w:w="0" w:type="auto"/>
        <w:tblLook w:val="04A0" w:firstRow="1" w:lastRow="0" w:firstColumn="1" w:lastColumn="0" w:noHBand="0" w:noVBand="1"/>
      </w:tblPr>
      <w:tblGrid>
        <w:gridCol w:w="9062"/>
      </w:tblGrid>
      <w:tr w:rsidR="000A3F7F" w14:paraId="47384675" w14:textId="77777777" w:rsidTr="000A3F7F">
        <w:tc>
          <w:tcPr>
            <w:tcW w:w="9062" w:type="dxa"/>
          </w:tcPr>
          <w:p w14:paraId="6D393878" w14:textId="724DF020" w:rsidR="000A3F7F" w:rsidRDefault="000A3F7F" w:rsidP="00112190">
            <w:r>
              <w:t xml:space="preserve">Kommunen und Belastungen durch zusätzliche Umweltschutzgesetzgebung und EU-Verordnungen. </w:t>
            </w:r>
            <w:r w:rsidRPr="000A3F7F">
              <w:t>Kritisiert wird</w:t>
            </w:r>
            <w:r w:rsidR="00A60786">
              <w:t xml:space="preserve"> in einem </w:t>
            </w:r>
            <w:proofErr w:type="gramStart"/>
            <w:r w:rsidR="00A60786">
              <w:t>FAZ Artikel</w:t>
            </w:r>
            <w:proofErr w:type="gramEnd"/>
            <w:r w:rsidR="00A60786">
              <w:t xml:space="preserve"> von Prof. Wolfgang Durner, Uni Bonn</w:t>
            </w:r>
            <w:r w:rsidRPr="000A3F7F">
              <w:t xml:space="preserve">, dass einige neue EU-Vorgaben, auch aus dem Umweltschutz, direkt an die </w:t>
            </w:r>
            <w:r>
              <w:t xml:space="preserve">Bundesländer </w:t>
            </w:r>
            <w:r w:rsidRPr="000A3F7F">
              <w:t>weitergereicht werden</w:t>
            </w:r>
            <w:r>
              <w:t>, die diese teils an die Kommunen weitergeben. Hier seien ca. 20 Rechtsakte seit 2000 in Kraft getreten, zum Gewässerzustand, Feinstaub, Stickoxiden, weniger Lärm und z.B. das EU-</w:t>
            </w:r>
            <w:proofErr w:type="spellStart"/>
            <w:r>
              <w:t>Renaturierungsgesetz</w:t>
            </w:r>
            <w:proofErr w:type="spellEnd"/>
            <w:r>
              <w:t xml:space="preserve">, </w:t>
            </w:r>
            <w:r w:rsidR="001A322A">
              <w:t>welches besagt, dass</w:t>
            </w:r>
            <w:r>
              <w:t xml:space="preserve"> zerstörte Natur wieder in einen guten ökologischen Zustand versetzt werden soll</w:t>
            </w:r>
            <w:r w:rsidRPr="000A3F7F">
              <w:t xml:space="preserve">. Dies wird </w:t>
            </w:r>
            <w:r w:rsidR="00A60786">
              <w:t xml:space="preserve">in diesem Artikel </w:t>
            </w:r>
            <w:r w:rsidRPr="000A3F7F">
              <w:t>als ‚Maßnahmenplanung‘ bezeichnet. Die Mitgli</w:t>
            </w:r>
            <w:r>
              <w:t>e</w:t>
            </w:r>
            <w:r w:rsidRPr="000A3F7F">
              <w:t xml:space="preserve">dstaaten müssen </w:t>
            </w:r>
            <w:r>
              <w:t xml:space="preserve">dabei </w:t>
            </w:r>
            <w:r w:rsidRPr="000A3F7F">
              <w:t>die bestehende Umweltsituation analysieren, Schritte zur Erreichung der</w:t>
            </w:r>
            <w:r>
              <w:t xml:space="preserve"> von der</w:t>
            </w:r>
            <w:r w:rsidRPr="000A3F7F">
              <w:t xml:space="preserve"> EU</w:t>
            </w:r>
            <w:r>
              <w:t xml:space="preserve"> vorgegebenen </w:t>
            </w:r>
            <w:r w:rsidRPr="000A3F7F">
              <w:t>Ziel</w:t>
            </w:r>
            <w:r>
              <w:t xml:space="preserve">e </w:t>
            </w:r>
            <w:r w:rsidRPr="000A3F7F">
              <w:t xml:space="preserve">aufzeigen, einen rechtsverbindlichen Aktionsplan </w:t>
            </w:r>
            <w:r>
              <w:t>vorlegen</w:t>
            </w:r>
            <w:r w:rsidRPr="000A3F7F">
              <w:t xml:space="preserve"> und schließlich den Plan</w:t>
            </w:r>
            <w:r>
              <w:t xml:space="preserve"> konkret durchführen</w:t>
            </w:r>
            <w:r w:rsidRPr="000A3F7F">
              <w:t xml:space="preserve">. Wenn dies </w:t>
            </w:r>
            <w:r>
              <w:t>keinen</w:t>
            </w:r>
            <w:r w:rsidRPr="000A3F7F">
              <w:t xml:space="preserve"> Erfolg hat, können Umweltverbände klagen. </w:t>
            </w:r>
            <w:r>
              <w:t xml:space="preserve">Dies </w:t>
            </w:r>
            <w:r w:rsidR="00A60786">
              <w:t>sei</w:t>
            </w:r>
            <w:r>
              <w:t xml:space="preserve"> nun auch im </w:t>
            </w:r>
            <w:r w:rsidR="00B90308">
              <w:t xml:space="preserve">neuen </w:t>
            </w:r>
            <w:r>
              <w:t>Bundes-Klimaanpassungsgesetz so erfolgt, das Planungspflichten der Bundesregierung, den Ländern und den Kommunen auferlegt. Die Klimagegebenheiten sollen erfasst werden, Klimaanpassungskonzepte erarbeitet und geplant werden, wie sich die Kommune unter den Bedingungen des Klimawandels weiterentwickeln kann. Das Ziel der Klimaanpassung muss fortan bei allen Planungen und Entscheidungen berücksichtigt werden. D</w:t>
            </w:r>
            <w:r w:rsidR="00B90308">
              <w:t>ie Kommune hat z.B. dann auch die Entscheidungsbefugnis, bei Feinstaubbelastung Maßnahmen zu verhängen, wie Dieselfahrverbote. Argumentiert wird in diesem Artikel, dass solche Maßnahmen besser im Bundestag aufgehoben sind, da dieser über eine bessere Legitimation verfügt.</w:t>
            </w:r>
            <w:r>
              <w:rPr>
                <w:rStyle w:val="Funotenzeichen"/>
              </w:rPr>
              <w:footnoteReference w:id="1113"/>
            </w:r>
            <w:r>
              <w:t xml:space="preserve"> </w:t>
            </w:r>
            <w:r w:rsidR="00A60786">
              <w:t>Siehe Prof. Wolfgang Durners Webseite an der Uni Bonn.</w:t>
            </w:r>
            <w:r w:rsidR="00A60786">
              <w:rPr>
                <w:rStyle w:val="Funotenzeichen"/>
              </w:rPr>
              <w:footnoteReference w:id="1114"/>
            </w:r>
            <w:r w:rsidR="00A60786">
              <w:t xml:space="preserve"> </w:t>
            </w:r>
            <w:r w:rsidR="00EE1F56">
              <w:t xml:space="preserve">Im Klimaanpassungsgesetz werden die Länder ermächtigt zu entscheiden, auf welcher Ebene der Gebietskörperschaften solche Klimaanpassungskonzept erstelle werden müssen, es reicht die </w:t>
            </w:r>
            <w:r w:rsidR="00EE1F56">
              <w:lastRenderedPageBreak/>
              <w:t>Ebene von Kreisen aus, Gemeinden müssen dadurch nicht belastet werden, siehe mein Verständnis von § 12. Siehe den Link zum Klimaanpassungsgesetz.</w:t>
            </w:r>
            <w:r w:rsidR="00EE1F56">
              <w:rPr>
                <w:rStyle w:val="Funotenzeichen"/>
              </w:rPr>
              <w:footnoteReference w:id="1115"/>
            </w:r>
          </w:p>
        </w:tc>
      </w:tr>
    </w:tbl>
    <w:p w14:paraId="0BA67138" w14:textId="77777777" w:rsidR="00D823A7" w:rsidRDefault="00D823A7" w:rsidP="00112190"/>
    <w:p w14:paraId="1F4C0F67" w14:textId="561871D9" w:rsidR="00D10AE7" w:rsidRDefault="00112190" w:rsidP="00D10AE7">
      <w:r>
        <w:t>Klimaklub</w:t>
      </w:r>
      <w:r w:rsidR="00D823A7">
        <w:t xml:space="preserve">. </w:t>
      </w:r>
      <w:r>
        <w:t>U.a. von Hans-Werner Sinn wurde die Bildung eines Klimaklubs vorgeschlagen, um auf weltweiter Ebene schneller voranzukommen. Innerhalb dieses Länderbundes könnte man schneller Regeln für äquivalente Anstrengungen finden und damit würde der Handel nicht beeinträchtig werden. Auch könnte Druck auf Länder außerhalb des Clubs ausgeübt werden, sich dem Club anzuschließen. Zwischen diesen Ländern müsste es einen Emissionshandel geben. Dies hat im Herbst 2023 eine Debatte ausgelöst.</w:t>
      </w:r>
      <w:r>
        <w:rPr>
          <w:rStyle w:val="Funotenzeichen"/>
        </w:rPr>
        <w:footnoteReference w:id="1116"/>
      </w:r>
      <w:r>
        <w:t xml:space="preserve"> Dies könnte auch im Rahmen einer engeren transatlantischen Zusammenarbeit beginnen, die aber aktuell wieder gescheitert ist, da Europa nicht bereit war pauschal 25 % </w:t>
      </w:r>
      <w:r w:rsidR="00D10AE7">
        <w:t xml:space="preserve">Zölle </w:t>
      </w:r>
      <w:r>
        <w:t>auf chinesischen Stahl einzuführen, weil die EU weiterhin WTO-kompatibel vorgehen wollte.</w:t>
      </w:r>
      <w:r>
        <w:rPr>
          <w:rStyle w:val="Funotenzeichen"/>
        </w:rPr>
        <w:footnoteReference w:id="1117"/>
      </w:r>
      <w:r>
        <w:t xml:space="preserve"> Innerhalb eines Klimaklubs wären z.B. </w:t>
      </w:r>
      <w:proofErr w:type="gramStart"/>
      <w:r>
        <w:t>CBAM Grenzausgleichsgebühren</w:t>
      </w:r>
      <w:proofErr w:type="gramEnd"/>
      <w:r>
        <w:t xml:space="preserve"> nicht nötig, weil alle Länder auf ähnlichem Niveau Anstrengungen unternehmen.</w:t>
      </w:r>
      <w:r w:rsidR="00D10AE7">
        <w:t xml:space="preserve"> Ein Klimaclub wurde nun gegründet, am 28. Juni 2022 auf Schloss Elmau, im Rahmen der deutschen G7 Präsidentschaft</w:t>
      </w:r>
      <w:r w:rsidR="00777EC0">
        <w:t xml:space="preserve"> und er wurde auf der COP28 in Dubai offiziell vorgestellt</w:t>
      </w:r>
      <w:r w:rsidR="00D10AE7">
        <w:t>. Der Klimaklub hießt auf Englisch Climate Club, er hat 46 Mitglieder und hat eine aufwendige Webseite, siehe hier.</w:t>
      </w:r>
      <w:r w:rsidR="00D10AE7">
        <w:rPr>
          <w:rStyle w:val="Funotenzeichen"/>
        </w:rPr>
        <w:footnoteReference w:id="1118"/>
      </w:r>
    </w:p>
    <w:p w14:paraId="69C5EE09" w14:textId="77777777" w:rsidR="00D10AE7" w:rsidRDefault="00D10AE7" w:rsidP="00112190"/>
    <w:p w14:paraId="2F2CC079" w14:textId="02D4866D" w:rsidR="00112190" w:rsidRDefault="00112190" w:rsidP="00112190">
      <w:r>
        <w:t>Grenzausgleichsabgaben</w:t>
      </w:r>
      <w:r w:rsidR="00D823A7">
        <w:t xml:space="preserve">. </w:t>
      </w:r>
      <w:r>
        <w:t xml:space="preserve">Um international faire Belastungen zu haben und die heimische Industrie, die durch Abgaben auf Brennstoff belastet wird, nicht günstigeren Produkten aus dem Ausland auszusetzen, deren Produzenten nicht mit Klimaabgaben belastet wurden, können Klimazölle eingeführt werden. Carbon Leakage, also das Abwandern von emissionsintensiven Industrien in Entwicklungsländer, könnte durch Klimazölle verhindert werden. Eine Abwanderung </w:t>
      </w:r>
      <w:r w:rsidR="00777EC0">
        <w:t xml:space="preserve">schmutziger Industrie in andere Länder </w:t>
      </w:r>
      <w:r>
        <w:t>hat teils aber schon vor Jahrzehnten stattgefunden</w:t>
      </w:r>
      <w:r w:rsidR="00777EC0">
        <w:t>. Beispiel:</w:t>
      </w:r>
      <w:r>
        <w:t xml:space="preserve"> schon 1976 </w:t>
      </w:r>
      <w:r w:rsidR="00777EC0">
        <w:t>wurde von</w:t>
      </w:r>
      <w:r>
        <w:t xml:space="preserve"> Japans Nippon </w:t>
      </w:r>
      <w:proofErr w:type="spellStart"/>
      <w:r>
        <w:t>Asahan</w:t>
      </w:r>
      <w:proofErr w:type="spellEnd"/>
      <w:r>
        <w:t xml:space="preserve"> in Indonesien das Aluminiumwerk </w:t>
      </w:r>
      <w:proofErr w:type="spellStart"/>
      <w:r>
        <w:t>Inalum</w:t>
      </w:r>
      <w:proofErr w:type="spellEnd"/>
      <w:r>
        <w:t xml:space="preserve"> gebaut, das </w:t>
      </w:r>
      <w:r w:rsidR="00777EC0">
        <w:t>allerdings nun</w:t>
      </w:r>
      <w:r>
        <w:t xml:space="preserve"> ganz </w:t>
      </w:r>
      <w:proofErr w:type="gramStart"/>
      <w:r>
        <w:t>dem indonesischem Staat</w:t>
      </w:r>
      <w:proofErr w:type="gramEnd"/>
      <w:r>
        <w:t xml:space="preserve"> gehört.</w:t>
      </w:r>
      <w:r>
        <w:rPr>
          <w:rStyle w:val="Funotenzeichen"/>
        </w:rPr>
        <w:footnoteReference w:id="1119"/>
      </w:r>
      <w:r>
        <w:t xml:space="preserve"> </w:t>
      </w:r>
    </w:p>
    <w:p w14:paraId="62E0C10A" w14:textId="77777777" w:rsidR="00112190" w:rsidRDefault="00112190" w:rsidP="00112190"/>
    <w:p w14:paraId="635A89BA" w14:textId="77777777" w:rsidR="00112190" w:rsidRDefault="00112190" w:rsidP="00112190">
      <w:r>
        <w:t>Problem ist, dass man sich mit den USA nicht auf bestimmte Instrumente der Klimapolitik einigen konnte: Die EU und Deutschland favorisieren CO2-Preise und Emissionsrechtehandel; in den USA wird derzeit auf positive Anreize durch Steuervorteile gesetzt. Es könnte dennoch versucht werden, hier sog. Äquivalenzregime zu definieren, um eine Vergleichbarkeit von unterschiedliche Klimaschutzprogrammen festzustellen.</w:t>
      </w:r>
      <w:r>
        <w:rPr>
          <w:rStyle w:val="Funotenzeichen"/>
        </w:rPr>
        <w:footnoteReference w:id="1120"/>
      </w:r>
    </w:p>
    <w:p w14:paraId="23629065" w14:textId="77777777" w:rsidR="00112190" w:rsidRDefault="00112190" w:rsidP="00112190"/>
    <w:p w14:paraId="174A34C8" w14:textId="61507D5B" w:rsidR="00112190" w:rsidRDefault="00962B8E" w:rsidP="00112190">
      <w:r>
        <w:t xml:space="preserve">Am 18. April 2023 ist </w:t>
      </w:r>
      <w:r w:rsidR="00112190">
        <w:t>beschlossen worden</w:t>
      </w:r>
      <w:r w:rsidR="005D5DF3">
        <w:rPr>
          <w:rStyle w:val="Funotenzeichen"/>
        </w:rPr>
        <w:footnoteReference w:id="1121"/>
      </w:r>
      <w:r>
        <w:t>, dass die EU</w:t>
      </w:r>
      <w:r w:rsidR="00112190">
        <w:t xml:space="preserve"> ein CO2-Grenzausgleichssystem (Carbon Border Adjustment </w:t>
      </w:r>
      <w:proofErr w:type="spellStart"/>
      <w:r w:rsidR="00112190">
        <w:t>Mechanism</w:t>
      </w:r>
      <w:proofErr w:type="spellEnd"/>
      <w:r w:rsidR="00112190">
        <w:t xml:space="preserve">, CBAM), </w:t>
      </w:r>
      <w:r w:rsidR="005D5DF3">
        <w:t xml:space="preserve">noch nicht vollständig, ab </w:t>
      </w:r>
      <w:r w:rsidR="00112190">
        <w:t>2026</w:t>
      </w:r>
      <w:r w:rsidR="005D5DF3">
        <w:t>,</w:t>
      </w:r>
      <w:r w:rsidR="00112190">
        <w:t xml:space="preserve"> und bis 2034 vollständig </w:t>
      </w:r>
      <w:r w:rsidR="00112190">
        <w:lastRenderedPageBreak/>
        <w:t>einführt.</w:t>
      </w:r>
      <w:r w:rsidR="00112190">
        <w:rPr>
          <w:rStyle w:val="Funotenzeichen"/>
        </w:rPr>
        <w:footnoteReference w:id="1122"/>
      </w:r>
      <w:r w:rsidR="00112190">
        <w:t xml:space="preserve"> Diese Verordnung befindet sich offenbar derzeit in der Gesetzgebung. </w:t>
      </w:r>
      <w:r>
        <w:t>Das CBAM kann umgangen werden, siehe den Punkt EU. Da China derzeit sehr schnell seine erneuerbaren Energien ausbaut und gleichzeitig Kohlekraftwerke baut, tut sich ein Paradox auf. China könnte grünen Stahl nach Europa exportieren, bei gleichzeitig steigenden Treibhausgasemissionen.</w:t>
      </w:r>
      <w:r>
        <w:rPr>
          <w:rStyle w:val="Funotenzeichen"/>
        </w:rPr>
        <w:footnoteReference w:id="1123"/>
      </w:r>
    </w:p>
    <w:p w14:paraId="6327D591" w14:textId="77777777" w:rsidR="00112190" w:rsidRDefault="00112190" w:rsidP="00112190"/>
    <w:p w14:paraId="0A391091" w14:textId="34D44715" w:rsidR="00112190" w:rsidRDefault="005D5DF3" w:rsidP="00112190">
      <w:r>
        <w:t>5.</w:t>
      </w:r>
      <w:r w:rsidR="00112190">
        <w:t xml:space="preserve"> </w:t>
      </w:r>
      <w:proofErr w:type="gramStart"/>
      <w:r w:rsidR="00112190">
        <w:t>EU</w:t>
      </w:r>
      <w:r w:rsidR="00D20DDC">
        <w:t xml:space="preserve"> Regulierung</w:t>
      </w:r>
      <w:proofErr w:type="gramEnd"/>
    </w:p>
    <w:p w14:paraId="4A3D4BF0" w14:textId="77777777" w:rsidR="00112190" w:rsidRDefault="00112190" w:rsidP="00112190"/>
    <w:p w14:paraId="708F2B44" w14:textId="547EF7F9" w:rsidR="00CC3C46" w:rsidRDefault="00112190" w:rsidP="00112190">
      <w:pPr>
        <w:spacing w:line="240" w:lineRule="auto"/>
      </w:pPr>
      <w:r>
        <w:t xml:space="preserve">Die EU ist anders als Deutschland. In Deutschland ist ein Gesetz ein Gesetz. Es ist, der Tendenz nach, verbindlich und mit Sanktionen verbunden. In der EU sind manche ‚Gesetze‘ verbindlich, andere sind weniger verbindlich und zählen auf die Zusammenarbeit zwischen Europäischer Kommission und der Mitgliedstaaten und auf immer wieder erfolgende politische Einigungen und Neuorientierungen. Dies gilt </w:t>
      </w:r>
      <w:r w:rsidR="00CC3C46">
        <w:t>besonders f</w:t>
      </w:r>
      <w:r>
        <w:t xml:space="preserve">ür </w:t>
      </w:r>
      <w:r w:rsidR="00CC3C46">
        <w:t>Teile der</w:t>
      </w:r>
      <w:r>
        <w:t xml:space="preserve"> Klimaschutzanstrengungen der EU, den Green Deal.</w:t>
      </w:r>
      <w:r w:rsidR="0089150D">
        <w:t xml:space="preserve"> </w:t>
      </w:r>
      <w:r w:rsidR="00CC3C46">
        <w:t xml:space="preserve">Verbindlicher ist das Emissionshandelssystem ETS, aber auch dieses kann durch die Politik neu justiert und reformiert werden. </w:t>
      </w:r>
      <w:r w:rsidR="000D65E9">
        <w:t>Maßnahmen im Bereich der Umwelt- und Klimapolitik werden im Rat der Europäischen Union immer einstimmig gefasst, können also von einem einzelnen Staat in Frage gestellt werden.</w:t>
      </w:r>
    </w:p>
    <w:p w14:paraId="09D00108" w14:textId="77777777" w:rsidR="00CC3C46" w:rsidRDefault="00CC3C46" w:rsidP="00112190">
      <w:pPr>
        <w:spacing w:line="240" w:lineRule="auto"/>
      </w:pPr>
    </w:p>
    <w:p w14:paraId="76C9F806" w14:textId="46CC9342" w:rsidR="00CC3C46" w:rsidRDefault="00CC3C46" w:rsidP="00112190">
      <w:pPr>
        <w:spacing w:line="240" w:lineRule="auto"/>
      </w:pPr>
      <w:r>
        <w:t>Kurz zur EU</w:t>
      </w:r>
      <w:r w:rsidR="00BC6275">
        <w:t>-Kritik: „kritischer Zustand“</w:t>
      </w:r>
      <w:r w:rsidR="00C81315">
        <w:t>,</w:t>
      </w:r>
      <w:r w:rsidR="00BC6275">
        <w:t xml:space="preserve"> „Mangel an rechtsstattlichem Denken und Handels der </w:t>
      </w:r>
      <w:proofErr w:type="gramStart"/>
      <w:r w:rsidR="00BC6275">
        <w:t>EU Kommission</w:t>
      </w:r>
      <w:proofErr w:type="gramEnd"/>
      <w:r w:rsidR="00BC6275">
        <w:t>“, „Machtinstinkt der Brüsseler und Straßburger Institutionen, der offenbar immer noch keine Grenzen kennt“, „etliche politische Untiefen“</w:t>
      </w:r>
      <w:r w:rsidR="00FC52D8">
        <w:t>, „Es ist wirklich an der Zeit, dass die Politik rechtzeitig aufwacht und entgegensteuert. Immer mehr Menschen verlieren ihr Vertrauen.“</w:t>
      </w:r>
      <w:r w:rsidR="00BC6275">
        <w:t xml:space="preserve"> … der Weg von rechtsstaatlichen sauberen Vertragsänderungen sei verbaut … und natürlich </w:t>
      </w:r>
      <w:r w:rsidR="00FC52D8">
        <w:t xml:space="preserve">wird </w:t>
      </w:r>
      <w:r w:rsidR="00BC6275">
        <w:t>gegen</w:t>
      </w:r>
      <w:r w:rsidR="00FC52D8">
        <w:t xml:space="preserve"> die</w:t>
      </w:r>
      <w:r w:rsidR="00BC6275">
        <w:t xml:space="preserve"> Aufnahme von Schulden</w:t>
      </w:r>
      <w:r w:rsidR="00FC52D8">
        <w:t xml:space="preserve"> argumentiert</w:t>
      </w:r>
      <w:r w:rsidR="00BC6275">
        <w:t>.</w:t>
      </w:r>
      <w:r w:rsidR="00BC6275">
        <w:rPr>
          <w:rStyle w:val="Funotenzeichen"/>
        </w:rPr>
        <w:footnoteReference w:id="1124"/>
      </w:r>
      <w:r w:rsidR="00BC6275">
        <w:t xml:space="preserve"> </w:t>
      </w:r>
    </w:p>
    <w:p w14:paraId="669ED6DE" w14:textId="77777777" w:rsidR="00CC3C46" w:rsidRDefault="00CC3C46" w:rsidP="00112190">
      <w:pPr>
        <w:spacing w:line="240" w:lineRule="auto"/>
      </w:pPr>
    </w:p>
    <w:p w14:paraId="024EC2E4" w14:textId="69FD49B9" w:rsidR="0089150D" w:rsidRDefault="0089150D" w:rsidP="00112190">
      <w:pPr>
        <w:spacing w:line="240" w:lineRule="auto"/>
      </w:pPr>
      <w:r>
        <w:t xml:space="preserve">Was soll man dazu sagen? Die EU ist da. Man kann sie mit Sicherheit nicht völlig neu ausrichten. </w:t>
      </w:r>
      <w:r w:rsidR="000D65E9">
        <w:t>Die einzelnen demokratisch legitimierten Staaten können viele</w:t>
      </w:r>
      <w:r w:rsidR="00C81315">
        <w:t>s</w:t>
      </w:r>
      <w:r w:rsidR="000D65E9">
        <w:t xml:space="preserve">, was in der EU passiert beeinflussen und sogar ganz stoppen. </w:t>
      </w:r>
      <w:r w:rsidR="00357068">
        <w:t>Schon d</w:t>
      </w:r>
      <w:r w:rsidR="000D65E9">
        <w:t xml:space="preserve">adurch ist die </w:t>
      </w:r>
      <w:proofErr w:type="gramStart"/>
      <w:r w:rsidR="000D65E9">
        <w:t>EU Politik</w:t>
      </w:r>
      <w:proofErr w:type="gramEnd"/>
      <w:r w:rsidR="000D65E9">
        <w:t xml:space="preserve"> </w:t>
      </w:r>
      <w:r w:rsidR="00357068">
        <w:t xml:space="preserve">demokratisch </w:t>
      </w:r>
      <w:r w:rsidR="000D65E9">
        <w:t xml:space="preserve">rechtfertigbar. Dazu kommt das EU-Parlament, das einen weiteren Legitimierungsschub gibt. </w:t>
      </w:r>
      <w:r w:rsidR="00E83A75">
        <w:t>Es stellt sich dennoch die</w:t>
      </w:r>
      <w:r w:rsidR="00C81315">
        <w:t xml:space="preserve"> Frage: </w:t>
      </w:r>
      <w:r>
        <w:t>Was läuft so schlecht, dass immer mehr Menschen das Vertrauen verlieren?</w:t>
      </w:r>
    </w:p>
    <w:p w14:paraId="7865AC22" w14:textId="77777777" w:rsidR="0089150D" w:rsidRDefault="0089150D" w:rsidP="00112190">
      <w:pPr>
        <w:spacing w:line="240" w:lineRule="auto"/>
      </w:pPr>
    </w:p>
    <w:p w14:paraId="4843996B" w14:textId="3FF5D814" w:rsidR="00FC52D8" w:rsidRDefault="00BC6275" w:rsidP="00112190">
      <w:pPr>
        <w:spacing w:line="240" w:lineRule="auto"/>
      </w:pPr>
      <w:r w:rsidRPr="0049273B">
        <w:rPr>
          <w:u w:val="single"/>
        </w:rPr>
        <w:t>Die</w:t>
      </w:r>
      <w:r>
        <w:t xml:space="preserve"> EU </w:t>
      </w:r>
      <w:r w:rsidR="00FC52D8">
        <w:t xml:space="preserve">gibt es nicht </w:t>
      </w:r>
      <w:r>
        <w:t xml:space="preserve">… </w:t>
      </w:r>
      <w:r w:rsidRPr="00357068">
        <w:rPr>
          <w:u w:val="single"/>
        </w:rPr>
        <w:t xml:space="preserve">die unterschiedlichen Politikbereiche der EU haben eine ganz unterschiedliche Geschichte und enthalten die Kompromisse </w:t>
      </w:r>
      <w:r w:rsidR="001D6B67" w:rsidRPr="00357068">
        <w:rPr>
          <w:u w:val="single"/>
        </w:rPr>
        <w:t>von Jahrzehnten und die Aktivitäten von vielen Personen</w:t>
      </w:r>
      <w:r w:rsidR="001D6B67">
        <w:t xml:space="preserve">. Dazu reicht der Hinweis auf die Agrarpolitik und die Fischereipolitik. </w:t>
      </w:r>
      <w:r w:rsidR="0089150D">
        <w:t xml:space="preserve">Für den Bereich Agrarpolitik und Fischereipolitik müsste man die EU neu erfinden, diese Bereiche sind ohne eine staatenübergreifende Kooperation gar nicht denkbar. Dies liegt auch daran, weil in diesen Bereichen ein freier Markt nicht sinnvoll wäre. </w:t>
      </w:r>
      <w:r w:rsidR="00E83A75">
        <w:t>Auch die</w:t>
      </w:r>
      <w:r w:rsidR="001D6B67">
        <w:t xml:space="preserve"> </w:t>
      </w:r>
      <w:r w:rsidR="00D820D0">
        <w:t xml:space="preserve">gemeinsame </w:t>
      </w:r>
      <w:r w:rsidR="001D6B67">
        <w:t xml:space="preserve">Außenhandelspolitik ist ohne Zweifel sinnvoll und kann kaum wirklich kritisiert werden. Die Wettbewerbspolitik </w:t>
      </w:r>
      <w:r w:rsidR="0089150D">
        <w:t>hat</w:t>
      </w:r>
      <w:r w:rsidR="001D6B67">
        <w:t xml:space="preserve"> es geschafft, sich nicht, wie in den USA, an wechselnden politischen Orientierungen auszurichten. Auch die daran angelehnte Beihilfekontrolle hat funktioniert. Dass dies teils kompliziert </w:t>
      </w:r>
      <w:r w:rsidR="00E83A75">
        <w:t>erscheint</w:t>
      </w:r>
      <w:r w:rsidR="001D6B67">
        <w:t>, ist eher ein Problem der Vermittlung von deren Aktivitäten in der Öffentlichkeit, als der Qualität dieser Institutionen. Nimmt man noch ein Beispiel:</w:t>
      </w:r>
      <w:r w:rsidR="00FC52D8">
        <w:t xml:space="preserve"> Die Dienstleistungsrichtlinie. Diese wurde erst von der Kommission extrem liberal ausgerichtet geplant und umgesetzt, und dann über mehrere Jahre, durch eine breite Koalition von Staatenvertretern, Parteien</w:t>
      </w:r>
      <w:r w:rsidR="00E83A75">
        <w:t xml:space="preserve"> und</w:t>
      </w:r>
      <w:r w:rsidR="00FC52D8">
        <w:t xml:space="preserve"> Gewerkschaften vieler Länder so reformiert, dass sie nun funktioniert. </w:t>
      </w:r>
      <w:r w:rsidR="0089150D">
        <w:t xml:space="preserve">Allein die Dienstleistungsrichtlinie </w:t>
      </w:r>
      <w:r w:rsidR="00FC52D8">
        <w:t xml:space="preserve">enthält die Lebensleistung </w:t>
      </w:r>
      <w:r w:rsidR="0089150D">
        <w:t>vieler</w:t>
      </w:r>
      <w:r w:rsidR="00FC52D8">
        <w:t xml:space="preserve"> Politike</w:t>
      </w:r>
      <w:r w:rsidR="00357068">
        <w:t xml:space="preserve">r- und </w:t>
      </w:r>
      <w:proofErr w:type="spellStart"/>
      <w:r w:rsidR="00357068">
        <w:t>Gewerkschaftlerl</w:t>
      </w:r>
      <w:r w:rsidR="00FC52D8">
        <w:t>eben</w:t>
      </w:r>
      <w:proofErr w:type="spellEnd"/>
      <w:r w:rsidR="00FC52D8">
        <w:t xml:space="preserve">. </w:t>
      </w:r>
    </w:p>
    <w:p w14:paraId="0A76B014" w14:textId="77777777" w:rsidR="00FC52D8" w:rsidRDefault="00FC52D8" w:rsidP="00112190">
      <w:pPr>
        <w:spacing w:line="240" w:lineRule="auto"/>
      </w:pPr>
    </w:p>
    <w:p w14:paraId="157CF7CF" w14:textId="6BC4DAE7" w:rsidR="009D0E0A" w:rsidRDefault="00FC52D8" w:rsidP="009D0E0A">
      <w:pPr>
        <w:spacing w:line="240" w:lineRule="auto"/>
      </w:pPr>
      <w:r>
        <w:lastRenderedPageBreak/>
        <w:t>Dies so zu beschreiben, als ob dort</w:t>
      </w:r>
      <w:r w:rsidR="005D756D">
        <w:t xml:space="preserve"> in der Kommission</w:t>
      </w:r>
      <w:r>
        <w:t xml:space="preserve"> jemand sitzt, der</w:t>
      </w:r>
      <w:r w:rsidR="00C81315">
        <w:t xml:space="preserve"> </w:t>
      </w:r>
      <w:r>
        <w:t xml:space="preserve">überall Einfluss </w:t>
      </w:r>
      <w:r w:rsidR="0089150D">
        <w:t>nimm</w:t>
      </w:r>
      <w:r w:rsidR="000D65E9">
        <w:t xml:space="preserve">t </w:t>
      </w:r>
      <w:r>
        <w:t xml:space="preserve">ist </w:t>
      </w:r>
      <w:r w:rsidR="00866B5E">
        <w:t xml:space="preserve">irreführender Populismus. </w:t>
      </w:r>
      <w:r w:rsidR="00C81315">
        <w:t>Auch ist die F</w:t>
      </w:r>
      <w:r w:rsidR="009D0E0A">
        <w:t>orderung</w:t>
      </w:r>
      <w:r w:rsidR="00C81315">
        <w:t xml:space="preserve">, dass </w:t>
      </w:r>
      <w:r w:rsidR="00C81315" w:rsidRPr="005D756D">
        <w:rPr>
          <w:u w:val="single"/>
        </w:rPr>
        <w:t>die</w:t>
      </w:r>
      <w:r w:rsidR="00C81315">
        <w:t xml:space="preserve"> EU unbedingt grundlegend reformiert werden muss, sonst ist alles verloren, </w:t>
      </w:r>
      <w:r w:rsidR="009D0E0A">
        <w:t xml:space="preserve">ist </w:t>
      </w:r>
      <w:r w:rsidR="00C81315">
        <w:t>irreführender Populismus.</w:t>
      </w:r>
      <w:r w:rsidR="009D0E0A">
        <w:t xml:space="preserve"> </w:t>
      </w:r>
      <w:r w:rsidR="000D65E9">
        <w:t xml:space="preserve">Das meiste an der EU </w:t>
      </w:r>
      <w:r w:rsidR="00C81315">
        <w:t>hat bereits eine längere Geschichte</w:t>
      </w:r>
      <w:r w:rsidR="009D0E0A">
        <w:t xml:space="preserve">, </w:t>
      </w:r>
      <w:r w:rsidR="005D756D">
        <w:t xml:space="preserve">und enthält die politischen Kompromisse aus Jahrzehnten </w:t>
      </w:r>
      <w:r w:rsidR="009D0E0A">
        <w:t xml:space="preserve">und </w:t>
      </w:r>
      <w:r w:rsidR="005D756D">
        <w:t xml:space="preserve">diese Kompromisse sind </w:t>
      </w:r>
      <w:r w:rsidR="009D0E0A">
        <w:t>eigentlich ganz gut gelungen</w:t>
      </w:r>
      <w:r w:rsidR="000D65E9">
        <w:t xml:space="preserve">. </w:t>
      </w:r>
      <w:r w:rsidR="005D756D">
        <w:t xml:space="preserve">Die EU sollte </w:t>
      </w:r>
      <w:r w:rsidR="00D820D0">
        <w:t xml:space="preserve">also gar </w:t>
      </w:r>
      <w:r w:rsidR="005D756D">
        <w:t xml:space="preserve">nicht grundlegend reformiert werden. </w:t>
      </w:r>
      <w:r w:rsidR="00C81315">
        <w:t xml:space="preserve">Und: </w:t>
      </w:r>
      <w:r w:rsidR="00866B5E">
        <w:t>Die Frage nach Schulden und der Budget</w:t>
      </w:r>
      <w:r w:rsidR="00C81315">
        <w:t>regeln</w:t>
      </w:r>
      <w:r w:rsidR="00866B5E">
        <w:t xml:space="preserve"> hat eine eigene Dynamik, hier h</w:t>
      </w:r>
      <w:r w:rsidR="00C81315">
        <w:t>aben</w:t>
      </w:r>
      <w:r w:rsidR="00866B5E">
        <w:t xml:space="preserve"> Deutschland, Frankreich und Italien</w:t>
      </w:r>
      <w:r w:rsidR="00C81315">
        <w:t xml:space="preserve"> </w:t>
      </w:r>
      <w:r w:rsidR="00866B5E">
        <w:t>unterschiedliche Positionen, die</w:t>
      </w:r>
      <w:r w:rsidR="000D65E9">
        <w:t>s</w:t>
      </w:r>
      <w:r w:rsidR="00866B5E">
        <w:t xml:space="preserve"> sollte </w:t>
      </w:r>
      <w:r w:rsidR="005D756D">
        <w:t xml:space="preserve">ebenso </w:t>
      </w:r>
      <w:r w:rsidR="00866B5E">
        <w:t xml:space="preserve">nicht dazu genutzt werden, um alle anderen Politikbereiche zu diskreditieren. </w:t>
      </w:r>
      <w:r w:rsidR="009D0E0A">
        <w:t>Dies begreift man allerdings nur, wenn man sich wirklich mit der EU beschäftigt</w:t>
      </w:r>
      <w:r w:rsidR="00E83A75">
        <w:t xml:space="preserve"> und auch mal die Biografie von Jean Monnet liest</w:t>
      </w:r>
      <w:r w:rsidR="009D0E0A">
        <w:t xml:space="preserve">. </w:t>
      </w:r>
      <w:r w:rsidR="0049273B">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0C5A2F0C" w14:textId="77777777" w:rsidR="009D0E0A" w:rsidRDefault="009D0E0A" w:rsidP="00112190">
      <w:pPr>
        <w:spacing w:line="240" w:lineRule="auto"/>
      </w:pPr>
    </w:p>
    <w:p w14:paraId="196A86BE" w14:textId="2A254562" w:rsidR="00BC6275" w:rsidRDefault="00512EE8" w:rsidP="00112190">
      <w:pPr>
        <w:spacing w:line="240" w:lineRule="auto"/>
      </w:pPr>
      <w:r>
        <w:t>Am</w:t>
      </w:r>
      <w:r w:rsidR="00C81315">
        <w:t xml:space="preserve"> </w:t>
      </w:r>
      <w:r w:rsidR="00866B5E">
        <w:t xml:space="preserve">Green Deal </w:t>
      </w:r>
      <w:r>
        <w:t xml:space="preserve">wird weiter unten </w:t>
      </w:r>
      <w:r w:rsidR="00357068">
        <w:t>ver</w:t>
      </w:r>
      <w:r w:rsidR="00866B5E">
        <w:t>deutlich,</w:t>
      </w:r>
      <w:r>
        <w:t xml:space="preserve"> dass die Mitgliedstaaten bewusst Verordnungen verabschiedet haben, die</w:t>
      </w:r>
      <w:r w:rsidR="00866B5E">
        <w:t xml:space="preserve"> souveränitätsschonend aufgebaut </w:t>
      </w:r>
      <w:r>
        <w:t>sind</w:t>
      </w:r>
      <w:r w:rsidR="00866B5E">
        <w:t>. Hier hat die Kommission</w:t>
      </w:r>
      <w:r w:rsidR="000D65E9">
        <w:t xml:space="preserve"> in vielen Fällen</w:t>
      </w:r>
      <w:r w:rsidR="00866B5E">
        <w:t xml:space="preserve"> </w:t>
      </w:r>
      <w:r w:rsidR="00866B5E" w:rsidRPr="002D1881">
        <w:rPr>
          <w:u w:val="single"/>
        </w:rPr>
        <w:t xml:space="preserve">keine </w:t>
      </w:r>
      <w:proofErr w:type="spellStart"/>
      <w:r w:rsidR="00FF4D78" w:rsidRPr="002D1881">
        <w:rPr>
          <w:u w:val="single"/>
        </w:rPr>
        <w:t>Befugnisübertragung</w:t>
      </w:r>
      <w:proofErr w:type="spellEnd"/>
      <w:r w:rsidR="00FF4D78" w:rsidRPr="002D1881">
        <w:rPr>
          <w:u w:val="single"/>
        </w:rPr>
        <w:t xml:space="preserve"> mehr eingeräumt bekommen</w:t>
      </w:r>
      <w:r w:rsidR="0049273B" w:rsidRPr="002D1881">
        <w:rPr>
          <w:u w:val="single"/>
        </w:rPr>
        <w:t xml:space="preserve"> bzw. delegierte Rechtsakte werden </w:t>
      </w:r>
      <w:r w:rsidR="00FF4D78" w:rsidRPr="002D1881">
        <w:rPr>
          <w:u w:val="single"/>
        </w:rPr>
        <w:t xml:space="preserve">ihr </w:t>
      </w:r>
      <w:r w:rsidR="0049273B" w:rsidRPr="002D1881">
        <w:rPr>
          <w:u w:val="single"/>
        </w:rPr>
        <w:t xml:space="preserve">nicht </w:t>
      </w:r>
      <w:r w:rsidR="00FF4D78" w:rsidRPr="002D1881">
        <w:rPr>
          <w:u w:val="single"/>
        </w:rPr>
        <w:t xml:space="preserve">mehr </w:t>
      </w:r>
      <w:r w:rsidR="0049273B" w:rsidRPr="002D1881">
        <w:rPr>
          <w:u w:val="single"/>
        </w:rPr>
        <w:t>ermöglicht</w:t>
      </w:r>
      <w:r w:rsidR="00866B5E">
        <w:t>.</w:t>
      </w:r>
      <w:r w:rsidR="00C81315">
        <w:t xml:space="preserve"> </w:t>
      </w:r>
      <w:r>
        <w:t>Dies zeigt, dass es</w:t>
      </w:r>
      <w:r w:rsidR="00C81315">
        <w:t xml:space="preserve"> </w:t>
      </w:r>
      <w:r>
        <w:t xml:space="preserve">bis </w:t>
      </w:r>
      <w:r w:rsidR="00C81315">
        <w:t>2050 bei</w:t>
      </w:r>
      <w:r w:rsidR="000D65E9">
        <w:t xml:space="preserve"> der Umsetzung des Green Deal</w:t>
      </w:r>
      <w:r w:rsidR="00866B5E">
        <w:t xml:space="preserve"> noch viele Kompromisse geben </w:t>
      </w:r>
      <w:r>
        <w:t xml:space="preserve">wird </w:t>
      </w:r>
      <w:r w:rsidR="00866B5E">
        <w:t>und dies selbst beim verbindlichsten Instrument der EU, dem Emissionshandel</w:t>
      </w:r>
      <w:r>
        <w:t>.</w:t>
      </w:r>
      <w:r w:rsidR="00866B5E">
        <w:t xml:space="preserve"> </w:t>
      </w:r>
      <w:r w:rsidR="00FC52D8">
        <w:t xml:space="preserve">  </w:t>
      </w:r>
      <w:r w:rsidR="001D6B67">
        <w:t xml:space="preserve">  </w:t>
      </w:r>
    </w:p>
    <w:p w14:paraId="3FD4FA64" w14:textId="77777777" w:rsidR="00866B5E" w:rsidRDefault="00866B5E" w:rsidP="00112190">
      <w:pPr>
        <w:spacing w:line="240" w:lineRule="auto"/>
      </w:pPr>
    </w:p>
    <w:p w14:paraId="76EF2917" w14:textId="691291C3" w:rsidR="00866B5E" w:rsidRDefault="00866B5E" w:rsidP="00112190">
      <w:pPr>
        <w:spacing w:line="240" w:lineRule="auto"/>
      </w:pPr>
      <w:r>
        <w:t>Dass es diese neuen Justierungen und Kompromisse</w:t>
      </w:r>
      <w:r w:rsidR="00E83A75">
        <w:t xml:space="preserve"> im Bereich Energiewende in der EU</w:t>
      </w:r>
      <w:r>
        <w:t xml:space="preserve"> geben wird, kann man derzeit live beobachten:</w:t>
      </w:r>
    </w:p>
    <w:p w14:paraId="0354CA47" w14:textId="77777777" w:rsidR="00866B5E" w:rsidRDefault="00866B5E" w:rsidP="00112190">
      <w:pPr>
        <w:spacing w:line="240" w:lineRule="auto"/>
      </w:pPr>
    </w:p>
    <w:tbl>
      <w:tblPr>
        <w:tblStyle w:val="Tabellenraster"/>
        <w:tblW w:w="0" w:type="auto"/>
        <w:tblLook w:val="04A0" w:firstRow="1" w:lastRow="0" w:firstColumn="1" w:lastColumn="0" w:noHBand="0" w:noVBand="1"/>
      </w:tblPr>
      <w:tblGrid>
        <w:gridCol w:w="9062"/>
      </w:tblGrid>
      <w:tr w:rsidR="00112190" w:rsidRPr="00512EE8" w14:paraId="2450896F" w14:textId="77777777" w:rsidTr="006B301B">
        <w:tc>
          <w:tcPr>
            <w:tcW w:w="9062" w:type="dxa"/>
          </w:tcPr>
          <w:p w14:paraId="0EEC8FAD" w14:textId="50ECBC20" w:rsidR="00112190" w:rsidRPr="00512EE8" w:rsidRDefault="00112190" w:rsidP="006B301B">
            <w:r>
              <w:t xml:space="preserve">Neuorientierung beim Green Deal. Derzeit erfolgt bei weiter unten beschriebenen Green Deal, dem ambitionierten Klimaschutzprogramm der EU eine Neuorientierung, ausgelöst durch die Europawahl am 9. Juni 2024. </w:t>
            </w:r>
            <w:proofErr w:type="gramStart"/>
            <w:r>
              <w:t>Die Chef</w:t>
            </w:r>
            <w:proofErr w:type="gramEnd"/>
            <w:r>
              <w:t xml:space="preserve"> der Europäischen Volkspartei (EVP) im Europäischen Parlament legte die Unterstützung für mögliche weitere Green Deal Maßnahmen aus Eis. Die EVP hatte mit den Sozialdemokraten und Liberalen den Green Deal lange Zeit unterstützt. Nun unterstützen ihn nur noch die Grünen und Teile der liberalen Renew Fraktion ihn. Die letzten Gesetzespakete zum Naturschutz und Biodiversität sind abgeschwächt worden, das Gesetz zum Naturschutz und Pestizidgesetz ganz blockiert worden. Das Naturschutzgesetz schaffte es noch durch das Europaparlament, bekam aber keine Unterstützung der Staaten mehr. In der neuen Strategischen Agenda der EU sind die Hauptthemen Sicherheit, Verteidigung und Migration, erst im zweiten Kapitel geht es um Wirtschafts-, Klima- und Energiepolitik. Den Grünen geht dies nicht weit genug, sie fordern einen 150 Mrd. Transformationsfond, der durch gemeinsame Schulden finanziert werden soll. Ein gänzliches Zurücknehmen des Green Deal ist aber nicht zu erwarten, zwar fordert die FDP und die CDU/CSU eine Rücknahme des </w:t>
            </w:r>
            <w:proofErr w:type="spellStart"/>
            <w:r>
              <w:t>Verbrennerverbots</w:t>
            </w:r>
            <w:proofErr w:type="spellEnd"/>
            <w:r>
              <w:t xml:space="preserve"> 2035, aber in ihren Fraktionen im Europäischen Parlament konnten sie sich nicht durchsetzen.</w:t>
            </w:r>
            <w:r>
              <w:rPr>
                <w:rStyle w:val="Funotenzeichen"/>
              </w:rPr>
              <w:footnoteReference w:id="1125"/>
            </w:r>
            <w:r>
              <w:t xml:space="preserve"> Die FDP möchte keinen neuen Schuldenfond, sie verweist darauf, dass im EU-Wiederaufbaufond nach 189 Mrd. Euro nicht abgerufen wurden.</w:t>
            </w:r>
            <w:r>
              <w:rPr>
                <w:rStyle w:val="Funotenzeichen"/>
              </w:rPr>
              <w:footnoteReference w:id="1126"/>
            </w:r>
            <w:r>
              <w:t xml:space="preserve"> Schon im 17. – 18. April 2024 kündigten die europäischen Staats- und Regierungschef bei einer außerordentlichen Tagung des Europäischen Rates u.a. einen neuen Deal für die europäische Wettbewerbsfähigkeit an, hier ging es um Binnenmarkt, Bürokratieabbau, Forschung und Innovationen, Handel und als neueres Thema, die Kapitalmarktunion.</w:t>
            </w:r>
            <w:r>
              <w:rPr>
                <w:rStyle w:val="Funotenzeichen"/>
              </w:rPr>
              <w:footnoteReference w:id="1127"/>
            </w:r>
            <w:r>
              <w:t xml:space="preserve"> Kommissionspräsidentin von der Leyen kündigte danach im Europaparlament eine Europäische Wirtschaftsagenda für 2024 an, die eine Kapitalmarktunion, Senkung der Energiekosten, ein Programm gegen Fachkräftemangel und das Aushandel weiterer Freihandelsabkommen enthält.</w:t>
            </w:r>
            <w:r>
              <w:rPr>
                <w:rStyle w:val="Funotenzeichen"/>
              </w:rPr>
              <w:footnoteReference w:id="1128"/>
            </w:r>
            <w:r>
              <w:t xml:space="preserve"> Im April 2024 wurde </w:t>
            </w:r>
            <w:r w:rsidR="00512EE8">
              <w:t xml:space="preserve">zu einer neuen Ausrichtung der Politik der </w:t>
            </w:r>
            <w:r>
              <w:t xml:space="preserve">Bericht von Enrico Letta, Much </w:t>
            </w:r>
            <w:proofErr w:type="spellStart"/>
            <w:r>
              <w:lastRenderedPageBreak/>
              <w:t>more</w:t>
            </w:r>
            <w:proofErr w:type="spellEnd"/>
            <w:r>
              <w:t xml:space="preserve"> </w:t>
            </w:r>
            <w:proofErr w:type="spellStart"/>
            <w:r>
              <w:t>than</w:t>
            </w:r>
            <w:proofErr w:type="spellEnd"/>
            <w:r>
              <w:t xml:space="preserve"> a </w:t>
            </w:r>
            <w:proofErr w:type="spellStart"/>
            <w:r>
              <w:t>market</w:t>
            </w:r>
            <w:proofErr w:type="spellEnd"/>
            <w:r>
              <w:t>, veröffentlicht, in dem es, recht allgemein, auch um Klimapolitik, Industriepolitik und Subventionen geht.</w:t>
            </w:r>
            <w:r>
              <w:rPr>
                <w:rStyle w:val="Funotenzeichen"/>
              </w:rPr>
              <w:footnoteReference w:id="1129"/>
            </w:r>
            <w:r>
              <w:t xml:space="preserve"> </w:t>
            </w:r>
            <w:r w:rsidR="00512EE8">
              <w:t>Am 9.</w:t>
            </w:r>
            <w:r>
              <w:t xml:space="preserve"> </w:t>
            </w:r>
            <w:r w:rsidR="00512EE8" w:rsidRPr="00512EE8">
              <w:t>September</w:t>
            </w:r>
            <w:r w:rsidRPr="00512EE8">
              <w:t xml:space="preserve"> 2024 </w:t>
            </w:r>
            <w:r w:rsidR="00512EE8" w:rsidRPr="00512EE8">
              <w:t xml:space="preserve">hat </w:t>
            </w:r>
            <w:r w:rsidRPr="00512EE8">
              <w:t xml:space="preserve">Mario Draghi </w:t>
            </w:r>
            <w:r w:rsidR="00512EE8" w:rsidRPr="00512EE8">
              <w:t xml:space="preserve">seinen Bericht ‚The Future </w:t>
            </w:r>
            <w:proofErr w:type="spellStart"/>
            <w:r w:rsidR="00512EE8" w:rsidRPr="00512EE8">
              <w:t>of</w:t>
            </w:r>
            <w:proofErr w:type="spellEnd"/>
            <w:r w:rsidR="00512EE8" w:rsidRPr="00512EE8">
              <w:t xml:space="preserve"> </w:t>
            </w:r>
            <w:proofErr w:type="spellStart"/>
            <w:r w:rsidR="00512EE8" w:rsidRPr="00512EE8">
              <w:t>Europan</w:t>
            </w:r>
            <w:proofErr w:type="spellEnd"/>
            <w:r w:rsidR="00512EE8" w:rsidRPr="00512EE8">
              <w:t xml:space="preserve"> </w:t>
            </w:r>
            <w:proofErr w:type="spellStart"/>
            <w:r w:rsidR="00512EE8" w:rsidRPr="00512EE8">
              <w:t>Competitiveness</w:t>
            </w:r>
            <w:proofErr w:type="spellEnd"/>
            <w:r w:rsidR="00512EE8" w:rsidRPr="00512EE8">
              <w:t>‘ veröffentl</w:t>
            </w:r>
            <w:r w:rsidR="00512EE8">
              <w:t>icht</w:t>
            </w:r>
            <w:r w:rsidR="00512EE8">
              <w:rPr>
                <w:rStyle w:val="Funotenzeichen"/>
              </w:rPr>
              <w:footnoteReference w:id="1130"/>
            </w:r>
            <w:r w:rsidR="00512EE8">
              <w:t>, im Jahr 2025 ergänzt durch einen ‚</w:t>
            </w:r>
            <w:proofErr w:type="spellStart"/>
            <w:r w:rsidR="00512EE8">
              <w:t>Competitiveness</w:t>
            </w:r>
            <w:proofErr w:type="spellEnd"/>
            <w:r w:rsidR="00512EE8">
              <w:t xml:space="preserve"> Compass‘</w:t>
            </w:r>
            <w:r w:rsidRPr="00512EE8">
              <w:t>.</w:t>
            </w:r>
            <w:r w:rsidR="00512EE8">
              <w:rPr>
                <w:rStyle w:val="Funotenzeichen"/>
              </w:rPr>
              <w:footnoteReference w:id="1131"/>
            </w:r>
            <w:r w:rsidRPr="00512EE8">
              <w:t xml:space="preserve"> </w:t>
            </w:r>
            <w:r w:rsidR="00E83A75">
              <w:t xml:space="preserve">Auch hier geht es vermehrt um Wettbewerbsfähigkeit, siehe dazu im Fazit von Teil 3 mehr. </w:t>
            </w:r>
          </w:p>
        </w:tc>
      </w:tr>
    </w:tbl>
    <w:p w14:paraId="40B539E5" w14:textId="77777777" w:rsidR="00112190" w:rsidRPr="00512EE8" w:rsidRDefault="00112190" w:rsidP="00112190">
      <w:pPr>
        <w:spacing w:line="240" w:lineRule="auto"/>
      </w:pPr>
    </w:p>
    <w:p w14:paraId="037AE67A" w14:textId="77777777" w:rsidR="00112190" w:rsidRDefault="00112190" w:rsidP="00112190">
      <w:pPr>
        <w:spacing w:line="240" w:lineRule="auto"/>
      </w:pPr>
      <w:r>
        <w:t xml:space="preserve">In der EU hat die Kommission das Initiativrecht für ‚Gesetze‘, in der EU werden ‚verbindliche‘ Gesetze Verordnungen und Richtlinien, Beschlüsse und Durchführungsbeschlüsse genannt. Anregungen bekommt die Kommission dazu aber vom Parlament, von den Regierungen und natürlich auch der Öffentlichkeit. Dieses Initiativrecht nimmt die Kommission so wahr, dass sie erst einmal eine längere Begründung schreibt, oft mit Verweisen auf bisherige Aktivitäten der EU und Erfahrungen in diesem Bereich. Dies sind die nicht verbindlichen Mitteilungen, Pläne und Strategien, Grünbücher und Weißbücher, die allerdings manchmal bereits Vorschläge für verbindliche Verordnungen und Richtlinien enthalten. Denen muss aber das Europäische Parlament und der Rat der Europäischen Union (Ministerrat – nicht der EU-Gipfel) erst noch zustimmen. </w:t>
      </w:r>
    </w:p>
    <w:p w14:paraId="1CE89975" w14:textId="77777777" w:rsidR="00112190" w:rsidRDefault="00112190" w:rsidP="00112190">
      <w:pPr>
        <w:spacing w:line="240" w:lineRule="auto"/>
      </w:pPr>
    </w:p>
    <w:p w14:paraId="2253EDC1" w14:textId="3DE9F7C9" w:rsidR="00112190" w:rsidRDefault="00112190" w:rsidP="00112190">
      <w:pPr>
        <w:spacing w:line="240" w:lineRule="auto"/>
      </w:pPr>
      <w:r>
        <w:t xml:space="preserve">Verordnungen, Richtlinien, Beschlüsse und Durchführungsbeschlüsse sind ‚verbindlich‘, in dem Sinne, dass sie von den Mitgliedstaaten umgesetzt werden müssen. Dies bedeutet aber nicht, dass sie so verbindlich sind wie in Deutschland. Die Verbindlichkeit der Verordnungen und Richtlinien in der EU ist unterschiedlich stark - und im Bereich Klima – teilweise zumindest </w:t>
      </w:r>
      <w:r w:rsidR="002D1881">
        <w:t>–</w:t>
      </w:r>
      <w:r>
        <w:t xml:space="preserve"> </w:t>
      </w:r>
      <w:r w:rsidR="002D1881">
        <w:t xml:space="preserve">sogar bewusst noch </w:t>
      </w:r>
      <w:r>
        <w:t xml:space="preserve">schwächer ausgeprägt und Sanktionen fehlen. Dies ist einerseits so entstanden, weil die beiden anderen Organe der Gesetzgebung, das Europäische Parlament und der Rat der Europäischen Union, der in diesem Bereich einstimmig abstimmt, d.h. jeder </w:t>
      </w:r>
      <w:proofErr w:type="gramStart"/>
      <w:r>
        <w:t>EU Mitgliedstaat</w:t>
      </w:r>
      <w:proofErr w:type="gramEnd"/>
      <w:r>
        <w:t xml:space="preserve"> hat im Prinzip ein Veto, es verhindert haben, dass die Kommission </w:t>
      </w:r>
      <w:proofErr w:type="gramStart"/>
      <w:r>
        <w:t>zu große Macht</w:t>
      </w:r>
      <w:proofErr w:type="gramEnd"/>
      <w:r>
        <w:t xml:space="preserve"> bekommt und andererseits, weil die Kommission bewusst im Bereich Klima einen weichen, kooperativen Ansatz verfolgt hat. Kurz: Es kann sein, dass </w:t>
      </w:r>
      <w:r w:rsidR="002D1881">
        <w:t xml:space="preserve">im Bereich Klima </w:t>
      </w:r>
      <w:r>
        <w:t>eine ‚verbindliche‘ Verordnung gar nicht so verbindlich ist, wie man denken mag</w:t>
      </w:r>
      <w:r w:rsidR="002D1881">
        <w:t xml:space="preserve">. Die </w:t>
      </w:r>
      <w:r>
        <w:t>EU</w:t>
      </w:r>
      <w:r w:rsidR="002D1881">
        <w:t xml:space="preserve">-Kommission kann also in Teilen den Klimapolitik gegenüber den Mitgliedstaaten </w:t>
      </w:r>
      <w:r w:rsidR="002D1881" w:rsidRPr="002D1881">
        <w:rPr>
          <w:u w:val="single"/>
        </w:rPr>
        <w:t xml:space="preserve">nicht </w:t>
      </w:r>
      <w:r w:rsidRPr="002D1881">
        <w:rPr>
          <w:u w:val="single"/>
        </w:rPr>
        <w:t>alle</w:t>
      </w:r>
      <w:r w:rsidR="002D1881" w:rsidRPr="002D1881">
        <w:rPr>
          <w:u w:val="single"/>
        </w:rPr>
        <w:t>s</w:t>
      </w:r>
      <w:r w:rsidRPr="002D1881">
        <w:rPr>
          <w:u w:val="single"/>
        </w:rPr>
        <w:t xml:space="preserve"> bestimmen</w:t>
      </w:r>
      <w:r w:rsidR="002D1881" w:rsidRPr="002D1881">
        <w:rPr>
          <w:u w:val="single"/>
        </w:rPr>
        <w:t xml:space="preserve"> und es bedarf immer wieder neu politischer Kompromisse</w:t>
      </w:r>
      <w:r w:rsidR="002D1881">
        <w:t>.</w:t>
      </w:r>
      <w:r>
        <w:t xml:space="preserve"> </w:t>
      </w:r>
    </w:p>
    <w:p w14:paraId="08D4CD33" w14:textId="77777777" w:rsidR="00112190" w:rsidRDefault="00112190" w:rsidP="00112190">
      <w:pPr>
        <w:spacing w:line="240" w:lineRule="auto"/>
      </w:pPr>
    </w:p>
    <w:p w14:paraId="66D0C6F6" w14:textId="78885CFD" w:rsidR="00112190" w:rsidRDefault="00112190" w:rsidP="00112190">
      <w:pPr>
        <w:spacing w:line="240" w:lineRule="auto"/>
      </w:pPr>
      <w:r>
        <w:t xml:space="preserve">Es gibt allerdings zwei große Machtinstrumente, die die EU dennoch im Bereich Klima hat, Geld, mit ihren vielen Förderungsmöglichkeiten und der Emissionshandel, der 2027, als ETS 2, auch für den Verkehr und Haushalte gültig ist, und bei dessen Nichteinhaltung Sanktionen bestehen. Alle Organe der EU haben dem </w:t>
      </w:r>
      <w:r w:rsidR="009D0E0A">
        <w:t xml:space="preserve">allerdings </w:t>
      </w:r>
      <w:r>
        <w:t>zugestimmt, die Kommission, das Europäische Parlament, der Rat der Europäischen Union in Einstimmigkeit und alle, demokratisch gewählten, Staats- und Regierungschefs der EU-Mitgliedstaaten im Europäischen Rat bzw. dem EU-Gipfel.</w:t>
      </w:r>
    </w:p>
    <w:p w14:paraId="726DB65D" w14:textId="77777777" w:rsidR="00112190" w:rsidRDefault="00112190" w:rsidP="00112190">
      <w:pPr>
        <w:spacing w:line="240" w:lineRule="auto"/>
      </w:pPr>
    </w:p>
    <w:p w14:paraId="75F9F64F" w14:textId="77777777" w:rsidR="00112190" w:rsidRDefault="00112190" w:rsidP="00112190">
      <w:pPr>
        <w:spacing w:line="240" w:lineRule="auto"/>
      </w:pPr>
      <w:r>
        <w:t xml:space="preserve">Um u.a. diese Beschränkung der Macht der Kommission und die kooperativen Aspekte zu zeigen, werden hier einige Bereich der Klimapolitik der EU genauer beschrieben.  </w:t>
      </w:r>
    </w:p>
    <w:p w14:paraId="116B1D87" w14:textId="77777777" w:rsidR="00112190" w:rsidRDefault="00112190" w:rsidP="00112190">
      <w:pPr>
        <w:spacing w:line="240" w:lineRule="auto"/>
      </w:pPr>
    </w:p>
    <w:p w14:paraId="55587C03" w14:textId="0ABC03A5" w:rsidR="00112190" w:rsidRDefault="002D1881" w:rsidP="00112190">
      <w:pPr>
        <w:spacing w:line="240" w:lineRule="auto"/>
      </w:pPr>
      <w:r>
        <w:t xml:space="preserve">Die </w:t>
      </w:r>
      <w:r w:rsidR="00FF4D78">
        <w:t xml:space="preserve">EU </w:t>
      </w:r>
      <w:r>
        <w:t xml:space="preserve">hat eine </w:t>
      </w:r>
      <w:r w:rsidR="00FF4D78">
        <w:t xml:space="preserve">Kompetenz </w:t>
      </w:r>
      <w:r>
        <w:t xml:space="preserve">im Bereich der Umwelt- und Klimapolitik und Teilen der Energiepolitik, </w:t>
      </w:r>
      <w:r w:rsidR="00FF4D78">
        <w:t>aber</w:t>
      </w:r>
      <w:r>
        <w:t xml:space="preserve"> Regulierungen können nur mit </w:t>
      </w:r>
      <w:r w:rsidR="00FF4D78">
        <w:t xml:space="preserve">Einstimmigkeit </w:t>
      </w:r>
      <w:r>
        <w:t>beschlossen werden</w:t>
      </w:r>
      <w:r w:rsidR="00FF4D78">
        <w:t xml:space="preserve">. </w:t>
      </w:r>
      <w:r w:rsidR="00112190">
        <w:t xml:space="preserve">Die Kompetenz </w:t>
      </w:r>
      <w:r>
        <w:t>der EU im</w:t>
      </w:r>
      <w:r w:rsidR="00112190">
        <w:t xml:space="preserve"> Umweltbereich</w:t>
      </w:r>
      <w:r>
        <w:t xml:space="preserve"> wird </w:t>
      </w:r>
      <w:r w:rsidR="00112190">
        <w:t>in Art. 11 AEUV und Art. 191-193 AEUV</w:t>
      </w:r>
      <w:r>
        <w:t xml:space="preserve"> festgeschrieben</w:t>
      </w:r>
      <w:r w:rsidR="00112190">
        <w:t>, es gilt das Vorsorgeprinzip und es besteht die Verpflichtung „kritische Belastungen oder Kipppunkte zu vermeiden“.</w:t>
      </w:r>
      <w:r w:rsidR="00112190">
        <w:rPr>
          <w:rStyle w:val="Funotenzeichen"/>
        </w:rPr>
        <w:footnoteReference w:id="1132"/>
      </w:r>
      <w:r w:rsidR="00112190">
        <w:t xml:space="preserve"> Dies muss </w:t>
      </w:r>
      <w:r>
        <w:t xml:space="preserve">allerdings </w:t>
      </w:r>
      <w:r w:rsidR="00112190">
        <w:t xml:space="preserve">mit anderen Zielen, wie Wirtschaftsfreiheit und </w:t>
      </w:r>
      <w:r w:rsidR="00112190">
        <w:lastRenderedPageBreak/>
        <w:t>Sozialstaatsprinzip etwa, abgewogen werden.</w:t>
      </w:r>
      <w:r w:rsidR="00112190">
        <w:rPr>
          <w:rStyle w:val="Funotenzeichen"/>
        </w:rPr>
        <w:footnoteReference w:id="1133"/>
      </w:r>
      <w:r w:rsidR="00112190">
        <w:t xml:space="preserve"> Damit kann die EU, basierend auf Art. 192 Abs. 1 AEUV, in jeder Rechtsform, siehe Art. 288 AEUV, tätig werden. </w:t>
      </w:r>
      <w:r w:rsidR="00112190" w:rsidRPr="000763FA">
        <w:t xml:space="preserve">Maßnahmen der Umwelt und Klimapolitik </w:t>
      </w:r>
      <w:r w:rsidR="00112190">
        <w:t xml:space="preserve">(und teils auch Energiepolitik) </w:t>
      </w:r>
      <w:r w:rsidR="00112190" w:rsidRPr="000763FA">
        <w:t xml:space="preserve">dürfen </w:t>
      </w:r>
      <w:r w:rsidR="00112190">
        <w:t xml:space="preserve">allerdings </w:t>
      </w:r>
      <w:r w:rsidR="00112190" w:rsidRPr="000763FA">
        <w:t xml:space="preserve">nur </w:t>
      </w:r>
      <w:r>
        <w:t>in Form des</w:t>
      </w:r>
      <w:r w:rsidR="00112190" w:rsidRPr="000763FA">
        <w:t xml:space="preserve"> besondere</w:t>
      </w:r>
      <w:r>
        <w:t>n</w:t>
      </w:r>
      <w:r w:rsidR="00112190" w:rsidRPr="000763FA">
        <w:t xml:space="preserve"> Gesetzgebungsverfahren erlassen werden, </w:t>
      </w:r>
      <w:r w:rsidR="00112190">
        <w:t xml:space="preserve">der Rat der Europäischen Union darf nur </w:t>
      </w:r>
      <w:r w:rsidR="00112190" w:rsidRPr="002C01D6">
        <w:rPr>
          <w:u w:val="single"/>
        </w:rPr>
        <w:t>einstimmig abstimmen</w:t>
      </w:r>
      <w:r w:rsidR="00112190">
        <w:t xml:space="preserve">, </w:t>
      </w:r>
      <w:r w:rsidR="00112190" w:rsidRPr="000763FA">
        <w:t>um nationalen Interessen genug Gewicht einzuräumen (Art. 289 Abs. 2</w:t>
      </w:r>
      <w:r w:rsidR="00112190">
        <w:t xml:space="preserve"> </w:t>
      </w:r>
      <w:r w:rsidR="00112190" w:rsidRPr="000763FA">
        <w:t>AEUV in Verbindung mit Art. 192 Abs. 2 AEUV).</w:t>
      </w:r>
      <w:r w:rsidR="00112190">
        <w:rPr>
          <w:rStyle w:val="Funotenzeichen"/>
        </w:rPr>
        <w:footnoteReference w:id="1134"/>
      </w:r>
      <w:r w:rsidR="00112190">
        <w:t xml:space="preserve"> </w:t>
      </w:r>
      <w:r w:rsidR="00FF4D78">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3E9A733B" w14:textId="77777777" w:rsidR="00112190" w:rsidRDefault="00112190" w:rsidP="00112190">
      <w:pPr>
        <w:spacing w:line="240" w:lineRule="auto"/>
      </w:pPr>
    </w:p>
    <w:p w14:paraId="464366BD" w14:textId="52E60416" w:rsidR="00112190" w:rsidRDefault="00112190" w:rsidP="00112190">
      <w:pPr>
        <w:spacing w:line="240" w:lineRule="auto"/>
      </w:pPr>
      <w:r>
        <w:t xml:space="preserve">In </w:t>
      </w:r>
      <w:bookmarkStart w:id="56" w:name="_Hlk156400431"/>
      <w:r>
        <w:t xml:space="preserve">Art. 192 Abs. 2 AEUV </w:t>
      </w:r>
      <w:bookmarkEnd w:id="56"/>
      <w:r>
        <w:t>w</w:t>
      </w:r>
      <w:r w:rsidR="002D1881">
        <w:t>erden</w:t>
      </w:r>
      <w:r>
        <w:t xml:space="preserve"> in (a) „Vorschriften überwiegende steuerlicher Art;“ genannt, in (b) wird Umwelt nur mittelbar benannt, als Maßnahmen, die die Raumordnung berühren, die Wasserressourcen und Bodennutzung berühren, in (c) steht „Maßnahmen, welche die Wahl eines Mitgliedstaats zwischen verschiedenen Energiequellen und die allgemeine Struktur seiner Energieversorgung erheblich berühren.“ Kurz: Maßnahmen im Zusammenhang mit dem Klimawandel betreffen nicht nur die Umwelt-, sondern auch die Energiepolitik und dies fällt beides Mal klar unter das besondere Gesetzgebungsverfahren, bei dem der Rat der Europäischen Union nur einstimmig beschließen kann. Siehe den Vertrag über die Arbeitsweise der Europäischen Union,</w:t>
      </w:r>
      <w:r w:rsidRPr="00E74EEE">
        <w:t xml:space="preserve"> Art. 192 Abs. 2 AEUV</w:t>
      </w:r>
      <w:r>
        <w:t>.</w:t>
      </w:r>
      <w:r>
        <w:rPr>
          <w:rStyle w:val="Funotenzeichen"/>
        </w:rPr>
        <w:footnoteReference w:id="1135"/>
      </w:r>
      <w:r>
        <w:t xml:space="preserve"> </w:t>
      </w:r>
    </w:p>
    <w:p w14:paraId="22C9455E" w14:textId="77777777" w:rsidR="00112190" w:rsidRDefault="00112190" w:rsidP="00112190"/>
    <w:p w14:paraId="1E76DF6C" w14:textId="114837F8" w:rsidR="00112190" w:rsidRDefault="00FF4D78" w:rsidP="00112190">
      <w:r>
        <w:t xml:space="preserve">Keine Kompetenz beim Energiemix, aber in Teilbereichen qualifizierte Mehrheit. </w:t>
      </w:r>
      <w:r w:rsidR="00112190">
        <w:t>Die EU hat keine umfassende Kompetenz in Energiefragen</w:t>
      </w:r>
      <w:r w:rsidR="00112190">
        <w:rPr>
          <w:rStyle w:val="Funotenzeichen"/>
        </w:rPr>
        <w:footnoteReference w:id="1136"/>
      </w:r>
      <w:r w:rsidR="00112190">
        <w:t>,</w:t>
      </w:r>
      <w:r w:rsidR="002D1881">
        <w:t xml:space="preserve"> und es wird</w:t>
      </w:r>
      <w:r w:rsidR="00112190">
        <w:t xml:space="preserve"> in Art. 194 Abs. 2,</w:t>
      </w:r>
      <w:r w:rsidR="002D1881">
        <w:t xml:space="preserve"> </w:t>
      </w:r>
      <w:r w:rsidR="00112190">
        <w:t>festgehalten, dass die EU nicht das Recht der Mitgliedstaaten einschränken kann, die „Bedingungen für die Nutzung seiner Energieressourcen, seine Wahl zwischen verschiedenen Energiequellen und die allgemeine Struktur seiner Energieversorgung zu bestimmen“. Dennoch werden in Art. 194 Abs. 1 Ziele genannt, die sogar mit dem ordentlichen Gesetzgebungsverfahren mit qualifizierter Mehrheit zu entscheiden sind, siehe Art. 194 Abs. 2. Dies sind die Ziele: „(a) Sicherstellung des Funktionierens des Energiemarkts, (b) Gewährleistung der Energieversorgungssicherheit, (c) Förderung der Energieeffizienz und von Energieeinsparungen sowie Entwicklung neuer und erneuerbarer Energiequellen, (d) F</w:t>
      </w:r>
      <w:r w:rsidR="00112190" w:rsidRPr="00463073">
        <w:t>örderung der Interkonnekti</w:t>
      </w:r>
      <w:r w:rsidR="00112190">
        <w:t>vität</w:t>
      </w:r>
      <w:r w:rsidR="00112190" w:rsidRPr="00463073">
        <w:t xml:space="preserve"> der Energienetze.</w:t>
      </w:r>
      <w:r w:rsidR="00112190">
        <w:t>“</w:t>
      </w:r>
      <w:r w:rsidR="00112190">
        <w:rPr>
          <w:rStyle w:val="Funotenzeichen"/>
        </w:rPr>
        <w:footnoteReference w:id="1137"/>
      </w:r>
      <w:r w:rsidR="00112190">
        <w:t xml:space="preserve"> Schon die Gründung als Europäische Gemeinschaft für Kohle und Stahl und mit der Europäischen Gemeinschaft für Atomenergie, hatte mit Energie zu tun. Später ist die EU bei der Regulierung von Strom- und Gasmärkten vorangeschritten und bereitet nun die Strommärkte für den Anschluss erneuerbarer Energien vor.</w:t>
      </w:r>
      <w:r w:rsidR="00112190">
        <w:rPr>
          <w:rStyle w:val="Funotenzeichen"/>
        </w:rPr>
        <w:footnoteReference w:id="1138"/>
      </w:r>
      <w:r w:rsidR="00112190">
        <w:t xml:space="preserve"> </w:t>
      </w:r>
    </w:p>
    <w:p w14:paraId="5165F585" w14:textId="77777777" w:rsidR="00112190" w:rsidRDefault="00112190" w:rsidP="00112190"/>
    <w:p w14:paraId="4F88CD80" w14:textId="1194BB8C" w:rsidR="00112190" w:rsidRDefault="00FF4D78" w:rsidP="00112190">
      <w:r>
        <w:t xml:space="preserve">Vorgeschichte des ETS. </w:t>
      </w:r>
      <w:r w:rsidR="00112190">
        <w:t xml:space="preserve">Im Bereich Klima war die EU früh aktiv, dies beschreibt Weishaar (2020): schon </w:t>
      </w:r>
      <w:r w:rsidR="00112190" w:rsidRPr="002E1BD3">
        <w:t xml:space="preserve">1992 wurde von der EU eine CO2-Steuer vorgeschlagen, dafür gab es aber keine Einstimmigkeit und die Maßnahme wurde nicht umgesetzt. 1995 wurde es noch einmal versucht, mit mehr Freiraum für die Staaten eine eigene Höhe der Steuer festzulegen und das Ziel wurde unverbindlich genannt. Es gelangt aber immer noch keine Umsetzung. Ein Versuch, </w:t>
      </w:r>
      <w:r w:rsidR="00112190">
        <w:t>während der Aushandlung des</w:t>
      </w:r>
      <w:r w:rsidR="00112190" w:rsidRPr="002E1BD3">
        <w:t xml:space="preserve"> Nizza-Abkommen</w:t>
      </w:r>
      <w:r w:rsidR="00112190">
        <w:t>s (vor 2001)</w:t>
      </w:r>
      <w:r w:rsidR="00112190" w:rsidRPr="002E1BD3">
        <w:t>, Umweltsteuern mit einer qualifizierten Mehrheit abzustimmen zu lassen, gelang nicht.</w:t>
      </w:r>
      <w:r w:rsidR="00112190">
        <w:rPr>
          <w:rStyle w:val="Funotenzeichen"/>
        </w:rPr>
        <w:footnoteReference w:id="1139"/>
      </w:r>
      <w:r w:rsidR="00112190" w:rsidRPr="002E1BD3">
        <w:t xml:space="preserve">   </w:t>
      </w:r>
    </w:p>
    <w:p w14:paraId="4E408DB4" w14:textId="77777777" w:rsidR="00112190" w:rsidRDefault="00112190" w:rsidP="00112190"/>
    <w:p w14:paraId="1D8902F1" w14:textId="1B98A074" w:rsidR="00112190" w:rsidRDefault="00112190" w:rsidP="00112190">
      <w:r>
        <w:lastRenderedPageBreak/>
        <w:t>1997 ist das Kyoto-Protokoll ausgehandelt worden, 1998 hat der Rat der Europäischen Union (die Umweltminister), am 16.-17. Juni 1998, unterschiedliche hohe Emissionsreduzierungsverpflichtungen angenommen.</w:t>
      </w:r>
      <w:r>
        <w:rPr>
          <w:rStyle w:val="Funotenzeichen"/>
        </w:rPr>
        <w:footnoteReference w:id="1140"/>
      </w:r>
      <w:r>
        <w:t xml:space="preserve"> Im Jahr 2000 gab es Überlegungen zu einem European Climate Change Programme (ECCP), siehe COM (2000) 88 final, 8.3.2000, in dem festgestellt wird, dass Europa eine Umsetzungsstrategie braucht, um diese Verpflichtungen einzuhalten (die erste Verpflichtungsperiode war 2008 bis 2012). Es wurden Arbeitsgruppen gegründet.</w:t>
      </w:r>
      <w:r>
        <w:rPr>
          <w:rStyle w:val="Funotenzeichen"/>
        </w:rPr>
        <w:footnoteReference w:id="1141"/>
      </w:r>
      <w:r>
        <w:t xml:space="preserve"> Im Jahr 2001 wurde in COM (2001) 581 final ein europäischen Emissionshandelssystem vorgeschlagen, dass später zum 2003 ETS führte.</w:t>
      </w:r>
      <w:r>
        <w:rPr>
          <w:rStyle w:val="Funotenzeichen"/>
        </w:rPr>
        <w:footnoteReference w:id="1142"/>
      </w:r>
      <w:r>
        <w:t xml:space="preserve"> Im Jahr 2002 gab es eine Entscheidung des Rates </w:t>
      </w:r>
      <w:r w:rsidRPr="006469A5">
        <w:t xml:space="preserve">2002/358/EG </w:t>
      </w:r>
      <w:r>
        <w:t>(auf Vorschlag der Kommission, nach Stellungnahme des Europäischen Parlaments), mit unterschiedlich hohen Emissionsminderungsverpflichtungen.</w:t>
      </w:r>
      <w:r>
        <w:rPr>
          <w:rStyle w:val="Funotenzeichen"/>
        </w:rPr>
        <w:footnoteReference w:id="1143"/>
      </w:r>
      <w:r>
        <w:t xml:space="preserve"> Diese Entscheidung musste </w:t>
      </w:r>
      <w:r w:rsidR="005E1070">
        <w:t xml:space="preserve">also </w:t>
      </w:r>
      <w:r>
        <w:t xml:space="preserve">nicht </w:t>
      </w:r>
      <w:r w:rsidRPr="00313CFB">
        <w:t xml:space="preserve">durch das ganze </w:t>
      </w:r>
      <w:r w:rsidR="005E1070">
        <w:t>politische</w:t>
      </w:r>
      <w:r w:rsidRPr="00313CFB">
        <w:t xml:space="preserve"> System der EU </w:t>
      </w:r>
      <w:r>
        <w:t>hin</w:t>
      </w:r>
      <w:r w:rsidRPr="00313CFB">
        <w:t>durch</w:t>
      </w:r>
      <w:r>
        <w:t xml:space="preserve"> und nach </w:t>
      </w:r>
      <w:r w:rsidR="005E1070">
        <w:t>A</w:t>
      </w:r>
      <w:r>
        <w:t>rt. 3 und 4 w</w:t>
      </w:r>
      <w:r w:rsidR="005E1070">
        <w:t>ur</w:t>
      </w:r>
      <w:r>
        <w:t>d</w:t>
      </w:r>
      <w:r w:rsidR="005E1070">
        <w:t>e</w:t>
      </w:r>
      <w:r>
        <w:t xml:space="preserve"> der Kommission und einem Ausschuss die Entscheidungsfindung für weitere Emissionsreduzierungsverpflichtungen für spätere Zeiträume vorerst übergegeben.</w:t>
      </w:r>
      <w:r>
        <w:rPr>
          <w:rStyle w:val="Funotenzeichen"/>
        </w:rPr>
        <w:footnoteReference w:id="1144"/>
      </w:r>
      <w:r>
        <w:t xml:space="preserve"> Dazu gibt es später Änderungen, die jeweils als Entscheidung der Kommission, 2006/944/EG, 14. Dezember 2006, und als Durchführungsbeschluss 2013/644/EU, 8. November 2013,</w:t>
      </w:r>
      <w:r w:rsidRPr="00313CFB">
        <w:t xml:space="preserve"> </w:t>
      </w:r>
      <w:r>
        <w:t>veröffentlicht w</w:t>
      </w:r>
      <w:r w:rsidR="005E1070">
        <w:t>u</w:t>
      </w:r>
      <w:r>
        <w:t>rden, wobei bei es hier um den Beitritt neuer Länder ging. Veröffentlicht wurden 2006 und 2023 nicht mehr nur Prozentzahlen, Beispiel: Deutschland muss 79 % des Basisjahres 1990 erreichen, sondern absolute Zahlen für Emissionsobergrenzen, für Deutschland 4.868.096.694 Tonnen CO2, für den gesamten erste Kyoto-Verpflichtungszeitraum (2008-2012).</w:t>
      </w:r>
      <w:r>
        <w:rPr>
          <w:rStyle w:val="Funotenzeichen"/>
        </w:rPr>
        <w:footnoteReference w:id="1145"/>
      </w:r>
      <w:r>
        <w:t xml:space="preserve"> </w:t>
      </w:r>
    </w:p>
    <w:p w14:paraId="2C429525" w14:textId="77777777" w:rsidR="00112190" w:rsidRDefault="00112190" w:rsidP="00112190"/>
    <w:p w14:paraId="11606BC2" w14:textId="77777777" w:rsidR="00112190" w:rsidRDefault="00112190" w:rsidP="00112190">
      <w:r>
        <w:t xml:space="preserve">Die EU hatte für </w:t>
      </w:r>
      <w:r w:rsidRPr="00B31505">
        <w:rPr>
          <w:u w:val="single"/>
        </w:rPr>
        <w:t>den ersten Kyoto-Verpflichtungszeitraum 2008 bis 2012 8 % gemeinsame Reduktion zugesagt und als EU-15 eine 11,5 % Reduktion erreicht</w:t>
      </w:r>
      <w:r>
        <w:t>, ohne Wälder, die CO2 binden können (LULUCF) und ohne andere gehandelte Emissionsrechte einzubeziehen.</w:t>
      </w:r>
      <w:r>
        <w:rPr>
          <w:rStyle w:val="Funotenzeichen"/>
        </w:rPr>
        <w:footnoteReference w:id="1146"/>
      </w:r>
      <w:r>
        <w:t xml:space="preserve"> Die zweite Verpflichtungsperiode des Kyoto-Protokolls, </w:t>
      </w:r>
      <w:r w:rsidRPr="00B31505">
        <w:rPr>
          <w:u w:val="single"/>
        </w:rPr>
        <w:t>mit einer 20 % gemeinsamen Reduktion ging von 2013 bis 2020 und danach lief das Kyoto-Protokoll aus</w:t>
      </w:r>
      <w:r>
        <w:t>.</w:t>
      </w:r>
      <w:r>
        <w:rPr>
          <w:rStyle w:val="Funotenzeichen"/>
        </w:rPr>
        <w:footnoteReference w:id="1147"/>
      </w:r>
      <w:r>
        <w:t xml:space="preserve"> </w:t>
      </w:r>
    </w:p>
    <w:p w14:paraId="3B12B79C" w14:textId="77777777" w:rsidR="00112190" w:rsidRDefault="00112190" w:rsidP="00112190"/>
    <w:p w14:paraId="581AB61C" w14:textId="77777777" w:rsidR="00112190" w:rsidRDefault="00112190" w:rsidP="00112190">
      <w:r>
        <w:t>Im Jahr 2009 wurde eine EU-Richtlinie für erneuerbare Energien verabschiedet, Richtlinie 2009/28/EG</w:t>
      </w:r>
      <w:r>
        <w:rPr>
          <w:rStyle w:val="Funotenzeichen"/>
        </w:rPr>
        <w:footnoteReference w:id="1148"/>
      </w:r>
      <w:r>
        <w:t xml:space="preserve">, mit dem Ziel insgesamt für die EU erneuerbare Energien 20 % am Gesamtverbrauch </w:t>
      </w:r>
      <w:r>
        <w:lastRenderedPageBreak/>
        <w:t>von Energie erreichen zu lassen, im Verkehrsbereich 10 %, damals waren Biokraftstoffe gerade der letzte Schrei. Je nach Land gab es aber unterschiedliche Prozentwerte, welchen Anteil erneuerbare Energien bis 2020 erreicht haben müssen und jedes Land sollte einen Nationalen Aktionsplan Erneuerbare Energien (NAEE) entwickeln.</w:t>
      </w:r>
      <w:r>
        <w:rPr>
          <w:rStyle w:val="Funotenzeichen"/>
        </w:rPr>
        <w:footnoteReference w:id="1149"/>
      </w:r>
      <w:r>
        <w:t xml:space="preserve"> Ebenso im Jahr 2009 wurde eine Richtlinie für die geologische CO2-Speicherung (CSS) beschlossen.</w:t>
      </w:r>
      <w:r>
        <w:rPr>
          <w:rStyle w:val="Funotenzeichen"/>
        </w:rPr>
        <w:footnoteReference w:id="1150"/>
      </w:r>
    </w:p>
    <w:p w14:paraId="13C9333B" w14:textId="77777777" w:rsidR="00112190" w:rsidRDefault="00112190" w:rsidP="00112190"/>
    <w:p w14:paraId="28BF16DB" w14:textId="38F1C9BD" w:rsidR="00112190" w:rsidRDefault="00112190" w:rsidP="00112190">
      <w:r>
        <w:t>In der Kommission gibt es seit 2010 einen speziellen Klimakommissar und eine Generaldirektion Klima.</w:t>
      </w:r>
      <w:r>
        <w:rPr>
          <w:rStyle w:val="Funotenzeichen"/>
        </w:rPr>
        <w:footnoteReference w:id="1151"/>
      </w:r>
      <w:r>
        <w:t xml:space="preserve"> Klimakommissar ist </w:t>
      </w:r>
      <w:r w:rsidR="009D0E0A">
        <w:t xml:space="preserve">aktuell </w:t>
      </w:r>
      <w:proofErr w:type="spellStart"/>
      <w:r>
        <w:t>Wobke</w:t>
      </w:r>
      <w:proofErr w:type="spellEnd"/>
      <w:r>
        <w:t xml:space="preserve"> Hoekstra, ein ehemaliger Shell- und McKinsey Mitarbeiter, Stand Oktober 2023</w:t>
      </w:r>
      <w:r>
        <w:rPr>
          <w:rStyle w:val="Funotenzeichen"/>
        </w:rPr>
        <w:footnoteReference w:id="1152"/>
      </w:r>
      <w:r w:rsidR="001A182A">
        <w:t>, auch in der zweiten Amtsperiode von Ursula von der Leyen.</w:t>
      </w:r>
      <w:r w:rsidR="001A182A">
        <w:rPr>
          <w:rStyle w:val="Funotenzeichen"/>
        </w:rPr>
        <w:footnoteReference w:id="1153"/>
      </w:r>
      <w:r>
        <w:t xml:space="preserve"> </w:t>
      </w:r>
    </w:p>
    <w:p w14:paraId="45DCA0C8" w14:textId="77777777" w:rsidR="00112190" w:rsidRDefault="00112190" w:rsidP="00112190"/>
    <w:p w14:paraId="3C10EE99" w14:textId="640CC811" w:rsidR="00112190" w:rsidRDefault="00112190" w:rsidP="00112190">
      <w:r>
        <w:t xml:space="preserve">Schon 2012 gab es z.B. ein </w:t>
      </w:r>
      <w:r w:rsidR="009D0E0A">
        <w:t>NER-300-</w:t>
      </w:r>
      <w:r>
        <w:t>Förderprogramm für erneuerbare Energien und u.a. CSS-Speicherprojekte</w:t>
      </w:r>
      <w:r w:rsidR="009D0E0A">
        <w:t xml:space="preserve">, es wurde </w:t>
      </w:r>
      <w:r>
        <w:t>damals finanziert aus dem Verkauf von Zertifikaten im Emissionshandelssystem.</w:t>
      </w:r>
      <w:r>
        <w:rPr>
          <w:rStyle w:val="Funotenzeichen"/>
        </w:rPr>
        <w:footnoteReference w:id="1154"/>
      </w:r>
      <w:r>
        <w:t xml:space="preserve"> Z.B. ist der deutsche Offshore-Windpark Veja Mate</w:t>
      </w:r>
      <w:r w:rsidR="001B3F49">
        <w:t>, in Betrieb seit 2017</w:t>
      </w:r>
      <w:r>
        <w:rPr>
          <w:rStyle w:val="Funotenzeichen"/>
        </w:rPr>
        <w:footnoteReference w:id="1155"/>
      </w:r>
      <w:r>
        <w:t xml:space="preserve"> mit 112 Mill. Euro gefördert worden, siehe Projektliste 1.</w:t>
      </w:r>
      <w:r>
        <w:rPr>
          <w:rStyle w:val="Funotenzeichen"/>
        </w:rPr>
        <w:footnoteReference w:id="1156"/>
      </w:r>
      <w:r>
        <w:t xml:space="preserve"> Die Fördersummen lagen zwischen 10 Mill. und 1170 Mill. Euro. Das einzige </w:t>
      </w:r>
      <w:proofErr w:type="gramStart"/>
      <w:r>
        <w:t>CSS Projekt</w:t>
      </w:r>
      <w:proofErr w:type="gramEnd"/>
      <w:r>
        <w:t>, siehe die Projektliste 2</w:t>
      </w:r>
      <w:r>
        <w:rPr>
          <w:rStyle w:val="Funotenzeichen"/>
        </w:rPr>
        <w:footnoteReference w:id="1157"/>
      </w:r>
      <w:r>
        <w:t xml:space="preserve"> ist allerdings gescheitert, das White Rose Projekt</w:t>
      </w:r>
      <w:r>
        <w:rPr>
          <w:rStyle w:val="Funotenzeichen"/>
        </w:rPr>
        <w:footnoteReference w:id="1158"/>
      </w:r>
      <w:r>
        <w:t>, mit 40 Mill. Euro wurde der Mazara Solar Park in Sizilien gefördert, der heute exklusiv Amazon mit Strom beliefert.</w:t>
      </w:r>
      <w:r>
        <w:rPr>
          <w:rStyle w:val="Funotenzeichen"/>
        </w:rPr>
        <w:footnoteReference w:id="1159"/>
      </w:r>
      <w:r>
        <w:t xml:space="preserve"> </w:t>
      </w:r>
    </w:p>
    <w:p w14:paraId="709E4A88" w14:textId="77777777" w:rsidR="00112190" w:rsidRDefault="00112190" w:rsidP="00112190"/>
    <w:p w14:paraId="4AC021FC" w14:textId="77777777" w:rsidR="00FF4D78" w:rsidRDefault="00112190" w:rsidP="00112190">
      <w:r>
        <w:t xml:space="preserve">Im Jahr 2014 wurde vom Europäischen Rat (EU-Gipfel der Staats- und Regierungschefs) vom 23./24. Oktober 2014 ein Rahmen für die Klima- und Energiepolitik bis 2030 beschlossen, </w:t>
      </w:r>
      <w:r w:rsidRPr="00FF4D78">
        <w:t>mit dem Minderungszielen für Treibhausgasemissionen von 40 % bis zum Jahr 2030 weniger als 1990, einem Anteilsziel von erneuerbaren Energien am Energieverbrauch von 27 % und einem Energieeffizienzziel von 27 %</w:t>
      </w:r>
      <w:r>
        <w:t>.</w:t>
      </w:r>
      <w:r>
        <w:rPr>
          <w:rStyle w:val="Funotenzeichen"/>
        </w:rPr>
        <w:footnoteReference w:id="1160"/>
      </w:r>
      <w:r>
        <w:t xml:space="preserve"> </w:t>
      </w:r>
      <w:r w:rsidR="00FF4D78" w:rsidRPr="00FF4D78">
        <w:rPr>
          <w:u w:val="single"/>
        </w:rPr>
        <w:t>Diese Ziele sind nicht mehr aktuell</w:t>
      </w:r>
      <w:r w:rsidR="00FF4D78">
        <w:t xml:space="preserve">. </w:t>
      </w:r>
    </w:p>
    <w:p w14:paraId="283FF6EC" w14:textId="77777777" w:rsidR="00FF4D78" w:rsidRDefault="00FF4D78" w:rsidP="00112190"/>
    <w:p w14:paraId="039E3347" w14:textId="439D4BB6" w:rsidR="00112190" w:rsidRDefault="00FF4D78" w:rsidP="00112190">
      <w:r>
        <w:t xml:space="preserve">Klimaneutralität bis 2050. </w:t>
      </w:r>
      <w:r w:rsidR="00112190">
        <w:t xml:space="preserve">2019 haben </w:t>
      </w:r>
      <w:proofErr w:type="gramStart"/>
      <w:r w:rsidR="00112190">
        <w:t>die Staats</w:t>
      </w:r>
      <w:proofErr w:type="gramEnd"/>
      <w:r w:rsidR="00112190">
        <w:t xml:space="preserve"> und Regierungschef in der Schlussfolgerung des EU-Gipfels bzw. dem Europäischen Rat, am 12. Dezember 2019 </w:t>
      </w:r>
      <w:r w:rsidR="00112190" w:rsidRPr="00D53D1F">
        <w:rPr>
          <w:b/>
          <w:bCs/>
          <w:u w:val="single"/>
        </w:rPr>
        <w:t>das Ziel der Klimaneutralität bis 2050 unterstützt</w:t>
      </w:r>
      <w:r w:rsidR="00112190">
        <w:t>. Sie haben die Europäische Kommission aufgefordert, dazu ein Programm aufzulegen</w:t>
      </w:r>
      <w:r w:rsidR="00112190">
        <w:rPr>
          <w:rStyle w:val="Funotenzeichen"/>
        </w:rPr>
        <w:footnoteReference w:id="1161"/>
      </w:r>
      <w:r w:rsidR="00112190">
        <w:t xml:space="preserve">, dies ist der Green Deal geworden. </w:t>
      </w:r>
      <w:r>
        <w:t xml:space="preserve">Soweit einmal zum Initiativrecht der Kommission, es hat also nicht nur Kommissionspräsidentin Ursula von der Leyen, sondern alle europäischen Staaten haben den Green Deal gewollt.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6721E59C" w14:textId="77777777" w:rsidR="00112190" w:rsidRDefault="00112190" w:rsidP="00112190"/>
    <w:p w14:paraId="34900E03" w14:textId="20CE8C36" w:rsidR="007E47EB" w:rsidRDefault="007E47EB" w:rsidP="00112190">
      <w:bookmarkStart w:id="59" w:name="_Hlk202700959"/>
      <w:r>
        <w:t xml:space="preserve">Am 2. Juni 2025 hat die Europäische Kommission nun ein </w:t>
      </w:r>
      <w:r w:rsidR="00BC6100">
        <w:t xml:space="preserve">weiteres </w:t>
      </w:r>
      <w:r>
        <w:t xml:space="preserve">Zwischenziel </w:t>
      </w:r>
      <w:r w:rsidRPr="007E47EB">
        <w:rPr>
          <w:b/>
          <w:bCs/>
        </w:rPr>
        <w:t>vorgeschlagen</w:t>
      </w:r>
      <w:r>
        <w:t>, von 90 % weniger Treibhausgasemissionen bis 2040</w:t>
      </w:r>
      <w:r w:rsidR="005A2C3F">
        <w:t>, siehe diesen FAZ-Artikel</w:t>
      </w:r>
      <w:r w:rsidR="00BC6100">
        <w:t xml:space="preserve"> zu diesem Abschnitt:</w:t>
      </w:r>
      <w:r w:rsidR="005A2C3F">
        <w:rPr>
          <w:rStyle w:val="Funotenzeichen"/>
        </w:rPr>
        <w:footnoteReference w:id="1162"/>
      </w:r>
      <w:r>
        <w:t xml:space="preserve"> Dieser Vorschlag wird nun an das Europäische Parlament und den Rat der Europäischen Union weitergeleitet </w:t>
      </w:r>
      <w:proofErr w:type="gramStart"/>
      <w:r>
        <w:t>zu weiteren Beschlussfassung</w:t>
      </w:r>
      <w:proofErr w:type="gramEnd"/>
      <w:r w:rsidR="005A2C3F">
        <w:t xml:space="preserve">. Frankreich, Polen und andere EU-Staaten haben sich dagegen ausgesprochen. Diess Ziel soll im Durchschnitt alle EU-Staaten erreicht werden. Die EU-Kommission will diese Zielerreichung erleichtern, indem CO2-Gutschriften angerechnet werden können. Die Details sind dazu allerdings noch ‚völlig‘ unklar. Die ersten Infos sind, dass diese CO2-Gutschriften erst ab 2036 gelten sollen, sich nicht auf das EU-Emissionshandelssystem ETS anrechnen lassen sollen (dann aber wohl </w:t>
      </w:r>
      <w:proofErr w:type="gramStart"/>
      <w:r w:rsidR="005A2C3F">
        <w:t>auf den staatlichen Ziele</w:t>
      </w:r>
      <w:proofErr w:type="gramEnd"/>
      <w:r w:rsidR="005A2C3F">
        <w:t xml:space="preserve">) und es sollen nicht mehr als 3 % der Reduktionsverpflichtungen (Basis Emissionen 1990, das ist viel) </w:t>
      </w:r>
      <w:proofErr w:type="gramStart"/>
      <w:r w:rsidR="005A2C3F">
        <w:t>darunter fallen</w:t>
      </w:r>
      <w:proofErr w:type="gramEnd"/>
      <w:r w:rsidR="005A2C3F">
        <w:t xml:space="preserve">. Und es geht offenbar um ein weltweites System, das sich an Art. 6 (siehe oben) anlehnt. </w:t>
      </w:r>
      <w:r w:rsidR="005A2C3F" w:rsidRPr="00BC6100">
        <w:rPr>
          <w:u w:val="single"/>
        </w:rPr>
        <w:t>Die Details sollen in der zweiten Hälfte von 2025 ausgearbeitet sein</w:t>
      </w:r>
      <w:r w:rsidR="00BC6100">
        <w:t>, siehe diesen FAZ-Artikel.</w:t>
      </w:r>
      <w:r w:rsidR="00BC6100">
        <w:rPr>
          <w:rStyle w:val="Funotenzeichen"/>
        </w:rPr>
        <w:footnoteReference w:id="1163"/>
      </w:r>
      <w:r w:rsidR="00BC0F2D">
        <w:t xml:space="preserve"> </w:t>
      </w:r>
    </w:p>
    <w:bookmarkEnd w:id="59"/>
    <w:p w14:paraId="7AB54B02" w14:textId="77777777" w:rsidR="007E47EB" w:rsidRDefault="007E47EB" w:rsidP="00112190"/>
    <w:p w14:paraId="5425932D" w14:textId="173CF722" w:rsidR="00D53D1F" w:rsidRDefault="00D53D1F" w:rsidP="00112190">
      <w:r>
        <w:t xml:space="preserve">Zum Vergleich nochmal: Das deutsche Klimaschutzgesetz besagt, </w:t>
      </w:r>
      <w:r w:rsidRPr="00D53D1F">
        <w:rPr>
          <w:u w:val="single"/>
        </w:rPr>
        <w:t xml:space="preserve">dass bis 2030 die Treibhausgase mindestens um 65 % und bis 2040 um 88 % gemindert und bis 2045 soll Treibhausgasneutralität </w:t>
      </w:r>
      <w:r w:rsidRPr="00D53D1F">
        <w:rPr>
          <w:u w:val="single"/>
        </w:rPr>
        <w:lastRenderedPageBreak/>
        <w:t>erreicht werden (wohlgemerkt 5 Jahre früher als die EU-Vorgabe). 2050 sollen negative Treibhausemissionen erreicht werden</w:t>
      </w:r>
      <w:r>
        <w:t>.</w:t>
      </w:r>
      <w:r>
        <w:rPr>
          <w:rStyle w:val="Funotenzeichen"/>
        </w:rPr>
        <w:footnoteReference w:id="1164"/>
      </w:r>
    </w:p>
    <w:p w14:paraId="5714373C" w14:textId="77777777" w:rsidR="00D53D1F" w:rsidRDefault="00D53D1F" w:rsidP="00112190"/>
    <w:p w14:paraId="1A728211" w14:textId="7A376140" w:rsidR="00112190" w:rsidRDefault="005C4480" w:rsidP="00112190">
      <w:proofErr w:type="gramStart"/>
      <w:r>
        <w:t>ETS Geschichte</w:t>
      </w:r>
      <w:proofErr w:type="gramEnd"/>
      <w:r>
        <w:t xml:space="preserve"> und aktuelle Effort Sharing </w:t>
      </w:r>
      <w:proofErr w:type="spellStart"/>
      <w:r>
        <w:t>Decision</w:t>
      </w:r>
      <w:proofErr w:type="spellEnd"/>
      <w:r>
        <w:t xml:space="preserve">. </w:t>
      </w:r>
      <w:r w:rsidR="00112190">
        <w:t xml:space="preserve">Schon 2003 ist auf der </w:t>
      </w:r>
      <w:proofErr w:type="gramStart"/>
      <w:r w:rsidR="00112190">
        <w:t>EU Ebene</w:t>
      </w:r>
      <w:proofErr w:type="gramEnd"/>
      <w:r w:rsidR="00112190">
        <w:t xml:space="preserve"> ein Emissionshandelssystem (EU-ETS) eingeführt worden, das danach mehrfach verändert bzw. angepasst wurde</w:t>
      </w:r>
      <w:r w:rsidR="00112190">
        <w:rPr>
          <w:rStyle w:val="Funotenzeichen"/>
        </w:rPr>
        <w:footnoteReference w:id="1165"/>
      </w:r>
      <w:r w:rsidR="00112190">
        <w:t>, siehe für eine genaue Geschichte Weishaar (2020)</w:t>
      </w:r>
      <w:r w:rsidR="00112190">
        <w:rPr>
          <w:rStyle w:val="Funotenzeichen"/>
        </w:rPr>
        <w:footnoteReference w:id="1166"/>
      </w:r>
      <w:r w:rsidR="00112190">
        <w:t xml:space="preserve">, zum ETS am Ende dieses Abschnitts mehr.  Grund dafür war damals auch, dass im Kyoto-Protokoll, Art. 7, ein Handel mit Emissionen erlaubt wurde (mit sog. </w:t>
      </w:r>
      <w:proofErr w:type="spellStart"/>
      <w:r w:rsidR="00112190">
        <w:t>assigned</w:t>
      </w:r>
      <w:proofErr w:type="spellEnd"/>
      <w:r w:rsidR="00112190">
        <w:t xml:space="preserve"> </w:t>
      </w:r>
      <w:proofErr w:type="spellStart"/>
      <w:r w:rsidR="00112190">
        <w:t>amount</w:t>
      </w:r>
      <w:proofErr w:type="spellEnd"/>
      <w:r w:rsidR="00112190">
        <w:t xml:space="preserve"> </w:t>
      </w:r>
      <w:proofErr w:type="spellStart"/>
      <w:r w:rsidR="00112190">
        <w:t>units</w:t>
      </w:r>
      <w:proofErr w:type="spellEnd"/>
      <w:r w:rsidR="00112190">
        <w:t>, AAU, die für 1 Tonne CO2 standen).</w:t>
      </w:r>
      <w:r w:rsidR="00112190">
        <w:rPr>
          <w:rStyle w:val="Funotenzeichen"/>
        </w:rPr>
        <w:footnoteReference w:id="1167"/>
      </w:r>
      <w:r w:rsidR="00112190">
        <w:t xml:space="preserve"> Das EU-ETS gilt europaweit für ca. 10.600 Firmen, große Firmen aus Energiewirtschaft (also die Stromerzeuger u.a.) und Industrie. Zum ETS gibt es weiter unten mehr Informationen. Wichtig ist an dieser Stelle erst einmal, dass das EU-ETS europaweit gilt. Schritt-für-Schritt soll die Menge an Emissionszertifikaten sinken, der Preis steigen und die Industrie dann einsehen, dass sie die Produktion umstellen muss.</w:t>
      </w:r>
      <w:r w:rsidR="00112190">
        <w:rPr>
          <w:rStyle w:val="Funotenzeichen"/>
        </w:rPr>
        <w:footnoteReference w:id="1168"/>
      </w:r>
      <w:r w:rsidR="00112190">
        <w:t xml:space="preserve">  </w:t>
      </w:r>
    </w:p>
    <w:p w14:paraId="35F48B56" w14:textId="77777777" w:rsidR="00112190" w:rsidRDefault="00112190" w:rsidP="00112190"/>
    <w:p w14:paraId="01922ED3" w14:textId="77777777" w:rsidR="00112190" w:rsidRDefault="00112190" w:rsidP="00112190">
      <w:r>
        <w:t xml:space="preserve">Ungefähr wird immer gesagt, dass der EU-ETS Bereich für 40 % der Emissionen aufkommt. Der andere Bereich, 60 % der </w:t>
      </w:r>
      <w:proofErr w:type="gramStart"/>
      <w:r>
        <w:t>Emissionen,  sind</w:t>
      </w:r>
      <w:proofErr w:type="gramEnd"/>
      <w:r>
        <w:t xml:space="preserve"> Verkehr, Gebäudeheizung, Kühlenergie, kleinere Firmen, Dienstleistungen, Landwirtschaft, Abfall, die erstmal nicht unter das ETS gefallen sind.</w:t>
      </w:r>
      <w:r>
        <w:rPr>
          <w:rStyle w:val="Funotenzeichen"/>
        </w:rPr>
        <w:footnoteReference w:id="1169"/>
      </w:r>
      <w:r>
        <w:t xml:space="preserve"> </w:t>
      </w:r>
    </w:p>
    <w:p w14:paraId="601AFA31" w14:textId="77777777" w:rsidR="00112190" w:rsidRDefault="00112190" w:rsidP="00112190"/>
    <w:p w14:paraId="05FD03B8" w14:textId="77777777" w:rsidR="00112190" w:rsidRDefault="00112190" w:rsidP="00112190">
      <w:r>
        <w:t xml:space="preserve">Deshalb musste der Bereich Verkehr, Gebäudeheizung etc. von der EU ab irgendeinem Zeitpunkt an extra reguliert werden, dies nennt sich </w:t>
      </w:r>
      <w:r w:rsidRPr="00D1256A">
        <w:t xml:space="preserve">Effort Sharing Regulation / Lastenverteilungsregulierung </w:t>
      </w:r>
      <w:r>
        <w:t>(und auch EU-Klimaschutzverordnung). Die erste Regulierung ist Entscheidung 406/2009/EG des Europäischen Parlaments und Rats und sie wurde vom Europäische Rat am 23. April 2009 beschlossen. Bis 2020 sollten die Treibhausemissionen damals um 20 % zu reduziert werden (Basisjahr 1990), hier werden Obergrenzen in Prozent Minderung für 2020 (bezogen auf 2005) veröffentlicht, Deutschland mit – 14 %.</w:t>
      </w:r>
      <w:r>
        <w:rPr>
          <w:rStyle w:val="Funotenzeichen"/>
        </w:rPr>
        <w:footnoteReference w:id="1170"/>
      </w:r>
      <w:r>
        <w:t xml:space="preserve"> </w:t>
      </w:r>
    </w:p>
    <w:p w14:paraId="56846795" w14:textId="77777777" w:rsidR="00112190" w:rsidRDefault="00112190" w:rsidP="00112190"/>
    <w:p w14:paraId="3086B2BF" w14:textId="77777777" w:rsidR="00112190" w:rsidRDefault="00112190" w:rsidP="00112190">
      <w:r>
        <w:t xml:space="preserve">In dieser Entscheidung (Effort Sharing </w:t>
      </w:r>
      <w:proofErr w:type="spellStart"/>
      <w:r>
        <w:t>Decision</w:t>
      </w:r>
      <w:proofErr w:type="spellEnd"/>
      <w:r>
        <w:t xml:space="preserve">) steht angeblich auch drin, dass von den 20 % Reduktionen 10 % von den </w:t>
      </w:r>
      <w:proofErr w:type="gramStart"/>
      <w:r>
        <w:t>ETS Sektoren</w:t>
      </w:r>
      <w:proofErr w:type="gramEnd"/>
      <w:r>
        <w:t xml:space="preserve"> getragen werden müssen.</w:t>
      </w:r>
      <w:r>
        <w:rPr>
          <w:rStyle w:val="Funotenzeichen"/>
        </w:rPr>
        <w:footnoteReference w:id="1171"/>
      </w:r>
      <w:r>
        <w:t xml:space="preserve"> Der Europäische Rat vom </w:t>
      </w:r>
      <w:r>
        <w:lastRenderedPageBreak/>
        <w:t>23./24. Oktober 2024 schreibt, dass das ETS bis 2030 eine Reduzierung von 43 % und das ETS 2 eine Reduzierung von 30 % gegenüber 2005 erreichen sollte.</w:t>
      </w:r>
      <w:r>
        <w:rPr>
          <w:rStyle w:val="Funotenzeichen"/>
        </w:rPr>
        <w:footnoteReference w:id="1172"/>
      </w:r>
    </w:p>
    <w:p w14:paraId="3A840747" w14:textId="77777777" w:rsidR="00112190" w:rsidRDefault="00112190" w:rsidP="00112190"/>
    <w:p w14:paraId="761809FA" w14:textId="77777777" w:rsidR="00112190" w:rsidRDefault="00112190" w:rsidP="00112190">
      <w:r>
        <w:t>Schließlich gibt es noch die Emissionen, die aus Landnutzungsänderungen und Forstwirtschaft entstehen, um alle Emissionsquellen abzudecken, diese werden in Verordnung 2028/841 neu geregelt, der sog. LULUCF-Bereich</w:t>
      </w:r>
      <w:r>
        <w:rPr>
          <w:rStyle w:val="Funotenzeichen"/>
        </w:rPr>
        <w:footnoteReference w:id="1173"/>
      </w:r>
      <w:r>
        <w:t xml:space="preserve">, und hier nicht näher betrachtet. </w:t>
      </w:r>
    </w:p>
    <w:p w14:paraId="1343BE33" w14:textId="77777777" w:rsidR="00112190" w:rsidRDefault="00112190" w:rsidP="00112190"/>
    <w:p w14:paraId="28E4601A" w14:textId="36B10095" w:rsidR="00112190" w:rsidRDefault="00112190" w:rsidP="00112190">
      <w:r>
        <w:t>Noch standen in diesen</w:t>
      </w:r>
      <w:r w:rsidR="001A182A">
        <w:t xml:space="preserve"> gerade genannten</w:t>
      </w:r>
      <w:r>
        <w:t xml:space="preserve"> Dokumenten keine absoluten Zahlen für zugelassene Emissionen und auch nicht solche auf Länderebene (aber, wie eben gezeigt, in den Regulierungen, die das Kyoto-Abkommen umgesetzt haben</w:t>
      </w:r>
      <w:r w:rsidR="001A182A">
        <w:t>, gab es solche Zahlen</w:t>
      </w:r>
      <w:r>
        <w:rPr>
          <w:rStyle w:val="Funotenzeichen"/>
        </w:rPr>
        <w:footnoteReference w:id="1174"/>
      </w:r>
      <w:r>
        <w:t xml:space="preserve">) – sondern Reduktionsprozentzahlen – natürlich waren die absoluten Zahlen innerhalb der EU bekannt, aber es war eben für die Öffentlichkeit nicht so direkt und leicht ablesbar, wie dies jetzt ist: </w:t>
      </w:r>
    </w:p>
    <w:p w14:paraId="5C479A6A" w14:textId="77777777" w:rsidR="00112190" w:rsidRDefault="00112190" w:rsidP="00112190"/>
    <w:p w14:paraId="41FBAD99" w14:textId="6CEF4AA8" w:rsidR="00112190" w:rsidRDefault="00112190" w:rsidP="00112190">
      <w:r>
        <w:t xml:space="preserve">Dies geschah erst 2018 in einer weiteren Effort Sharing Regulation / Lastenverteilungsregulierung (auch genannt EU-Klimaschutzverordnung – die dort enthaltenen Ziele werden auch als ESR </w:t>
      </w:r>
      <w:proofErr w:type="spellStart"/>
      <w:r>
        <w:t>targets</w:t>
      </w:r>
      <w:proofErr w:type="spellEnd"/>
      <w:r>
        <w:t xml:space="preserve"> abgekürzt) Verordnung (EU) 2018/842, 30. Mai 2018.</w:t>
      </w:r>
      <w:r>
        <w:rPr>
          <w:rStyle w:val="Funotenzeichen"/>
        </w:rPr>
        <w:footnoteReference w:id="1175"/>
      </w:r>
      <w:r>
        <w:t xml:space="preserve"> </w:t>
      </w:r>
      <w:r w:rsidR="00B32A9C">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t xml:space="preserve">In dieser Verordnung werden zudem diverse Flexibilitätsmöglichkeiten eröffnet, die Mitgliedsländer können jemand </w:t>
      </w:r>
      <w:r w:rsidR="00B32A9C">
        <w:t xml:space="preserve">Emissionsmöglichkeiten </w:t>
      </w:r>
      <w:r>
        <w:t xml:space="preserve">übertragen, 2021 bis 2025 bis zu 5% und 2026-2030 bis 10 %, wenn man darunter liegt, von 2021 bis 2025 kann man bis 10 % der jährliche Menge vorwegnehmen, von 2026 bis 2029 bis 5 %, es gibt u.a. eine Sicherheitsreserve für ärmere Länder für 2032, dies kann hier nicht einzeln dargestellt werden. In dieser Verordnung hat die Kommission nach Art. 13 die Befugnis delegierter Rechtsakte, etwa in Art. 10 die </w:t>
      </w:r>
      <w:proofErr w:type="gramStart"/>
      <w:r>
        <w:t>ETS Zertifikate</w:t>
      </w:r>
      <w:proofErr w:type="gramEnd"/>
      <w:r>
        <w:t xml:space="preserve"> einzubeziehen und generell die neuesten Mengen zu berechnen. Abhilfemaßnahmen in Art. 8 sind jährliche Bewertungen durch die Kommission, ein Plan für Abhilfe soll durch den Mitgliedstaat vorgelegt werden, Aktionen sollen erfolgen, ein strikter Zeitplan soll dafür vorgelegt werden, die Europäische Umweltagentur soll bei der Bewertung des Plans unterstützen. Zuletzt kann die Kommission </w:t>
      </w:r>
      <w:proofErr w:type="gramStart"/>
      <w:r>
        <w:t>eine Stellungnahmen</w:t>
      </w:r>
      <w:proofErr w:type="gramEnd"/>
      <w:r>
        <w:t xml:space="preserve"> zu den Plänen abgeben, auf die die Mitgliedstaaten wiederum reagieren müssen. Bis hier her ist noch alles kooperativ angelegt, umso erstaunlicher ist es, dass es noch eine Art Strafmechanismus gibt: </w:t>
      </w:r>
      <w:r w:rsidRPr="00E761B6">
        <w:rPr>
          <w:u w:val="single"/>
        </w:rPr>
        <w:t>Art. 9 Compliance Kontrolle</w:t>
      </w:r>
      <w:r>
        <w:rPr>
          <w:u w:val="single"/>
        </w:rPr>
        <w:t xml:space="preserve"> </w:t>
      </w:r>
      <w:r>
        <w:t xml:space="preserve">bedeutet, dass </w:t>
      </w:r>
      <w:r>
        <w:rPr>
          <w:u w:val="single"/>
        </w:rPr>
        <w:t>2027 und 2032</w:t>
      </w:r>
      <w:r w:rsidRPr="007B3BDD">
        <w:rPr>
          <w:u w:val="single"/>
        </w:rPr>
        <w:t xml:space="preserve">, </w:t>
      </w:r>
      <w:r>
        <w:rPr>
          <w:u w:val="single"/>
        </w:rPr>
        <w:t xml:space="preserve">wenn die Emissionsmenge </w:t>
      </w:r>
      <w:proofErr w:type="gramStart"/>
      <w:r>
        <w:rPr>
          <w:u w:val="single"/>
        </w:rPr>
        <w:t>über der erlaubten Mengen</w:t>
      </w:r>
      <w:proofErr w:type="gramEnd"/>
      <w:r>
        <w:rPr>
          <w:u w:val="single"/>
        </w:rPr>
        <w:t xml:space="preserve"> liegt und die Flexibilitätsmechanismen ausgenutzt wurden, dass dann eine Art Strafe erfolgt: Die Zahl der darüberliegenden Emissionen, w</w:t>
      </w:r>
      <w:r w:rsidR="00B32A9C">
        <w:rPr>
          <w:u w:val="single"/>
        </w:rPr>
        <w:t>e</w:t>
      </w:r>
      <w:r>
        <w:rPr>
          <w:u w:val="single"/>
        </w:rPr>
        <w:t>rd</w:t>
      </w:r>
      <w:r w:rsidR="00B32A9C">
        <w:rPr>
          <w:u w:val="single"/>
        </w:rPr>
        <w:t>en</w:t>
      </w:r>
      <w:r w:rsidRPr="007B3BDD">
        <w:rPr>
          <w:u w:val="single"/>
        </w:rPr>
        <w:t xml:space="preserve"> mit dem Faktor 1,08 multip</w:t>
      </w:r>
      <w:r>
        <w:rPr>
          <w:u w:val="single"/>
        </w:rPr>
        <w:t>l</w:t>
      </w:r>
      <w:r w:rsidRPr="007B3BDD">
        <w:rPr>
          <w:u w:val="single"/>
        </w:rPr>
        <w:t xml:space="preserve">iziert, </w:t>
      </w:r>
      <w:r>
        <w:rPr>
          <w:u w:val="single"/>
        </w:rPr>
        <w:t xml:space="preserve">also dadurch noch ein wenig erhöht und dann </w:t>
      </w:r>
      <w:r w:rsidR="00B32A9C">
        <w:rPr>
          <w:u w:val="single"/>
        </w:rPr>
        <w:t>zur</w:t>
      </w:r>
      <w:r>
        <w:rPr>
          <w:u w:val="single"/>
        </w:rPr>
        <w:t xml:space="preserve"> bestehenden </w:t>
      </w:r>
      <w:r w:rsidRPr="007B3BDD">
        <w:rPr>
          <w:u w:val="single"/>
        </w:rPr>
        <w:t xml:space="preserve">Emissionsmenge </w:t>
      </w:r>
      <w:r>
        <w:rPr>
          <w:u w:val="single"/>
        </w:rPr>
        <w:t>addiert. Zusätzlich wird es untersagt, diese Emissionen an einen anderen Mitgliedstaat zu übertragen, der noch Spielräume hat</w:t>
      </w:r>
      <w:r w:rsidRPr="007B3BDD">
        <w:rPr>
          <w:u w:val="single"/>
        </w:rPr>
        <w:t>.</w:t>
      </w:r>
      <w:r>
        <w:t xml:space="preserve"> Eingesparte Emissionen werden für die nächste Zeitperiode abgezogen. Generell wird die Kommission, siehe Art. 14, unterstützt von einem Ausschuss für Klimaänderung, der von Verordnung (EU) 525/2013 eingesetzt wurde, ein Ausschuss i.S. der Verordnung (EU) 182/2011. Generell ist in Art. 15 eine Überprüfung / Review durch die Kommission vorgesehen, die dem Parlament und Rat vorgelegt wird, um die Situation ggf. umfassend neu zu bewerten.</w:t>
      </w:r>
      <w:r>
        <w:rPr>
          <w:rStyle w:val="Funotenzeichen"/>
        </w:rPr>
        <w:footnoteReference w:id="1176"/>
      </w:r>
      <w:r>
        <w:t xml:space="preserve"> </w:t>
      </w:r>
      <w:r w:rsidRPr="004E3B5C">
        <w:t>Die Effort Sharing Regulation von 2018 wird nun</w:t>
      </w:r>
      <w:r>
        <w:t xml:space="preserve"> novelliert durch Verordnung (EU) 2023/857, 19. April 20</w:t>
      </w:r>
      <w:r w:rsidR="0010794A">
        <w:t>2</w:t>
      </w:r>
      <w:r>
        <w:t xml:space="preserve">3, somit befindet sich </w:t>
      </w:r>
      <w:r>
        <w:lastRenderedPageBreak/>
        <w:t>neuerdings in Verordnung (EU) 2018/842, 30. April 2018, ein erweiterter</w:t>
      </w:r>
      <w:r w:rsidRPr="008F24B4">
        <w:t xml:space="preserve"> Art. 8</w:t>
      </w:r>
      <w:r>
        <w:t xml:space="preserve">, </w:t>
      </w:r>
      <w:r w:rsidRPr="008F24B4">
        <w:t>Abhilfemaßnahmen</w:t>
      </w:r>
      <w:r>
        <w:t xml:space="preserve">, der </w:t>
      </w:r>
      <w:r w:rsidRPr="008F24B4">
        <w:t xml:space="preserve">eine Bewertung, Vorschläge und </w:t>
      </w:r>
      <w:r w:rsidRPr="00640EDB">
        <w:rPr>
          <w:u w:val="single"/>
        </w:rPr>
        <w:t>Hilfsangebote durch die Kommission</w:t>
      </w:r>
      <w:r w:rsidRPr="008F24B4">
        <w:t xml:space="preserve"> vor</w:t>
      </w:r>
      <w:r>
        <w:t>sieht (und es wurden neue Flexibilitätsmöglichkeiten eröffnet, die hier nicht dargestellt werden).</w:t>
      </w:r>
      <w:r>
        <w:rPr>
          <w:rStyle w:val="Funotenzeichen"/>
        </w:rPr>
        <w:footnoteReference w:id="1177"/>
      </w:r>
      <w:r>
        <w:t xml:space="preserve"> Dort ist die Rede davon, dass die Effort Sharing Sektoren bis 2030 eine Senkung von 40 % gegenüber 2005 erreichen müssen, um das -55 % Ziel bis 2030 zu erreichen.</w:t>
      </w:r>
      <w:r>
        <w:rPr>
          <w:rStyle w:val="Funotenzeichen"/>
        </w:rPr>
        <w:footnoteReference w:id="1178"/>
      </w:r>
      <w:r>
        <w:t xml:space="preserve"> Siehe dazu auch gleich das schon 2018 verabschiedete </w:t>
      </w:r>
      <w:proofErr w:type="spellStart"/>
      <w:r>
        <w:t>Governance</w:t>
      </w:r>
      <w:proofErr w:type="spellEnd"/>
      <w:r>
        <w:t xml:space="preserve">-System für die Energieunion, die bereits das Konzept von Bewertung, Vorschlägen, Reaktion darauf und Hilfsangeboten enthält. </w:t>
      </w:r>
    </w:p>
    <w:p w14:paraId="6F3F9F4B" w14:textId="77777777" w:rsidR="00112190" w:rsidRDefault="00112190" w:rsidP="00112190"/>
    <w:p w14:paraId="76CF02D8" w14:textId="12AD8641" w:rsidR="00112190" w:rsidRDefault="00112190" w:rsidP="00112190">
      <w:r>
        <w:t>Die absoluten Zahlen werden in einem Durchführungsbeschluss (EU) 2020/2126, 16. Dezember 2020</w:t>
      </w:r>
      <w:r>
        <w:rPr>
          <w:rStyle w:val="Funotenzeichen"/>
        </w:rPr>
        <w:footnoteReference w:id="1179"/>
      </w:r>
      <w:r w:rsidR="00B32A9C">
        <w:t>,</w:t>
      </w:r>
      <w:r>
        <w:t xml:space="preserve"> in Tonnen CO2-Äquivalent, genannt, sog. annual </w:t>
      </w:r>
      <w:proofErr w:type="spellStart"/>
      <w:r>
        <w:t>emission</w:t>
      </w:r>
      <w:proofErr w:type="spellEnd"/>
      <w:r>
        <w:t xml:space="preserve"> </w:t>
      </w:r>
      <w:proofErr w:type="spellStart"/>
      <w:r>
        <w:t>allocation</w:t>
      </w:r>
      <w:proofErr w:type="spellEnd"/>
      <w:r>
        <w:t xml:space="preserve"> (AER). Aktuell wurde beschlossen, </w:t>
      </w:r>
      <w:r w:rsidRPr="0032320A">
        <w:rPr>
          <w:b/>
          <w:bCs/>
          <w:u w:val="single"/>
        </w:rPr>
        <w:t xml:space="preserve">dass </w:t>
      </w:r>
      <w:r>
        <w:rPr>
          <w:b/>
          <w:bCs/>
          <w:u w:val="single"/>
        </w:rPr>
        <w:t xml:space="preserve">vorerst </w:t>
      </w:r>
      <w:r w:rsidRPr="0032320A">
        <w:rPr>
          <w:b/>
          <w:bCs/>
          <w:u w:val="single"/>
        </w:rPr>
        <w:t>nur bis 2025 gerechnet wird</w:t>
      </w:r>
      <w:r w:rsidRPr="00E761B6">
        <w:rPr>
          <w:u w:val="single"/>
        </w:rPr>
        <w:t xml:space="preserve">, </w:t>
      </w:r>
      <w:r w:rsidR="002C366C">
        <w:rPr>
          <w:u w:val="single"/>
        </w:rPr>
        <w:t>offenbar weil man sich darüber hinaus nicht einigen konnten</w:t>
      </w:r>
      <w:r>
        <w:t xml:space="preserve">, siehe Durchführungsbeschluss / </w:t>
      </w:r>
      <w:proofErr w:type="spellStart"/>
      <w:r>
        <w:t>Commission</w:t>
      </w:r>
      <w:proofErr w:type="spellEnd"/>
      <w:r>
        <w:t xml:space="preserve"> </w:t>
      </w:r>
      <w:proofErr w:type="spellStart"/>
      <w:r>
        <w:t>Implementing</w:t>
      </w:r>
      <w:proofErr w:type="spellEnd"/>
      <w:r>
        <w:t xml:space="preserve"> </w:t>
      </w:r>
      <w:proofErr w:type="spellStart"/>
      <w:r>
        <w:t>Decision</w:t>
      </w:r>
      <w:proofErr w:type="spellEnd"/>
      <w:r>
        <w:t xml:space="preserve"> (EU) 2023/1319 der Kommission, 28. Juni 2023, hier hat Deutschland folgende Emissionsmengen zur Verfügung: 2021: 427.306.142, 2025: 349.163.918.</w:t>
      </w:r>
      <w:r>
        <w:rPr>
          <w:rStyle w:val="Funotenzeichen"/>
        </w:rPr>
        <w:footnoteReference w:id="1180"/>
      </w:r>
      <w:r>
        <w:t xml:space="preserve"> </w:t>
      </w:r>
    </w:p>
    <w:p w14:paraId="7EAD0962" w14:textId="77777777" w:rsidR="00112190" w:rsidRDefault="00112190" w:rsidP="00112190"/>
    <w:p w14:paraId="4F4DEA9D" w14:textId="23738099" w:rsidR="00112190" w:rsidRDefault="00112190" w:rsidP="00112190">
      <w:r>
        <w:t xml:space="preserve">Siehe zu diesem Thema: </w:t>
      </w:r>
      <w:r w:rsidR="00B32A9C">
        <w:t xml:space="preserve">diese </w:t>
      </w:r>
      <w:r>
        <w:t>Webseite der Kommission.</w:t>
      </w:r>
      <w:r>
        <w:rPr>
          <w:rStyle w:val="Funotenzeichen"/>
        </w:rPr>
        <w:footnoteReference w:id="1181"/>
      </w:r>
      <w:r>
        <w:t xml:space="preserve"> In einem Briefing für das Parlament wird darauf hingewiesen, dass sich das Parlament in diesem Bereich rechtlich verbindliche Regeln wünscht und es wird auf mehrere Analysen über Auswirkungen hingewiesen.</w:t>
      </w:r>
      <w:r>
        <w:rPr>
          <w:rStyle w:val="Funotenzeichen"/>
        </w:rPr>
        <w:footnoteReference w:id="1182"/>
      </w:r>
      <w:r>
        <w:t xml:space="preserve"> </w:t>
      </w:r>
    </w:p>
    <w:p w14:paraId="7B2E662B" w14:textId="77777777" w:rsidR="00112190" w:rsidRDefault="00112190" w:rsidP="00112190"/>
    <w:p w14:paraId="3E12775B" w14:textId="2A56736C" w:rsidR="00112190" w:rsidRDefault="00112190" w:rsidP="00112190">
      <w:r>
        <w:t>Im Jahr 2027 startet der Emissionshandel für Verkehr und Gebäude, ab dann werden die Emissionsmengen der Effort Sharing Regulation und d</w:t>
      </w:r>
      <w:r w:rsidR="00B32A9C">
        <w:t>ie des</w:t>
      </w:r>
      <w:r>
        <w:t xml:space="preserve"> Emissionshandel, der sich nun auch auf diesen Bereich Verkehr und Gebäude bezieht, so die Meinung der Kommission, </w:t>
      </w:r>
      <w:r w:rsidRPr="00E761B6">
        <w:rPr>
          <w:u w:val="single"/>
        </w:rPr>
        <w:t>parallel laufen</w:t>
      </w:r>
      <w:r>
        <w:t>, und eine Überprüfung nach Art. 15 ist für 2017 geplant und eine Überprüfung der Jahre 2021-2025 erfolgt im Jahr 2027, im Einklang mit dem Übereinkommen von Paris.</w:t>
      </w:r>
      <w:r>
        <w:rPr>
          <w:rStyle w:val="Funotenzeichen"/>
        </w:rPr>
        <w:footnoteReference w:id="1183"/>
      </w:r>
      <w:r>
        <w:t xml:space="preserve"> </w:t>
      </w:r>
    </w:p>
    <w:p w14:paraId="6579C216" w14:textId="77777777" w:rsidR="00112190" w:rsidRDefault="00112190" w:rsidP="00112190"/>
    <w:tbl>
      <w:tblPr>
        <w:tblStyle w:val="Tabellenraster"/>
        <w:tblW w:w="0" w:type="auto"/>
        <w:tblLook w:val="04A0" w:firstRow="1" w:lastRow="0" w:firstColumn="1" w:lastColumn="0" w:noHBand="0" w:noVBand="1"/>
      </w:tblPr>
      <w:tblGrid>
        <w:gridCol w:w="9062"/>
      </w:tblGrid>
      <w:tr w:rsidR="00112190" w14:paraId="272CFF97" w14:textId="77777777" w:rsidTr="006B301B">
        <w:tc>
          <w:tcPr>
            <w:tcW w:w="9062" w:type="dxa"/>
          </w:tcPr>
          <w:p w14:paraId="0B17B2A4" w14:textId="414F5DF6" w:rsidR="00112190" w:rsidRDefault="00112190" w:rsidP="006B301B">
            <w:r>
              <w:t xml:space="preserve">24.10.2022 Pressemitteilung, BMWK. Deutschland erwirbt Emissionsberechtigungen für verfehlte Klimaziele zwischen 2013 bis 2020, vor allem im Bereich Verkehr und Gebäude. Am Rande des Treffens </w:t>
            </w:r>
            <w:proofErr w:type="gramStart"/>
            <w:r>
              <w:t>der Rats</w:t>
            </w:r>
            <w:proofErr w:type="gramEnd"/>
            <w:r>
              <w:t xml:space="preserve"> der Europäischen Union im Format Umwelt wurde bekannt, dass Ankaufverträge über Emissionsberechtigungen mit Bulgarien, Ungarn und Tschechien unterzeichnet wurden. Es geht um 11 Millionen ‚annual </w:t>
            </w:r>
            <w:proofErr w:type="spellStart"/>
            <w:r>
              <w:t>emissions</w:t>
            </w:r>
            <w:proofErr w:type="spellEnd"/>
            <w:r>
              <w:t xml:space="preserve"> </w:t>
            </w:r>
            <w:proofErr w:type="spellStart"/>
            <w:r>
              <w:t>allowances</w:t>
            </w:r>
            <w:proofErr w:type="spellEnd"/>
            <w:r>
              <w:t>‘ AEA.</w:t>
            </w:r>
            <w:r>
              <w:rPr>
                <w:rStyle w:val="Funotenzeichen"/>
              </w:rPr>
              <w:footnoteReference w:id="1184"/>
            </w:r>
            <w:r>
              <w:t xml:space="preserve"> Es wird in der Pressemitteilung nicht genau erklärt, um welche Verpflichtungen es genau geht. Es kann sich aber nur um die zweite Verpflichtungsperiode des Kyoto-Protokolls handeln (2013-2020). Die drei Länder haben Deutschland vertraglich zugesichert, dass die Geldzahlungen aus Deutschland in </w:t>
            </w:r>
            <w:r>
              <w:lastRenderedPageBreak/>
              <w:t>Klimaschutzprojekte fließ</w:t>
            </w:r>
            <w:r w:rsidR="00B32A9C">
              <w:t>en</w:t>
            </w:r>
            <w:r>
              <w:t>, in Ungarn in elektrische Stadtbusse, in Tschechien in die energetische Sanierung von Häusern und in Bulgarien in die Sanierung von Schulen und öffentlichen Gebäuden. Die EU hatte für die Kyoto-Periode das Gesamtziel der Reduktion der Treibhausgasemissionen bis 2020 um 30 % gegenüber 1990. Um dies zu erreichen, durften die EU-Mitgliedstaaten untereinander „einen Teil der jährlichen Emissionszuweisung anderen Mitgliedstaaten übertragen dürfen“. Das dafür relevante Dokument ist die Entscheidung Nr. 406/2009/EG des Europäischen Parlaments und des Rates, vom 23. April 2009, hier wurde für 2020 -14 % bezogen auf 2005 für Deutschland eingetragen.</w:t>
            </w:r>
            <w:r>
              <w:rPr>
                <w:rStyle w:val="Funotenzeichen"/>
              </w:rPr>
              <w:t xml:space="preserve"> </w:t>
            </w:r>
            <w:r>
              <w:rPr>
                <w:rStyle w:val="Funotenzeichen"/>
              </w:rPr>
              <w:footnoteReference w:id="1185"/>
            </w:r>
            <w:r>
              <w:t xml:space="preserve">    </w:t>
            </w:r>
          </w:p>
        </w:tc>
      </w:tr>
    </w:tbl>
    <w:p w14:paraId="04561EAC" w14:textId="77777777" w:rsidR="00112190" w:rsidRDefault="00112190" w:rsidP="00112190"/>
    <w:tbl>
      <w:tblPr>
        <w:tblStyle w:val="Tabellenraster"/>
        <w:tblW w:w="0" w:type="auto"/>
        <w:tblLook w:val="04A0" w:firstRow="1" w:lastRow="0" w:firstColumn="1" w:lastColumn="0" w:noHBand="0" w:noVBand="1"/>
      </w:tblPr>
      <w:tblGrid>
        <w:gridCol w:w="9062"/>
      </w:tblGrid>
      <w:tr w:rsidR="0010794A" w14:paraId="4DA605E8" w14:textId="77777777" w:rsidTr="0010794A">
        <w:tc>
          <w:tcPr>
            <w:tcW w:w="9062" w:type="dxa"/>
          </w:tcPr>
          <w:p w14:paraId="5CCD5E43" w14:textId="7E557AF3" w:rsidR="0010794A" w:rsidRDefault="0010794A" w:rsidP="002B4E77">
            <w:r>
              <w:t xml:space="preserve">Es ist innerhalb der EU möglich, </w:t>
            </w:r>
            <w:r w:rsidRPr="007E47EB">
              <w:rPr>
                <w:u w:val="single"/>
              </w:rPr>
              <w:t>in einem Land eingesparte Emissionen an andere zu übertragen, um die jährlichen Emissionszuweisungen durch die Effort Sharing Regulation zu erfüllen</w:t>
            </w:r>
            <w:r>
              <w:t>, siehe diese Verordnung (EU) 2023/857, 19. April 2023, Art. 4 Abs. 4, dies ist aber begrenzt, von 2021 bis 2025 auf 10 %, es steigt aber an von 2026 bis 2030 auf 15 %.</w:t>
            </w:r>
            <w:r>
              <w:rPr>
                <w:rStyle w:val="Funotenzeichen"/>
              </w:rPr>
              <w:footnoteReference w:id="1186"/>
            </w:r>
            <w:r>
              <w:t xml:space="preserve"> </w:t>
            </w:r>
          </w:p>
        </w:tc>
      </w:tr>
    </w:tbl>
    <w:p w14:paraId="141CBFB5" w14:textId="77777777" w:rsidR="0010794A" w:rsidRDefault="0010794A" w:rsidP="00112190"/>
    <w:p w14:paraId="76E365A7" w14:textId="3C76E23F" w:rsidR="00112190" w:rsidRDefault="00112190" w:rsidP="00112190">
      <w:r>
        <w:t xml:space="preserve">Die Aktivitäten in diesem Bereich werden von einem </w:t>
      </w:r>
      <w:r w:rsidRPr="00AF32B7">
        <w:rPr>
          <w:u w:val="single"/>
        </w:rPr>
        <w:t>neuen, kooperativen Ansatz</w:t>
      </w:r>
      <w:r>
        <w:t xml:space="preserve"> geprägt, der von der Kommission 2018 in der Verordnung </w:t>
      </w:r>
      <w:bookmarkStart w:id="60" w:name="_Hlk198754717"/>
      <w:proofErr w:type="spellStart"/>
      <w:r w:rsidRPr="00AF32B7">
        <w:rPr>
          <w:u w:val="single"/>
        </w:rPr>
        <w:t>Governance</w:t>
      </w:r>
      <w:proofErr w:type="spellEnd"/>
      <w:r w:rsidRPr="00AF32B7">
        <w:rPr>
          <w:u w:val="single"/>
        </w:rPr>
        <w:t xml:space="preserve">-System für die Energieunion </w:t>
      </w:r>
      <w:bookmarkEnd w:id="60"/>
      <w:r w:rsidRPr="00AF32B7">
        <w:rPr>
          <w:u w:val="single"/>
        </w:rPr>
        <w:t>und für den Klimaschutz</w:t>
      </w:r>
      <w:r>
        <w:t xml:space="preserve"> entwickelt wurde. Dies wurde vom EU-Gipfel der Staats- und Regierungschefs (Europäischer Rat), schon am 23./24. Oktober 2014 so angedacht.</w:t>
      </w:r>
      <w:r>
        <w:rPr>
          <w:rStyle w:val="Funotenzeichen"/>
        </w:rPr>
        <w:footnoteReference w:id="1187"/>
      </w:r>
      <w:r>
        <w:t xml:space="preserve"> In der </w:t>
      </w:r>
      <w:proofErr w:type="spellStart"/>
      <w:r>
        <w:t>Governance</w:t>
      </w:r>
      <w:proofErr w:type="spellEnd"/>
      <w:r>
        <w:t xml:space="preserve"> Verordnung 2018 ist nun die Rede davon, dass das Ziel der Klimaschutzes „nur durch koordinierte legislative und nicht-legislative Maßnahmen auf Unionsebene sowie auf nationaler, regionaler und lokaler Ebene erreicht werden kann.</w:t>
      </w:r>
      <w:r>
        <w:rPr>
          <w:rStyle w:val="Funotenzeichen"/>
        </w:rPr>
        <w:footnoteReference w:id="1188"/>
      </w:r>
      <w:r>
        <w:t xml:space="preserve"> An zentraler Stellen dieser Verordnung stehen die </w:t>
      </w:r>
      <w:r w:rsidRPr="00382973">
        <w:rPr>
          <w:u w:val="single"/>
        </w:rPr>
        <w:t>integrierten nationalen Energie- und Klimapläne (2021-2030) der EU Mitgliedstaaten (National Energy and Climate Plans, NECPs)</w:t>
      </w:r>
      <w:r>
        <w:t>, anhand derer die Emissionsminderungen koordiniert werden sollen, für die die Kommission dort ein Inhaltsverzeichnis entwickelt. Ebenso sollen Langfrist-Strategien für mindestens 30 Jahre entwickelt werden, die offen und transparent ausgearbeitet werden, unter Mitarbeit der Öffentlichkeit.</w:t>
      </w:r>
      <w:r>
        <w:rPr>
          <w:rStyle w:val="Funotenzeichen"/>
        </w:rPr>
        <w:footnoteReference w:id="1189"/>
      </w:r>
      <w:r>
        <w:t xml:space="preserve"> Die Öffentlichkeit erhält Zugang zu diesen Plänen und, </w:t>
      </w:r>
      <w:r w:rsidR="00B32A9C">
        <w:t>siehe</w:t>
      </w:r>
      <w:r>
        <w:t xml:space="preserve"> Art. 13, die Kommission bewertet die Pläne.</w:t>
      </w:r>
      <w:r>
        <w:rPr>
          <w:rStyle w:val="Funotenzeichen"/>
        </w:rPr>
        <w:footnoteReference w:id="1190"/>
      </w:r>
      <w:r>
        <w:t xml:space="preserve"> Im Verlauf der Verordnung werden die einzelnen Punkte der Pläne mit den bestehenden EU-Vorgaben in Verbindung gebracht und diese sollen in die nationalen Energie- und Klimapläne einbezogen werden: Thema ist Emissionsreduktionen bzw. Dekarbonisierung bzw. Ausbau erneuerbarer Energien, Energieeffizienz, Sicherheit der Energieversorgung bzw. den Energiebinnenmarkt bzw. die Verbindung der Stromnetze, Forschung, Innovation und Wettbewerbsfähigkeit. Ebenso sollen Auswirkungen auf Volkswirtschaft, Gesundheit, Umwelt, soziale Verhältnisse beschrieben werden. Die Öffentlichkeit soll unterrichtet und ein Dialog eingerichtet </w:t>
      </w:r>
      <w:r>
        <w:lastRenderedPageBreak/>
        <w:t xml:space="preserve">werden. Sodann bewertet die Kommission die Pläne, Kapital 5, Art. 29. Alle 2 Jahren muss ein Fortschrittsbericht vorgelegt werden, dafür gibt es weitere Vorgaben. In den Fortschrittsberichten soll </w:t>
      </w:r>
      <w:r w:rsidR="00B32A9C">
        <w:t xml:space="preserve">auch über ärmere Bevölkerungsschichten </w:t>
      </w:r>
      <w:r>
        <w:t>berichtet werden, die unter Energiearmut leiden. Jedes Jahr soll ein Bericht zur Verwendung der Gelder bei der Versteigerung von Emissionsrechten veröffentlicht werden. Jedes Jahr werden die Treibhausemissionen berichtet, diese werden jährlich am 15. April an die UNFCCC übermittelt. Reichen die Maßnahmen der EU-Mitgliedstaaten nicht aus, siehe Art. 30 und Art. 31, Art. 32, spricht die Kommission Empfehlungen aus, schlägt Maßnahmen vor und arbeitet mit dem Staat zusammen und bietet, siehe Art. 33, Finanzierungsleistungen an. In Art. 34 wird formuliert: „</w:t>
      </w:r>
      <w:r w:rsidRPr="00D115ED">
        <w:t>Der betroffene Mitgliedstaat trägt der Empfehlung im Geiste der Solidarität zwischen den Mitgliedstaaten untereinander sowie zwischen der Union und den Mitgliedstaaten gebührend Rechnung</w:t>
      </w:r>
      <w:r>
        <w:t>“.</w:t>
      </w:r>
      <w:r>
        <w:rPr>
          <w:rStyle w:val="Funotenzeichen"/>
        </w:rPr>
        <w:footnoteReference w:id="1191"/>
      </w:r>
      <w:r>
        <w:t xml:space="preserve"> Jeweils am 31. Oktober wird ein Bericht über die Lage der Energieunion veröffentlicht, Art. 35.</w:t>
      </w:r>
      <w:r>
        <w:rPr>
          <w:rStyle w:val="Funotenzeichen"/>
        </w:rPr>
        <w:footnoteReference w:id="1192"/>
      </w:r>
      <w:r>
        <w:t xml:space="preserve"> Hier der Link zum Bericht State </w:t>
      </w:r>
      <w:proofErr w:type="spellStart"/>
      <w:r>
        <w:t>of</w:t>
      </w:r>
      <w:proofErr w:type="spellEnd"/>
      <w:r>
        <w:t xml:space="preserve"> </w:t>
      </w:r>
      <w:proofErr w:type="spellStart"/>
      <w:r>
        <w:t>the</w:t>
      </w:r>
      <w:proofErr w:type="spellEnd"/>
      <w:r>
        <w:t xml:space="preserve"> Energy Union Report 2023.</w:t>
      </w:r>
      <w:r>
        <w:rPr>
          <w:rStyle w:val="Funotenzeichen"/>
        </w:rPr>
        <w:footnoteReference w:id="1193"/>
      </w:r>
      <w:r>
        <w:t xml:space="preserve"> Dieser weiche, solidarisch</w:t>
      </w:r>
      <w:r w:rsidR="00F024DA">
        <w:t>e</w:t>
      </w:r>
      <w:r>
        <w:t>, au</w:t>
      </w:r>
      <w:r w:rsidR="00F024DA">
        <w:t>s</w:t>
      </w:r>
      <w:r>
        <w:t xml:space="preserve"> Kommunikation, Bewertung </w:t>
      </w:r>
      <w:r w:rsidR="00F024DA">
        <w:t xml:space="preserve">durch die Kommission </w:t>
      </w:r>
      <w:r>
        <w:t>und einer Reaktion der Mitgliedstaaten bzw. au</w:t>
      </w:r>
      <w:r w:rsidR="00F024DA">
        <w:t>f</w:t>
      </w:r>
      <w:r>
        <w:t xml:space="preserve"> finanzielle</w:t>
      </w:r>
      <w:r w:rsidR="00F024DA">
        <w:t>r</w:t>
      </w:r>
      <w:r>
        <w:t xml:space="preserve"> Förderung bestehende </w:t>
      </w:r>
      <w:proofErr w:type="spellStart"/>
      <w:r>
        <w:t>Governance</w:t>
      </w:r>
      <w:proofErr w:type="spellEnd"/>
      <w:r>
        <w:t xml:space="preserve">-Mechanismus gilt für den zentralen Kern der Klimapolitik, nämlich die Formulierung von Politiken für die Emissionsminderung. Es gibt keine Sanktionen, allerdings ‚weicher‘ Druck und appelliert wird an die Kooperation von Kommission und Mitgliedstaaten und </w:t>
      </w:r>
      <w:r w:rsidR="00F024DA">
        <w:t>es gibt den</w:t>
      </w:r>
      <w:r>
        <w:t xml:space="preserve"> Geldanreiz.</w:t>
      </w:r>
      <w:r>
        <w:rPr>
          <w:rStyle w:val="Funotenzeichen"/>
        </w:rPr>
        <w:footnoteReference w:id="1194"/>
      </w:r>
      <w:r>
        <w:t xml:space="preserve"> Und: nicht zuletzt, gibt es das ‚irgendwann‘ effektive EU-Emissionshandelssystem als Drohkulisse. </w:t>
      </w:r>
    </w:p>
    <w:p w14:paraId="0CBFA837" w14:textId="77777777" w:rsidR="00112190" w:rsidRDefault="00112190" w:rsidP="00112190"/>
    <w:p w14:paraId="2FA4F2DD" w14:textId="77777777" w:rsidR="00112190" w:rsidRDefault="00112190" w:rsidP="00112190">
      <w:r>
        <w:t xml:space="preserve">Deutschland hat im Juni 2020 der </w:t>
      </w:r>
      <w:proofErr w:type="gramStart"/>
      <w:r>
        <w:t>EU Kommission</w:t>
      </w:r>
      <w:proofErr w:type="gramEnd"/>
      <w:r>
        <w:t xml:space="preserve"> erstmals ihren </w:t>
      </w:r>
      <w:r w:rsidRPr="00AF32B7">
        <w:rPr>
          <w:u w:val="single"/>
        </w:rPr>
        <w:t>Nationalen Energie- und Klimaplan (NECP)</w:t>
      </w:r>
      <w:r>
        <w:t xml:space="preserve"> vorgelegt, ab 2023 muss alle 2 Jahre ein Fortschrittsbericht vorgelegt werden, Anfang 2024 sollen dazu öffentliche Konsultationen durchgeführt werden und ein NECP-Update Bericht wird in Aussicht gestellt.</w:t>
      </w:r>
      <w:r>
        <w:rPr>
          <w:rStyle w:val="Funotenzeichen"/>
        </w:rPr>
        <w:footnoteReference w:id="1195"/>
      </w:r>
      <w:r>
        <w:t xml:space="preserve"> Auch Konsultationen der </w:t>
      </w:r>
      <w:proofErr w:type="gramStart"/>
      <w:r>
        <w:t>EU Staaten</w:t>
      </w:r>
      <w:proofErr w:type="gramEnd"/>
      <w:r>
        <w:t xml:space="preserve"> untereinander über die Pläne sind erwünscht, siehe eine </w:t>
      </w:r>
      <w:proofErr w:type="gramStart"/>
      <w:r>
        <w:t>EU Webseite</w:t>
      </w:r>
      <w:proofErr w:type="gramEnd"/>
      <w:r>
        <w:t xml:space="preserve"> dazu</w:t>
      </w:r>
      <w:r>
        <w:rPr>
          <w:rStyle w:val="Funotenzeichen"/>
        </w:rPr>
        <w:footnoteReference w:id="1196"/>
      </w:r>
      <w:r>
        <w:t xml:space="preserve"> und die </w:t>
      </w:r>
      <w:proofErr w:type="gramStart"/>
      <w:r>
        <w:t>EU Webseite</w:t>
      </w:r>
      <w:proofErr w:type="gramEnd"/>
      <w:r>
        <w:t xml:space="preserve"> mit allen NECPs.</w:t>
      </w:r>
      <w:r>
        <w:rPr>
          <w:rStyle w:val="Funotenzeichen"/>
        </w:rPr>
        <w:footnoteReference w:id="1197"/>
      </w:r>
      <w:r>
        <w:t xml:space="preserve"> </w:t>
      </w:r>
    </w:p>
    <w:p w14:paraId="31146CF1" w14:textId="77777777" w:rsidR="00FF4D78" w:rsidRDefault="00FF4D78" w:rsidP="00112190"/>
    <w:tbl>
      <w:tblPr>
        <w:tblStyle w:val="Tabellenraster"/>
        <w:tblW w:w="0" w:type="auto"/>
        <w:tblLook w:val="04A0" w:firstRow="1" w:lastRow="0" w:firstColumn="1" w:lastColumn="0" w:noHBand="0" w:noVBand="1"/>
      </w:tblPr>
      <w:tblGrid>
        <w:gridCol w:w="9062"/>
      </w:tblGrid>
      <w:tr w:rsidR="00FF4D78" w14:paraId="4269F534" w14:textId="77777777" w:rsidTr="00FF4D78">
        <w:tc>
          <w:tcPr>
            <w:tcW w:w="9062" w:type="dxa"/>
          </w:tcPr>
          <w:p w14:paraId="4BACE214" w14:textId="06EAAE26" w:rsidR="00FF4D78" w:rsidRDefault="00934443" w:rsidP="00112190">
            <w:r>
              <w:t xml:space="preserve">Unterschiedliche Qualität der NECPs. </w:t>
            </w:r>
            <w:r w:rsidR="00FF4D78">
              <w:t>Die EU-Kommission kommuniziert mit den Mitgliedstaaten über die Klimapläne und kritisiert diese auch, Kritik findet sich beispielsweise am NEPC Plan von Polen, denn Polen erwähnt weder Windenergie noch Solarenergie und will nach Gas suchen.</w:t>
            </w:r>
            <w:r w:rsidR="00FF4D78">
              <w:rPr>
                <w:rStyle w:val="Funotenzeichen"/>
              </w:rPr>
              <w:footnoteReference w:id="1198"/>
            </w:r>
            <w:r w:rsidR="00FF4D78">
              <w:t xml:space="preserve"> Die NGO Climate Action Network stellt fest, dass nur vier Länder, Estland, Litauen, Spanien und </w:t>
            </w:r>
            <w:r w:rsidR="00FF4D78">
              <w:lastRenderedPageBreak/>
              <w:t xml:space="preserve">Luxemburg so detaillierte Pläne aufstellen, aus denen man entnehmen kann, dass sie ihre Effort-Sharing Ziele (ESR </w:t>
            </w:r>
            <w:proofErr w:type="spellStart"/>
            <w:r w:rsidR="00FF4D78">
              <w:t>targets</w:t>
            </w:r>
            <w:proofErr w:type="spellEnd"/>
            <w:r w:rsidR="00FF4D78">
              <w:t>) erreichen werden und dazu die passenden Politiken nennen.</w:t>
            </w:r>
            <w:r w:rsidR="00FF4D78">
              <w:rPr>
                <w:rStyle w:val="Funotenzeichen"/>
              </w:rPr>
              <w:footnoteReference w:id="1199"/>
            </w:r>
          </w:p>
        </w:tc>
      </w:tr>
    </w:tbl>
    <w:p w14:paraId="6605DA8E" w14:textId="77777777" w:rsidR="00112190" w:rsidRDefault="00112190" w:rsidP="00112190"/>
    <w:p w14:paraId="003801C0" w14:textId="299CDD0B" w:rsidR="00112190" w:rsidRDefault="00112190" w:rsidP="00112190">
      <w:r>
        <w:t xml:space="preserve">Eine offenkundig schwache Verpflichtungsstruktur innerhalb der EU hat der bei den Vereinten Nationen hinterlegte </w:t>
      </w:r>
      <w:r w:rsidR="00F024DA">
        <w:t xml:space="preserve">gemeinsame </w:t>
      </w:r>
      <w:r>
        <w:t>Nationale Beitrag (NDC) der EU-Mitgliedstaaten: Der Beschluss über den EU NDC ist im EU-Ministerrat (Umweltminister), am 6. März 2015 in Brüssel getroffen wurde, allerdings als adressatenloser Beschluss, der einzelne Bürger oder Mitgliedstaaten nicht verpflichtet, sondern „ausschließlich Organe und Einrichtungen der EU“</w:t>
      </w:r>
      <w:r>
        <w:rPr>
          <w:rStyle w:val="Funotenzeichen"/>
        </w:rPr>
        <w:footnoteReference w:id="1200"/>
      </w:r>
      <w:r>
        <w:t>, also die Europäische Kommission mit ihrem gesetzgeberischen Initiativrecht, den Ministerrat und das Europäische Parlament und den Rat, wobei letztere drei nicht nur demokratisch legitimiert sind, sondern auch abweichende Entscheidungen treffen können. Geschlossen wird: „Für die Mitgliedstaaten kann sich eine Bindung an einen adressatenlosen Beschluss nur unter dem Aspekt der Unionstreue ergeben, nach dem sie verpflichtet sein können, die EU bei der Erfüllung ihrer Aufgaben zu unterstützen und alle Maßnahmen zu unterlassen, welche die Verwirklichung der Ziele der EU gefährden könnten“ (Wissenschaftliche Dienste des Deutschen Bundestages, 2018).</w:t>
      </w:r>
      <w:r>
        <w:rPr>
          <w:rStyle w:val="Funotenzeichen"/>
        </w:rPr>
        <w:footnoteReference w:id="1201"/>
      </w:r>
      <w:r>
        <w:t xml:space="preserve"> Dies scheint jedenfalls den Verpflichtungscharakter des Übereinkommens von Paris gegenüber den Mitgliedstaaten abzuschwächen, sie können sich auf internationaler Ebene gut hinter der EU verstecken. Dennoch wundere ich mich über diese Schlussfolgerung oben, sind doch die Formulierungen in der Entscheidung des Rates z.B. zum Kyoto-Protokoll, 15.5.2002, (2002/358/EG) recht eindeutig, dass die Gemeinschaft und die Mitgliedstaaten „einzeln und gemeinsam gehalten“ sind „alle geeigneten Maßnahmen (…) zu treffen“ und die Mitgliedstaaten haben damals auch in ihrem eigenen Namen das </w:t>
      </w:r>
      <w:r>
        <w:lastRenderedPageBreak/>
        <w:t>Kyoto-Protokoll unterzeichnet und die EU-Emissionsminderungen dort im eigenen Namen noch einmal hinterlegt.</w:t>
      </w:r>
      <w:r>
        <w:rPr>
          <w:rStyle w:val="Funotenzeichen"/>
        </w:rPr>
        <w:footnoteReference w:id="1202"/>
      </w:r>
      <w:r>
        <w:t xml:space="preserve"> </w:t>
      </w:r>
    </w:p>
    <w:p w14:paraId="7FA7D28D" w14:textId="77777777" w:rsidR="00112190" w:rsidRDefault="00112190" w:rsidP="00112190"/>
    <w:tbl>
      <w:tblPr>
        <w:tblStyle w:val="Tabellenraster"/>
        <w:tblW w:w="0" w:type="auto"/>
        <w:tblLook w:val="04A0" w:firstRow="1" w:lastRow="0" w:firstColumn="1" w:lastColumn="0" w:noHBand="0" w:noVBand="1"/>
      </w:tblPr>
      <w:tblGrid>
        <w:gridCol w:w="9062"/>
      </w:tblGrid>
      <w:tr w:rsidR="00112190" w14:paraId="1A387D22" w14:textId="77777777" w:rsidTr="006B301B">
        <w:tc>
          <w:tcPr>
            <w:tcW w:w="9062" w:type="dxa"/>
          </w:tcPr>
          <w:p w14:paraId="64456714" w14:textId="77777777" w:rsidR="00112190" w:rsidRDefault="00112190" w:rsidP="006B301B">
            <w:r>
              <w:t xml:space="preserve">Box Gesetzgebung der EU. </w:t>
            </w:r>
          </w:p>
          <w:p w14:paraId="55905C3B" w14:textId="77777777" w:rsidR="00112190" w:rsidRDefault="00112190" w:rsidP="006B301B"/>
          <w:p w14:paraId="1E2F27D7" w14:textId="77777777" w:rsidR="00112190" w:rsidRDefault="00112190" w:rsidP="006B301B">
            <w:r>
              <w:t xml:space="preserve">Grundlegend gilt: Mitteilungen, Pläne, Strategien, Leitlinien, Grün- und Weißbücher sind „soft </w:t>
            </w:r>
            <w:proofErr w:type="spellStart"/>
            <w:r>
              <w:t>law</w:t>
            </w:r>
            <w:proofErr w:type="spellEnd"/>
            <w:r>
              <w:t>“ und haben keine unmittelbare rechtliche Wirkung, lassen aber Leitlinien erkennen.</w:t>
            </w:r>
            <w:r>
              <w:rPr>
                <w:rStyle w:val="Funotenzeichen"/>
              </w:rPr>
              <w:footnoteReference w:id="1203"/>
            </w:r>
            <w:r>
              <w:t xml:space="preserve"> Beschlüsse und Verordnungen müssen direkt bzw. in vollem Umfang umgesetzt werden, Richtlinien legen auf ein bestimmtes Ziel fest, </w:t>
            </w:r>
            <w:proofErr w:type="gramStart"/>
            <w:r>
              <w:t>die einzelnen Ländern</w:t>
            </w:r>
            <w:proofErr w:type="gramEnd"/>
            <w:r>
              <w:t xml:space="preserve"> können aber eigene Rechtsakte mit gewissen Spielräumen zur Verwirklichung dieses Ziels erlassen.</w:t>
            </w:r>
            <w:r>
              <w:rPr>
                <w:rStyle w:val="Funotenzeichen"/>
              </w:rPr>
              <w:footnoteReference w:id="1204"/>
            </w:r>
            <w:r>
              <w:t xml:space="preserve"> </w:t>
            </w:r>
          </w:p>
          <w:p w14:paraId="121825DF" w14:textId="77777777" w:rsidR="00112190" w:rsidRDefault="00112190" w:rsidP="006B301B"/>
          <w:p w14:paraId="4371896B" w14:textId="77777777" w:rsidR="00112190" w:rsidRDefault="00112190" w:rsidP="006B301B">
            <w:r>
              <w:t xml:space="preserve">Grundlegend für die Gesetzgebung in der EU ist, dass sie nicht nur von der Kommission bestimmt wird (in der ‚neutrale‘ Kommissare sitzen, die aber auch aus Staaten stammen), sondern dass demokratische (das Europäische Parlament) und föderale Organe (der Rat der Europäischen Union und auch der EU-Gipfel der Staats- und Regierungschefs (Europäischer Rat), in dem die Mitgliedstaaten präsent sind, die Rechtsprechung bestimmen. </w:t>
            </w:r>
            <w:r w:rsidRPr="0009443B">
              <w:rPr>
                <w:u w:val="single"/>
              </w:rPr>
              <w:t>Obwohl die Kommission das Initiativrecht hat, ist zu beobachten, dass wichtigen Ziele und Vorgaben etwa Emissionsverringerungsziele regelmäßig auf hoher Ebene vom EU-Gipfel demokratisch legitimierter Staatschefs beschlossen bzw. angeregt werden</w:t>
            </w:r>
            <w:r>
              <w:t xml:space="preserve">. Der EU-Gipfel spricht im Klimabereich weiterhin Wünsche für eine zukünftige Regulierung gegenüber der Europäische Kommission aus, Beispiele waren oben die Festlegung des Emissionsminderungsziele 2014 und der Wunsch, eine eher lockere </w:t>
            </w:r>
            <w:proofErr w:type="spellStart"/>
            <w:r>
              <w:t>Governance</w:t>
            </w:r>
            <w:proofErr w:type="spellEnd"/>
            <w:r>
              <w:t xml:space="preserve">-Struktur für den Klimawandel zu entwickeln, durch den Europäischen Rat 23./24. Oktober 2014, welches zur </w:t>
            </w:r>
            <w:proofErr w:type="spellStart"/>
            <w:r>
              <w:t>Governance</w:t>
            </w:r>
            <w:proofErr w:type="spellEnd"/>
            <w:r>
              <w:t>-System Verordnung 2028 geführt hat.</w:t>
            </w:r>
            <w:r>
              <w:rPr>
                <w:rStyle w:val="Funotenzeichen"/>
              </w:rPr>
              <w:footnoteReference w:id="1205"/>
            </w:r>
            <w:r>
              <w:t xml:space="preserve"> </w:t>
            </w:r>
          </w:p>
          <w:p w14:paraId="75B1AA8E" w14:textId="77777777" w:rsidR="00112190" w:rsidRDefault="00112190" w:rsidP="006B301B"/>
          <w:p w14:paraId="3BE8FDE0" w14:textId="3DF70D61" w:rsidR="00112190" w:rsidRPr="001F035E" w:rsidRDefault="00112190" w:rsidP="006B301B">
            <w:r>
              <w:t xml:space="preserve">Die </w:t>
            </w:r>
            <w:r w:rsidRPr="00B53CEA">
              <w:rPr>
                <w:u w:val="single"/>
              </w:rPr>
              <w:t>Europäische Kommission</w:t>
            </w:r>
            <w:r>
              <w:t xml:space="preserve"> hat ein Initiativrecht für Gesetzesvorhaben.</w:t>
            </w:r>
            <w:r>
              <w:rPr>
                <w:rStyle w:val="Funotenzeichen"/>
              </w:rPr>
              <w:footnoteReference w:id="1206"/>
            </w:r>
            <w:r>
              <w:t xml:space="preserve"> Das Parlament und der Rat haben nur ein indirektes Initiativrecht, sie können </w:t>
            </w:r>
            <w:r w:rsidR="00F024DA">
              <w:t xml:space="preserve">allerdings </w:t>
            </w:r>
            <w:r>
              <w:t>einen Legislativvorschlag machen, wenn die Kommission dies ablehnt, muss sie dies begründen.</w:t>
            </w:r>
            <w:r>
              <w:rPr>
                <w:rStyle w:val="Funotenzeichen"/>
              </w:rPr>
              <w:footnoteReference w:id="1207"/>
            </w:r>
            <w:r>
              <w:t xml:space="preserve"> Gesetzgebende Organe der EU sind: das </w:t>
            </w:r>
            <w:r w:rsidRPr="002E2CF1">
              <w:rPr>
                <w:u w:val="single"/>
              </w:rPr>
              <w:t>Europäische Parlament</w:t>
            </w:r>
            <w:r>
              <w:t>, mit einem Umweltausschuss ENVI</w:t>
            </w:r>
            <w:r>
              <w:rPr>
                <w:rStyle w:val="Funotenzeichen"/>
              </w:rPr>
              <w:footnoteReference w:id="1208"/>
            </w:r>
            <w:r>
              <w:t xml:space="preserve">, der </w:t>
            </w:r>
            <w:r w:rsidRPr="002E2CF1">
              <w:rPr>
                <w:u w:val="single"/>
              </w:rPr>
              <w:t>Rat der Europäischen Union</w:t>
            </w:r>
            <w:r>
              <w:t xml:space="preserve"> (Vorsitz hat hier immer ein Staat bzw. seit 2007 auch </w:t>
            </w:r>
            <w:proofErr w:type="gramStart"/>
            <w:r>
              <w:t>einen Gruppe</w:t>
            </w:r>
            <w:proofErr w:type="gramEnd"/>
            <w:r>
              <w:t xml:space="preserve"> von drei Staaten, je für ein halbes Jahr. Der Rat tagt in</w:t>
            </w:r>
            <w:r w:rsidRPr="00F21E25">
              <w:t xml:space="preserve"> 10 Fachausschüssen</w:t>
            </w:r>
            <w:r>
              <w:t>,</w:t>
            </w:r>
            <w:r w:rsidRPr="00F21E25">
              <w:t xml:space="preserve"> hier arbeiten</w:t>
            </w:r>
            <w:r>
              <w:t xml:space="preserve"> teils Minister, teils</w:t>
            </w:r>
            <w:r w:rsidRPr="00F21E25">
              <w:t xml:space="preserve"> hochrangige Mitarbeiter der Regierungen mit am Rechtsetzungsprozess, die auch Länderinteressen berücksichtigen, </w:t>
            </w:r>
            <w:r>
              <w:t>die Abstimmungsregeln sind unterschiedlich, meist gilt die qualifizierte Mehrheit 55 % der Mitgliedstaaten, die 65 % der Bevölkerung repräsentieren</w:t>
            </w:r>
            <w:r>
              <w:rPr>
                <w:rStyle w:val="Funotenzeichen"/>
              </w:rPr>
              <w:footnoteReference w:id="1209"/>
            </w:r>
            <w:r>
              <w:t xml:space="preserve">, </w:t>
            </w:r>
            <w:r w:rsidRPr="00F21E25">
              <w:t xml:space="preserve">die Organisation findet </w:t>
            </w:r>
            <w:r>
              <w:t xml:space="preserve">der </w:t>
            </w:r>
            <w:r>
              <w:lastRenderedPageBreak/>
              <w:t xml:space="preserve">Arbeit im Rat findet im </w:t>
            </w:r>
            <w:r w:rsidRPr="00F21E25">
              <w:t>sog. COREPER-Ausschuss statt</w:t>
            </w:r>
            <w:r>
              <w:t xml:space="preserve"> … aber, siehe schon oben, </w:t>
            </w:r>
            <w:r w:rsidRPr="00A01D68">
              <w:rPr>
                <w:u w:val="single"/>
              </w:rPr>
              <w:t xml:space="preserve">Maßnahmen der Umwelt und Klimapolitik </w:t>
            </w:r>
            <w:r>
              <w:rPr>
                <w:u w:val="single"/>
              </w:rPr>
              <w:t xml:space="preserve">im Rat der Europäischen Union Umwelt (ENV) </w:t>
            </w:r>
            <w:r w:rsidRPr="00A01D68">
              <w:rPr>
                <w:u w:val="single"/>
              </w:rPr>
              <w:t>dürfen nur über das besondere Gesetzgebungsverfahren einstimmig erlassen werden, um nationalen Interessen genug Gewicht einzuräumen ((Art. 289 Abs. 2</w:t>
            </w:r>
            <w:r>
              <w:rPr>
                <w:u w:val="single"/>
              </w:rPr>
              <w:t xml:space="preserve"> </w:t>
            </w:r>
            <w:r w:rsidRPr="00A01D68">
              <w:rPr>
                <w:u w:val="single"/>
              </w:rPr>
              <w:t>AEUV i</w:t>
            </w:r>
            <w:r>
              <w:rPr>
                <w:u w:val="single"/>
              </w:rPr>
              <w:t>n Verbindung mit</w:t>
            </w:r>
            <w:r w:rsidRPr="00A01D68">
              <w:rPr>
                <w:u w:val="single"/>
              </w:rPr>
              <w:t xml:space="preserve"> Art. 192 Abs. 2 AEUV</w:t>
            </w:r>
            <w:r>
              <w:t>).</w:t>
            </w:r>
            <w:r>
              <w:rPr>
                <w:rStyle w:val="Funotenzeichen"/>
              </w:rPr>
              <w:footnoteReference w:id="1210"/>
            </w:r>
            <w:r>
              <w:t xml:space="preserve"> Der Rat der Europäischen Union wird teils Ministerrat, die Treffen Ministertagungen genannt, der in Form des Rats Umwelt (ENV) wird auch Umweltrat genannt. Seine Treffen werden von der Ratsarbeitsgruppe ‚Umwelt‘ vorbereitet, in der Fachexperten arbeiten, vorbereitet.  Dazu kommen der Europäischen Wirtschafts- und Sozialausschuss und der Ausschuss der Regionen, die nur angehört werden.</w:t>
            </w:r>
            <w:r>
              <w:rPr>
                <w:rStyle w:val="Funotenzeichen"/>
              </w:rPr>
              <w:footnoteReference w:id="1211"/>
            </w:r>
            <w:r>
              <w:t xml:space="preserve"> Dann gibt es noch: den </w:t>
            </w:r>
            <w:r w:rsidRPr="002E2CF1">
              <w:rPr>
                <w:u w:val="single"/>
              </w:rPr>
              <w:t>Europäische</w:t>
            </w:r>
            <w:r>
              <w:rPr>
                <w:u w:val="single"/>
              </w:rPr>
              <w:t>n</w:t>
            </w:r>
            <w:r w:rsidRPr="002E2CF1">
              <w:rPr>
                <w:u w:val="single"/>
              </w:rPr>
              <w:t xml:space="preserve"> Rat</w:t>
            </w:r>
            <w:r>
              <w:t xml:space="preserve"> (deren Treffen werden genannt Gipfeltreffen bzw. EU-Gipfel oder Gipfel der Staats- und Regierungschefs, der sich zweimal im Halbjahr trifft. Er hat </w:t>
            </w:r>
            <w:proofErr w:type="gramStart"/>
            <w:r>
              <w:t>einen Präsident</w:t>
            </w:r>
            <w:proofErr w:type="gramEnd"/>
            <w:r>
              <w:t xml:space="preserve">, </w:t>
            </w:r>
            <w:r w:rsidR="00F024DA">
              <w:t>es war</w:t>
            </w:r>
            <w:r>
              <w:t xml:space="preserve"> Charles Michel</w:t>
            </w:r>
            <w:r w:rsidR="00F024DA">
              <w:t>, seit dem 1. Dezember 2024 ist es Antonio Costa</w:t>
            </w:r>
            <w:r>
              <w:t>. Wenn der Rat sich nicht einigen kann, dann müssen es die Regierungschefs auf höchster Ebene versuchen - der Europäische Rat kann Gesetze ändern, bei sensiblen Themen, etwa auswärtige Angelegenheiten, aber auch Umweltfragen, Finanzkrisen, Sanktionsverfahren, bei schwerwiegenden Verstößen, kommt es zu einem zwischenstaatlichen Beschlussverfahren, bei dem Kommission und Parlament nur noch angehört werden.</w:t>
            </w:r>
            <w:r>
              <w:rPr>
                <w:rStyle w:val="Funotenzeichen"/>
              </w:rPr>
              <w:footnoteReference w:id="1212"/>
            </w:r>
            <w:r>
              <w:t xml:space="preserve"> Der Rat der Europäischen Union und der Europäische Rat haben dieselbe Webseite.</w:t>
            </w:r>
            <w:r>
              <w:rPr>
                <w:rStyle w:val="Funotenzeichen"/>
              </w:rPr>
              <w:footnoteReference w:id="1213"/>
            </w:r>
            <w:r>
              <w:t xml:space="preserve"> Die Verfahrensschritte finden sich hier.</w:t>
            </w:r>
            <w:r>
              <w:rPr>
                <w:rStyle w:val="Funotenzeichen"/>
              </w:rPr>
              <w:footnoteReference w:id="1214"/>
            </w:r>
            <w:r>
              <w:t xml:space="preserve"> Siehe beispielhaft Infos über einen Treff des Umweltrats, vom 20. Juni 2023.</w:t>
            </w:r>
            <w:r>
              <w:rPr>
                <w:rStyle w:val="Funotenzeichen"/>
              </w:rPr>
              <w:footnoteReference w:id="1215"/>
            </w:r>
            <w:r>
              <w:t xml:space="preserve"> Zum Rat der Europäischen Union siehe auch Wikipedia.</w:t>
            </w:r>
            <w:r>
              <w:rPr>
                <w:rStyle w:val="Funotenzeichen"/>
              </w:rPr>
              <w:footnoteReference w:id="1216"/>
            </w:r>
          </w:p>
          <w:p w14:paraId="7460509D" w14:textId="77777777" w:rsidR="00112190" w:rsidRDefault="00112190" w:rsidP="006B301B"/>
          <w:p w14:paraId="2E0199DD" w14:textId="5F97BA3C" w:rsidR="00112190" w:rsidRDefault="00112190" w:rsidP="006B301B">
            <w:r>
              <w:t xml:space="preserve">Eine Einigung bei Gesetzesvorhaben wird oft im sog. </w:t>
            </w:r>
            <w:r w:rsidRPr="00337C19">
              <w:rPr>
                <w:u w:val="single"/>
              </w:rPr>
              <w:t>Trilog</w:t>
            </w:r>
            <w:r>
              <w:t xml:space="preserve"> erzielt</w:t>
            </w:r>
            <w:r w:rsidR="00F024DA">
              <w:t xml:space="preserve">, </w:t>
            </w:r>
            <w:r>
              <w:t>eine informelle Verhandlung zwischen Vertretern des Europäischen Parlamentes, des Rates der Europäischen Union und der Europäischen Kommission.</w:t>
            </w:r>
            <w:r>
              <w:rPr>
                <w:rStyle w:val="Funotenzeichen"/>
              </w:rPr>
              <w:footnoteReference w:id="1217"/>
            </w:r>
            <w:r>
              <w:t xml:space="preserve"> </w:t>
            </w:r>
            <w:r w:rsidR="00EC5F38">
              <w:t xml:space="preserve">Im instruktiven </w:t>
            </w:r>
            <w:r w:rsidR="00F024DA">
              <w:t>FAZ-</w:t>
            </w:r>
            <w:r w:rsidR="00EC5F38">
              <w:t>Artikel zur Europawahl hat Hendrik Kafsack das Europäische Parlament als Kompromissapparat bezeichnet.</w:t>
            </w:r>
            <w:r w:rsidR="00EC5F38">
              <w:rPr>
                <w:rStyle w:val="Funotenzeichen"/>
              </w:rPr>
              <w:footnoteReference w:id="1218"/>
            </w:r>
            <w:r w:rsidR="00B97AF1">
              <w:t xml:space="preserve"> Der Trilog ermöglicht eine schnellere Einigung, statt bis zu 3 Lesungen, mit Vermittlungsausschuss, wie in den Lissabonner Verträgen vorgesehen, verhandeln in einem Vermittlungsausschuss eine kleine Gruppe von Vertretern aus Europaparlament, Rat und Kommission zusammen, über den finalen Text. Dies ist nicht sonderlich transparent und einige Abgeordnete, die daran beteiligt sind, haben auf den Text großen Einfluss. Oft wird aber noch mehr Einfluss durch den Rat der Europäischen Union ausgeübt, denn die Ratspräsidentschaften wollen nach einem halben Jahr oft die Verhandlungen über ein bestimmtes Thema abschließen. Oft lag</w:t>
            </w:r>
            <w:r w:rsidR="0076001F">
              <w:t>, so Hendrick Kafsack,</w:t>
            </w:r>
            <w:r w:rsidR="00B97AF1">
              <w:t xml:space="preserve"> der Kompromiss sehr viel näher bei der Position des Rates als beim Europäischen Parlament. Bei der letztendlichen Abstimmung im Europäischen Parlament wurde in den letzten Jahren oft eine Mehrheit nur gefunden, wenn die sich proeuropäischen bezeichnenden Christdemokraten (EVP), Sozialdemokraten (S&amp;D) und Liberale (Renew), auch als Von-der-Leyen Koalition bezeichnet, zusammenraufen, teils noch unterstützt von den Grünen.</w:t>
            </w:r>
            <w:r w:rsidR="0076001F">
              <w:rPr>
                <w:rStyle w:val="Funotenzeichen"/>
              </w:rPr>
              <w:t xml:space="preserve"> </w:t>
            </w:r>
            <w:r w:rsidR="0076001F">
              <w:rPr>
                <w:rStyle w:val="Funotenzeichen"/>
              </w:rPr>
              <w:footnoteReference w:id="1219"/>
            </w:r>
            <w:r w:rsidR="0076001F">
              <w:t xml:space="preserve"> Die Abstimmung </w:t>
            </w:r>
            <w:r w:rsidR="00F024DA">
              <w:t xml:space="preserve">im Europäischen Parlament </w:t>
            </w:r>
            <w:r w:rsidR="0076001F">
              <w:t xml:space="preserve">erfolgt mit einfacher </w:t>
            </w:r>
            <w:r w:rsidR="0076001F">
              <w:lastRenderedPageBreak/>
              <w:t>Mehrheit, bei Änderungsanträgen im Zusammenarbeits- und Mitentscheidungsverfahren mit absoluter Mehrheit von 720 Abgeordneten.</w:t>
            </w:r>
            <w:r w:rsidR="0076001F">
              <w:rPr>
                <w:rStyle w:val="Funotenzeichen"/>
              </w:rPr>
              <w:footnoteReference w:id="1220"/>
            </w:r>
            <w:r w:rsidR="0076001F">
              <w:t xml:space="preserve"> </w:t>
            </w:r>
          </w:p>
          <w:p w14:paraId="0E786C75" w14:textId="77777777" w:rsidR="00112190" w:rsidRDefault="00112190" w:rsidP="006B301B"/>
          <w:p w14:paraId="3CE58EAF" w14:textId="2DCCDB93" w:rsidR="00112190" w:rsidRDefault="00112190" w:rsidP="006B301B">
            <w:r>
              <w:t xml:space="preserve">Weil die Gesetzgebung sowohl vom Europäischen Parlament als auch von den </w:t>
            </w:r>
            <w:proofErr w:type="gramStart"/>
            <w:r>
              <w:t>EU Mitgliedstaaten</w:t>
            </w:r>
            <w:proofErr w:type="gramEnd"/>
            <w:r>
              <w:t xml:space="preserve"> beeinflusst werden kann, können diese die EU-Gesetzgebung verändern, damit die Mitgliedstaaten nicht so starke Verpflichtungen auferlegt bekommen. Dies ist </w:t>
            </w:r>
            <w:r w:rsidR="00296E77">
              <w:t xml:space="preserve">daran </w:t>
            </w:r>
            <w:r>
              <w:t>sichtbar, weil es seit einigen Jahren kritische EU-Mitglieder gibt, die ihre Entscheidungsspielräume verteidigen und nicht wollen, dass die Kompetenzen der EU immer mehr erweitert werden.</w:t>
            </w:r>
            <w:r>
              <w:rPr>
                <w:rStyle w:val="Funotenzeichen"/>
              </w:rPr>
              <w:footnoteReference w:id="1221"/>
            </w:r>
            <w:r>
              <w:t xml:space="preserve"> Eine Möglichkeit ist, der Kommission nur weiche Überprüfungsmöglichkeiten zu geben. Dies wird weiter unten, am Beispiel des Europäischen Klimagesetzes, gezeigt, dass der Kommission nicht die Möglichkeit einräumt, delegierte Rechtsakte auf der Basis der Verordnung zu beschließen. </w:t>
            </w:r>
          </w:p>
          <w:p w14:paraId="4D9FA2AB" w14:textId="77777777" w:rsidR="00112190" w:rsidRDefault="00112190" w:rsidP="006B301B"/>
          <w:p w14:paraId="003064D3" w14:textId="7B7D80DF" w:rsidR="00112190" w:rsidRDefault="00112190" w:rsidP="006B301B">
            <w:r>
              <w:t xml:space="preserve">Somit ist es falsch, wenn man behauptet, dass hier nur Akteure handeln, die nicht demokratisch legitimiert bzw. gerechtfertigt sind. </w:t>
            </w:r>
            <w:r w:rsidR="00F024DA">
              <w:t>J</w:t>
            </w:r>
            <w:r>
              <w:t xml:space="preserve">edes einzelne Land hat aufgrund des Einstimmigkeitserfordernisses im Bereich Klima und Energie Einfluss auf die Entscheidungen. </w:t>
            </w:r>
            <w:r w:rsidR="00761A49">
              <w:t xml:space="preserve">Dazu kommt, dass die Kommission teilweise nur weiche Überprüfungsmöglichkeiten eingeräumt bekommen hat und die EU in diesem Fall Hilfe bereitstellen soll und, </w:t>
            </w:r>
            <w:proofErr w:type="gramStart"/>
            <w:r w:rsidR="00761A49">
              <w:t>bei genauer festgelegten Zielen</w:t>
            </w:r>
            <w:proofErr w:type="gramEnd"/>
            <w:r w:rsidR="00761A49">
              <w:t>, eine Art Verhandlungspartner wird.</w:t>
            </w:r>
          </w:p>
          <w:p w14:paraId="5B9898F0" w14:textId="77777777" w:rsidR="00112190" w:rsidRDefault="00112190" w:rsidP="006B301B"/>
          <w:p w14:paraId="0830286D" w14:textId="77777777" w:rsidR="00112190" w:rsidRDefault="00112190" w:rsidP="006B301B">
            <w:r>
              <w:t>Weiterhin wird grundlegend in der Rechtswissenschaft von einem Vollzugsföderalismus gesprochen: Nicht die Kommission oder das Parlament - die Mitgliedstaaten sind aufgrund des Vollzugsföderalismus für die Umsetzung, Anwendungen und Durchführung (d.h. letztlich auch Sanktionierung) der europäischen Vorgaben verantwortlich.</w:t>
            </w:r>
            <w:r>
              <w:rPr>
                <w:rStyle w:val="Funotenzeichen"/>
              </w:rPr>
              <w:footnoteReference w:id="1222"/>
            </w:r>
            <w:r>
              <w:t xml:space="preserve"> </w:t>
            </w:r>
          </w:p>
          <w:p w14:paraId="3A8B9B6A" w14:textId="77777777" w:rsidR="00112190" w:rsidRDefault="00112190" w:rsidP="006B301B"/>
          <w:p w14:paraId="18D605BB" w14:textId="77777777" w:rsidR="00112190" w:rsidRDefault="00112190" w:rsidP="006B301B">
            <w:r>
              <w:t>Wenn EU-Recht nicht umgesetzt wird, kann die Kommission ein Vertragsverletzungsverfahren einleiten, dass, wenn dies dem EuGH vorgelegt wurden, auch zu Sanktionen führen kann.</w:t>
            </w:r>
            <w:r>
              <w:rPr>
                <w:rStyle w:val="Funotenzeichen"/>
              </w:rPr>
              <w:footnoteReference w:id="1223"/>
            </w:r>
            <w:r>
              <w:t xml:space="preserve"> Dieses Vertragsverletzungsverfahren ist allerdings mehrstufig und führt u.a. nicht sofort dazu, </w:t>
            </w:r>
            <w:proofErr w:type="gramStart"/>
            <w:r>
              <w:t>das</w:t>
            </w:r>
            <w:proofErr w:type="gramEnd"/>
            <w:r>
              <w:t xml:space="preserve"> ein Plan oder ein Gesetz als inkompatibel mit dem EU-Recht bezeichnet wird, es gibt auch immer die Möglichkeit ‚nachzubessern‘ oder ‚nur Details nachzubessern‘. Hier ein Überblick über die Vertragsverletzungsfälle</w:t>
            </w:r>
            <w:r>
              <w:rPr>
                <w:rStyle w:val="Funotenzeichen"/>
              </w:rPr>
              <w:footnoteReference w:id="1224"/>
            </w:r>
            <w:r>
              <w:t>, hier ein Überblick nur über die Fälle im Bereich Umwelt.</w:t>
            </w:r>
            <w:r>
              <w:rPr>
                <w:rStyle w:val="Funotenzeichen"/>
              </w:rPr>
              <w:footnoteReference w:id="1225"/>
            </w:r>
            <w:r>
              <w:t xml:space="preserve"> Die Kommission ist im Umweltrecht in letzter Zeit bei Vertragsverletzungsfällen aktiver geworden.</w:t>
            </w:r>
            <w:r>
              <w:rPr>
                <w:rStyle w:val="Funotenzeichen"/>
              </w:rPr>
              <w:footnoteReference w:id="1226"/>
            </w:r>
          </w:p>
          <w:p w14:paraId="65A690B4" w14:textId="77777777" w:rsidR="00112190" w:rsidRDefault="00112190" w:rsidP="006B301B"/>
          <w:p w14:paraId="420A24F4" w14:textId="792B1215" w:rsidR="00112190" w:rsidRDefault="00BD2FC6" w:rsidP="006B301B">
            <w:r>
              <w:t>Weitere Infos zum Bereich Klima und Umwelt</w:t>
            </w:r>
            <w:r w:rsidR="00761A49">
              <w:t>:</w:t>
            </w:r>
            <w:r w:rsidR="00112190">
              <w:t xml:space="preserve"> Allgemeine Reduktionsziele lassen offen wer für die Umsetzung verantwortlich ist. Einige </w:t>
            </w:r>
            <w:proofErr w:type="gramStart"/>
            <w:r w:rsidR="00112190">
              <w:t>EU Länder</w:t>
            </w:r>
            <w:proofErr w:type="gramEnd"/>
            <w:r w:rsidR="00112190">
              <w:t xml:space="preserve"> sind gar nicht in der Lage, die komplexen Vorgaben umzusetzen und brauchen Hilfe. Die </w:t>
            </w:r>
            <w:proofErr w:type="gramStart"/>
            <w:r w:rsidR="00112190">
              <w:t>EU Kommission</w:t>
            </w:r>
            <w:proofErr w:type="gramEnd"/>
            <w:r w:rsidR="00112190">
              <w:t xml:space="preserve"> will nun ihre Kooperation mit den Mitgliedstaaten verbessern. Ideen und Infos dazu finden sich in Sachverständigenrat für Umweltfragen (2020).</w:t>
            </w:r>
            <w:r w:rsidR="00112190">
              <w:rPr>
                <w:rStyle w:val="Funotenzeichen"/>
              </w:rPr>
              <w:footnoteReference w:id="1227"/>
            </w:r>
            <w:r w:rsidR="00112190">
              <w:t xml:space="preserve"> Gewünscht wird, dass es zu einem Versuch kommt, dass die Kommission und die Mitgliedstaaten gemeinsam ‚Umwelt-</w:t>
            </w:r>
            <w:proofErr w:type="spellStart"/>
            <w:r w:rsidR="00112190">
              <w:t>Governance</w:t>
            </w:r>
            <w:proofErr w:type="spellEnd"/>
            <w:r w:rsidR="00112190">
              <w:t xml:space="preserve">‘ durchführen, wobei die Kommission </w:t>
            </w:r>
            <w:r w:rsidR="00112190">
              <w:lastRenderedPageBreak/>
              <w:t xml:space="preserve">auch Monitoring ausüben </w:t>
            </w:r>
            <w:r w:rsidR="00F024DA">
              <w:t>sollte</w:t>
            </w:r>
            <w:r w:rsidR="00112190">
              <w:t xml:space="preserve">, siehe </w:t>
            </w:r>
            <w:proofErr w:type="spellStart"/>
            <w:r w:rsidR="00112190">
              <w:t>Ochner</w:t>
            </w:r>
            <w:proofErr w:type="spellEnd"/>
            <w:r w:rsidR="00112190">
              <w:t xml:space="preserve"> (2022).</w:t>
            </w:r>
            <w:r w:rsidR="00112190">
              <w:rPr>
                <w:rStyle w:val="Funotenzeichen"/>
              </w:rPr>
              <w:footnoteReference w:id="1228"/>
            </w:r>
            <w:r w:rsidR="00112190">
              <w:t xml:space="preserve"> Um eine Blockade zu verhindern, könnten auch </w:t>
            </w:r>
            <w:proofErr w:type="spellStart"/>
            <w:r w:rsidR="00112190">
              <w:t>Opt</w:t>
            </w:r>
            <w:proofErr w:type="spellEnd"/>
            <w:r w:rsidR="00112190">
              <w:t>-out Klauseln</w:t>
            </w:r>
            <w:r w:rsidR="00112190">
              <w:rPr>
                <w:rStyle w:val="Funotenzeichen"/>
              </w:rPr>
              <w:footnoteReference w:id="1229"/>
            </w:r>
            <w:r w:rsidR="00112190">
              <w:t xml:space="preserve"> genutzt werden, wenn ein einzelner Mitgliedstaat eine Politik nicht mittragen will.</w:t>
            </w:r>
            <w:r w:rsidR="00112190">
              <w:rPr>
                <w:rStyle w:val="Funotenzeichen"/>
              </w:rPr>
              <w:footnoteReference w:id="1230"/>
            </w:r>
          </w:p>
        </w:tc>
      </w:tr>
    </w:tbl>
    <w:p w14:paraId="042548B0" w14:textId="3CD1B38A" w:rsidR="00112190" w:rsidRDefault="00112190" w:rsidP="00112190">
      <w:r>
        <w:lastRenderedPageBreak/>
        <w:t xml:space="preserve">- Forschungsfrage: Subsidiaritätsprinzip, </w:t>
      </w:r>
      <w:proofErr w:type="spellStart"/>
      <w:r>
        <w:t>Opt</w:t>
      </w:r>
      <w:proofErr w:type="spellEnd"/>
      <w:r>
        <w:t>-out Klauseln, Mehrheitsregeln, Veto, aufschiebendes Veto, längere Umsetzungsfristen</w:t>
      </w:r>
      <w:r w:rsidR="00337C19">
        <w:t xml:space="preserve"> …</w:t>
      </w:r>
      <w:r>
        <w:t xml:space="preserve"> welche Möglichkeiten gibt es für den Umgang mit Spannungen in einer EU, die aus, auch wirtschaftlich, heterogenen Staaten besteht? </w:t>
      </w:r>
    </w:p>
    <w:p w14:paraId="362ABF3C" w14:textId="77777777" w:rsidR="00934443" w:rsidRDefault="00934443" w:rsidP="00112190"/>
    <w:p w14:paraId="441B285A" w14:textId="3194D7E2" w:rsidR="00112190" w:rsidRDefault="00112190" w:rsidP="00112190">
      <w:r>
        <w:t xml:space="preserve">Der europäische Grüne </w:t>
      </w:r>
      <w:proofErr w:type="gramStart"/>
      <w:r>
        <w:t>Deal  bzw.</w:t>
      </w:r>
      <w:proofErr w:type="gramEnd"/>
      <w:r>
        <w:t xml:space="preserve"> Green Deal</w:t>
      </w:r>
    </w:p>
    <w:p w14:paraId="60E7E979" w14:textId="77777777" w:rsidR="00112190" w:rsidRDefault="00112190" w:rsidP="00112190"/>
    <w:p w14:paraId="3BF4AC8F" w14:textId="77777777" w:rsidR="00112190" w:rsidRDefault="00112190" w:rsidP="00112190">
      <w:r>
        <w:t>Der europäische Green Deal wurde am 11. November 2019 von der Kommission in Form einer unverbindlichen Mitteilung initiiert</w:t>
      </w:r>
      <w:r>
        <w:rPr>
          <w:rStyle w:val="Funotenzeichen"/>
        </w:rPr>
        <w:footnoteReference w:id="1231"/>
      </w:r>
      <w:r>
        <w:t>, er enthielt aber schon zu Beginn einen Anhang mit vielen geplanten Gesetzesvorhaben.</w:t>
      </w:r>
      <w:r>
        <w:rPr>
          <w:rStyle w:val="Funotenzeichen"/>
        </w:rPr>
        <w:footnoteReference w:id="1232"/>
      </w:r>
      <w:r>
        <w:t xml:space="preserve"> Und </w:t>
      </w:r>
      <w:r w:rsidRPr="002C366C">
        <w:rPr>
          <w:u w:val="single"/>
        </w:rPr>
        <w:t>das Ziel des Green Deal, bis 2050 klimaneutral zu werden, wurde am 12. und 13. Dezember 2019 vom Europäischen Rat (</w:t>
      </w:r>
      <w:proofErr w:type="gramStart"/>
      <w:r w:rsidRPr="002C366C">
        <w:rPr>
          <w:u w:val="single"/>
        </w:rPr>
        <w:t>EU Gipfel</w:t>
      </w:r>
      <w:proofErr w:type="gramEnd"/>
      <w:r w:rsidRPr="002C366C">
        <w:rPr>
          <w:u w:val="single"/>
        </w:rPr>
        <w:t xml:space="preserve"> der Staats- und Regierungschefs) unterstützt, bis auf ein Land, Polen, ein Beispiel für ein </w:t>
      </w:r>
      <w:proofErr w:type="spellStart"/>
      <w:r w:rsidRPr="002C366C">
        <w:rPr>
          <w:u w:val="single"/>
        </w:rPr>
        <w:t>Opt</w:t>
      </w:r>
      <w:proofErr w:type="spellEnd"/>
      <w:r w:rsidRPr="002C366C">
        <w:rPr>
          <w:u w:val="single"/>
        </w:rPr>
        <w:t>-out</w:t>
      </w:r>
      <w:r>
        <w:t>.</w:t>
      </w:r>
      <w:r>
        <w:rPr>
          <w:rStyle w:val="Funotenzeichen"/>
        </w:rPr>
        <w:footnoteReference w:id="1233"/>
      </w:r>
    </w:p>
    <w:p w14:paraId="348CCF7A" w14:textId="77777777" w:rsidR="00112190" w:rsidRDefault="00112190" w:rsidP="00112190"/>
    <w:p w14:paraId="190059E2" w14:textId="77777777" w:rsidR="00112190" w:rsidRDefault="00112190" w:rsidP="00112190">
      <w:r>
        <w:t>Eine Übersicht mit Timeline aller Aktivitäten seit Beginn des Green Deal, mit 61 Einträgen, findet sich hier von der Europäischen Kommission</w:t>
      </w:r>
      <w:r>
        <w:rPr>
          <w:rStyle w:val="Funotenzeichen"/>
        </w:rPr>
        <w:footnoteReference w:id="1234"/>
      </w:r>
      <w:r>
        <w:t xml:space="preserve"> und in anderer Form, in der Timeline des Rates der Europäischen Union, siehe hier.</w:t>
      </w:r>
      <w:r>
        <w:rPr>
          <w:rStyle w:val="Funotenzeichen"/>
        </w:rPr>
        <w:footnoteReference w:id="1235"/>
      </w:r>
      <w:r>
        <w:t xml:space="preserve"> Es entstanden dabei neue Politikbereiche, etwa die Batterieregulierung, in denen sich eigenständige Timelines entwickelten.</w:t>
      </w:r>
      <w:r w:rsidRPr="00720A58">
        <w:rPr>
          <w:rStyle w:val="Funotenzeichen"/>
        </w:rPr>
        <w:t xml:space="preserve"> </w:t>
      </w:r>
      <w:r>
        <w:rPr>
          <w:rStyle w:val="Funotenzeichen"/>
        </w:rPr>
        <w:footnoteReference w:id="1236"/>
      </w:r>
      <w:r>
        <w:t xml:space="preserve"> Das Europäischen Parlament bietet eine eigene Übersicht über den Green Deal in seiner </w:t>
      </w:r>
      <w:r w:rsidRPr="001959F2">
        <w:rPr>
          <w:i/>
          <w:iCs/>
        </w:rPr>
        <w:t>Legislative Train Schedule</w:t>
      </w:r>
      <w:r>
        <w:t>.</w:t>
      </w:r>
      <w:r>
        <w:rPr>
          <w:rStyle w:val="Funotenzeichen"/>
        </w:rPr>
        <w:footnoteReference w:id="1237"/>
      </w:r>
      <w:r>
        <w:t xml:space="preserve"> Eine gute erzählerische Darstellung des Green Deal gibt es im deutschen Bericht Energie der Zukunft, leider nicht mehr ganz aktuell, die neueste Ausgabe ist noch nicht verfügbar.</w:t>
      </w:r>
      <w:r>
        <w:rPr>
          <w:rStyle w:val="Funotenzeichen"/>
        </w:rPr>
        <w:footnoteReference w:id="1238"/>
      </w:r>
      <w:r>
        <w:t xml:space="preserve"> </w:t>
      </w:r>
    </w:p>
    <w:p w14:paraId="3D84EF6B" w14:textId="77777777" w:rsidR="00112190" w:rsidRDefault="00112190" w:rsidP="00112190"/>
    <w:p w14:paraId="2FE1BE2E" w14:textId="77777777" w:rsidR="00112190" w:rsidRDefault="00112190" w:rsidP="00112190">
      <w:r>
        <w:lastRenderedPageBreak/>
        <w:t xml:space="preserve">Hier werden erst einmal chronologisch wichtige Vorhaben des Green Deal dargestellt:  </w:t>
      </w:r>
    </w:p>
    <w:p w14:paraId="0249AA2E" w14:textId="77777777" w:rsidR="00112190" w:rsidRDefault="00112190" w:rsidP="00112190"/>
    <w:p w14:paraId="5F12546A" w14:textId="0D78B0F8" w:rsidR="00112190" w:rsidRDefault="00112190" w:rsidP="00112190">
      <w:r w:rsidRPr="00FF322B">
        <w:rPr>
          <w:u w:val="single"/>
        </w:rPr>
        <w:t>14. Januar 2020</w:t>
      </w:r>
      <w:r>
        <w:t xml:space="preserve">, ganz am Anfang in der Timeline, wird der European Green Deal Investment Plan und der Just Transition </w:t>
      </w:r>
      <w:proofErr w:type="spellStart"/>
      <w:r>
        <w:t>Mechanism</w:t>
      </w:r>
      <w:proofErr w:type="spellEnd"/>
      <w:r>
        <w:t xml:space="preserve"> vorgestellt.</w:t>
      </w:r>
      <w:r>
        <w:rPr>
          <w:rStyle w:val="Funotenzeichen"/>
        </w:rPr>
        <w:footnoteReference w:id="1239"/>
      </w:r>
      <w:r>
        <w:t xml:space="preserve"> Der European Green Deal Investment Plan (EGDIP), auch genannt </w:t>
      </w:r>
      <w:proofErr w:type="spellStart"/>
      <w:r>
        <w:t>Sustainable</w:t>
      </w:r>
      <w:proofErr w:type="spellEnd"/>
      <w:r>
        <w:t xml:space="preserve"> Europe Investment Plan (SEIP) ist der übergreifende Plan für die Finanzierung eines zukunftsfähigen Europas. </w:t>
      </w:r>
      <w:bookmarkStart w:id="61" w:name="_Hlk198229637"/>
      <w:r>
        <w:t>Ziel ist, 1000 Mrd. Investitionen bis 2030 zu mobilisieren.</w:t>
      </w:r>
      <w:r>
        <w:rPr>
          <w:rStyle w:val="Funotenzeichen"/>
        </w:rPr>
        <w:footnoteReference w:id="1240"/>
      </w:r>
      <w:r>
        <w:t xml:space="preserve"> </w:t>
      </w:r>
      <w:bookmarkStart w:id="62" w:name="_Hlk195911257"/>
      <w:bookmarkEnd w:id="61"/>
      <w:r>
        <w:t xml:space="preserve">Unter den Green Deal Investment Plan fielen Ausgaben aus dem Haushalt, aus dem </w:t>
      </w:r>
      <w:proofErr w:type="spellStart"/>
      <w:r>
        <w:t>InvestEU</w:t>
      </w:r>
      <w:proofErr w:type="spellEnd"/>
      <w:r>
        <w:t xml:space="preserve"> Fonds, dem Just Transition Fund, Gelder der diversen Strukturfonds, die umgewidmet werden und der Modernisierungsfond und der Innovationsfond, der vom Emissionshandel aus finanziert wird.</w:t>
      </w:r>
      <w:r w:rsidRPr="00BA0686">
        <w:rPr>
          <w:rStyle w:val="Funotenzeichen"/>
        </w:rPr>
        <w:t xml:space="preserve"> </w:t>
      </w:r>
      <w:r>
        <w:rPr>
          <w:rStyle w:val="Funotenzeichen"/>
        </w:rPr>
        <w:footnoteReference w:id="1241"/>
      </w:r>
      <w:r>
        <w:t xml:space="preserve"> </w:t>
      </w:r>
    </w:p>
    <w:p w14:paraId="5D3D5F11" w14:textId="77777777" w:rsidR="00112190" w:rsidRDefault="00112190" w:rsidP="00112190"/>
    <w:bookmarkEnd w:id="62"/>
    <w:p w14:paraId="167509FC" w14:textId="188DB8CA" w:rsidR="00112190" w:rsidRDefault="00112190" w:rsidP="00112190">
      <w:r>
        <w:t>Dieser Plan wurde kurz vor dem Ausbruch von Covid-19 präsentiert und wurde dann, aufgrund der neuen Situation der Covid-19-Krise schon am 27. Mai 2020 abgelöst bzw. in der Form nicht mehr umgesetzt</w:t>
      </w:r>
      <w:r>
        <w:rPr>
          <w:rStyle w:val="Funotenzeichen"/>
        </w:rPr>
        <w:footnoteReference w:id="1242"/>
      </w:r>
      <w:r>
        <w:t xml:space="preserve">, und abgelöst vom Next Generation EU Programm, und vor allem durch den dort enthaltenen Aufbau und Resilienz Fond bzw. Recovery and </w:t>
      </w:r>
      <w:proofErr w:type="spellStart"/>
      <w:r>
        <w:t>Resilience</w:t>
      </w:r>
      <w:proofErr w:type="spellEnd"/>
      <w:r>
        <w:t xml:space="preserve"> (RRF) Fund, der </w:t>
      </w:r>
      <w:r w:rsidR="001959F2">
        <w:t xml:space="preserve">insgesamt </w:t>
      </w:r>
      <w:r>
        <w:t xml:space="preserve">723 Mrd. Euro enthielt, davon 338 Mrd. als Zuschüsse. Es blieben aber, soweit </w:t>
      </w:r>
      <w:r w:rsidR="001959F2">
        <w:t>ich dies hier rekonstruieren kann</w:t>
      </w:r>
      <w:r>
        <w:t xml:space="preserve">, viele der im EGDIP bzw. </w:t>
      </w:r>
      <w:proofErr w:type="gramStart"/>
      <w:r>
        <w:t>SEIP Plan</w:t>
      </w:r>
      <w:proofErr w:type="gramEnd"/>
      <w:r>
        <w:t xml:space="preserve"> erwähnten Klimamaßnahmen bestehen und der Recovery and </w:t>
      </w:r>
      <w:proofErr w:type="spellStart"/>
      <w:r>
        <w:t>Resilience</w:t>
      </w:r>
      <w:proofErr w:type="spellEnd"/>
      <w:r>
        <w:t xml:space="preserve"> (RRF) Fund wurde von dem </w:t>
      </w:r>
      <w:proofErr w:type="gramStart"/>
      <w:r>
        <w:t>EU Mitgliedstaaten</w:t>
      </w:r>
      <w:proofErr w:type="gramEnd"/>
      <w:r>
        <w:t xml:space="preserve"> auch dazu genutzt, Klimamaßnahmen zu finanzieren, bestehen blieb z.B. der Just Transition Fund, er wurde später durch den </w:t>
      </w:r>
      <w:proofErr w:type="spellStart"/>
      <w:r>
        <w:t>Social</w:t>
      </w:r>
      <w:proofErr w:type="spellEnd"/>
      <w:r>
        <w:t xml:space="preserve"> Climate Fund ergänzt und es blieb der </w:t>
      </w:r>
      <w:proofErr w:type="spellStart"/>
      <w:r>
        <w:t>InvestEU</w:t>
      </w:r>
      <w:proofErr w:type="spellEnd"/>
      <w:r>
        <w:t xml:space="preserve"> Fond, der schon zuvor bestanden hatte.</w:t>
      </w:r>
      <w:r>
        <w:rPr>
          <w:rStyle w:val="Funotenzeichen"/>
        </w:rPr>
        <w:footnoteReference w:id="1243"/>
      </w:r>
    </w:p>
    <w:p w14:paraId="230CD739" w14:textId="77777777" w:rsidR="00112190" w:rsidRDefault="00112190" w:rsidP="00112190"/>
    <w:p w14:paraId="3EA974E8" w14:textId="7EDCCC47" w:rsidR="00112190" w:rsidRDefault="00112190" w:rsidP="00934443">
      <w:r>
        <w:t>Trotz der hohen Summen wird derzeit befürchtet, dass ab 2026 zu wenige Gelder zur Verfügung stehen, wenn der RRF mit seinen hohen Geldsummen ausläuft</w:t>
      </w:r>
      <w:r>
        <w:rPr>
          <w:rStyle w:val="Funotenzeichen"/>
        </w:rPr>
        <w:footnoteReference w:id="1244"/>
      </w:r>
      <w:r>
        <w:t xml:space="preserve">, siehe für Reformvorschläge Pisani-Ferry et al. (2023) und Bruegel/Demertzis et al. (2024). </w:t>
      </w:r>
    </w:p>
    <w:p w14:paraId="05F6C1E6" w14:textId="77777777" w:rsidR="00112190" w:rsidRDefault="00112190" w:rsidP="00112190"/>
    <w:p w14:paraId="66795152" w14:textId="287F196F" w:rsidR="00112190" w:rsidRDefault="00112190" w:rsidP="00112190">
      <w:bookmarkStart w:id="63" w:name="_Hlk195911235"/>
      <w:r>
        <w:t xml:space="preserve">Geschätzt wird, so die Pressemitteilung, dass der </w:t>
      </w:r>
      <w:proofErr w:type="gramStart"/>
      <w:r>
        <w:t>EU Haushalt</w:t>
      </w:r>
      <w:proofErr w:type="gramEnd"/>
      <w:r>
        <w:t xml:space="preserve"> von 2021 bis 2027 bzw. bis 2030 gerechnet 503 Mrd. Euro aufbringen kann, dazu kommt eine nationale Ko-Finanzierung von ca. 114 Mrd. Euro, sowie ca. 279 Mrd. Euro durch Kreditgarantieren durch </w:t>
      </w:r>
      <w:proofErr w:type="spellStart"/>
      <w:r>
        <w:t>InvestEU</w:t>
      </w:r>
      <w:proofErr w:type="spellEnd"/>
      <w:r>
        <w:t>. Der Emissionshandel bringt noch weitere 25 Mrd. Euro.</w:t>
      </w:r>
      <w:r>
        <w:rPr>
          <w:rStyle w:val="Funotenzeichen"/>
        </w:rPr>
        <w:footnoteReference w:id="1245"/>
      </w:r>
      <w:r>
        <w:t xml:space="preserve"> </w:t>
      </w:r>
      <w:bookmarkEnd w:id="63"/>
      <w:r>
        <w:t xml:space="preserve">Der </w:t>
      </w:r>
      <w:r w:rsidR="00934443">
        <w:t xml:space="preserve">nun veränderte und umbenannte Green Deal Investment Plan bleibt somit ein Plan und </w:t>
      </w:r>
      <w:r>
        <w:t>soll konkret umgesetzt durch den Haushalt der EU (den Mehrjährigen Finanzrahmen, MFR, 2021-2027), von dem 25 % der Gelder ins Klima fließen sollen (zusammen mit dem Aufbaufond NGEU mit 1,82 Mrd. Euro</w:t>
      </w:r>
      <w:r>
        <w:rPr>
          <w:rStyle w:val="Funotenzeichen"/>
        </w:rPr>
        <w:footnoteReference w:id="1246"/>
      </w:r>
      <w:r>
        <w:t>), der Kohäsionsfond und der Fond für regionale Entwicklung soll zu 30 % in Klimaprojekte umgelenkt werden (EFRE hat 330,2 Mrd. Euro zur Verfügung</w:t>
      </w:r>
      <w:r>
        <w:rPr>
          <w:rStyle w:val="Funotenzeichen"/>
        </w:rPr>
        <w:footnoteReference w:id="1247"/>
      </w:r>
      <w:r>
        <w:t xml:space="preserve">), die Gemeinsame Agrarpolitik zu 40 % der Mittel, die Fazilität </w:t>
      </w:r>
      <w:proofErr w:type="spellStart"/>
      <w:r>
        <w:t>Connecting</w:t>
      </w:r>
      <w:proofErr w:type="spellEnd"/>
      <w:r>
        <w:t xml:space="preserve"> Europe aus dem normalen Haushalt soll zu 60 % umgelenkt werden.</w:t>
      </w:r>
      <w:r>
        <w:rPr>
          <w:rStyle w:val="Funotenzeichen"/>
        </w:rPr>
        <w:footnoteReference w:id="1248"/>
      </w:r>
      <w:r>
        <w:t xml:space="preserve"> </w:t>
      </w:r>
    </w:p>
    <w:p w14:paraId="57319C8A" w14:textId="77777777" w:rsidR="00112190" w:rsidRDefault="00112190" w:rsidP="00112190"/>
    <w:p w14:paraId="254F4D99" w14:textId="77777777" w:rsidR="00112190" w:rsidRDefault="00112190" w:rsidP="00112190">
      <w:r>
        <w:lastRenderedPageBreak/>
        <w:t xml:space="preserve">Die </w:t>
      </w:r>
      <w:proofErr w:type="spellStart"/>
      <w:r>
        <w:t>Connecting</w:t>
      </w:r>
      <w:proofErr w:type="spellEnd"/>
      <w:r>
        <w:t xml:space="preserve"> Europe Facility (CEF) finanziert grenzüberschreitende Investitionen in die Energieinfrastruktur, mit 5,18 Mrd. Euro.</w:t>
      </w:r>
      <w:r>
        <w:rPr>
          <w:rStyle w:val="Funotenzeichen"/>
        </w:rPr>
        <w:footnoteReference w:id="1249"/>
      </w:r>
      <w:r>
        <w:t xml:space="preserve"> Investitionen in den Klimaschutz sollen von der Europäischen Investitionsbank (EIB) vergeben werden, die im „entscheidenden Jahrzehnt 2021-2030 Investitionen von 1 Billion Euro mobilisieren will, mit Krediten, teils auch für Projekte außerhalb Europas.</w:t>
      </w:r>
      <w:r>
        <w:rPr>
          <w:rStyle w:val="Funotenzeichen"/>
        </w:rPr>
        <w:footnoteReference w:id="1250"/>
      </w:r>
      <w:r>
        <w:t xml:space="preserve"> </w:t>
      </w:r>
    </w:p>
    <w:p w14:paraId="6E60BCE6" w14:textId="77777777" w:rsidR="00112190" w:rsidRDefault="00112190" w:rsidP="00112190"/>
    <w:p w14:paraId="103BA6FD" w14:textId="5D38C0DD" w:rsidR="00112190" w:rsidRDefault="00112190" w:rsidP="00112190">
      <w:r>
        <w:t xml:space="preserve">Mit dem </w:t>
      </w:r>
      <w:proofErr w:type="spellStart"/>
      <w:r>
        <w:t>InvestEU</w:t>
      </w:r>
      <w:proofErr w:type="spellEnd"/>
      <w:r>
        <w:t xml:space="preserve"> Garantiefond sollen mit einer Kreditgarantie durch den Haushalt der EU die Kreditvergabe erleichtert werden, dadurch sollen 373 Mrd. Euro an Krediten ermöglicht werden.</w:t>
      </w:r>
      <w:r>
        <w:rPr>
          <w:rStyle w:val="Funotenzeichen"/>
        </w:rPr>
        <w:footnoteReference w:id="1251"/>
      </w:r>
      <w:r>
        <w:t xml:space="preserve"> Es ist ein </w:t>
      </w:r>
      <w:proofErr w:type="spellStart"/>
      <w:r>
        <w:t>InvestEU</w:t>
      </w:r>
      <w:proofErr w:type="spellEnd"/>
      <w:r>
        <w:t xml:space="preserve"> Portal aufgebaut worden, in der Investmentprojekte hinterlegt werden können, für die ein Investor gesucht wird.</w:t>
      </w:r>
      <w:r>
        <w:rPr>
          <w:rStyle w:val="Funotenzeichen"/>
        </w:rPr>
        <w:footnoteReference w:id="1252"/>
      </w:r>
      <w:r>
        <w:t xml:space="preserve"> Zudem sollen 37 % des Recovery- und </w:t>
      </w:r>
      <w:proofErr w:type="spellStart"/>
      <w:r>
        <w:t>Resilience</w:t>
      </w:r>
      <w:proofErr w:type="spellEnd"/>
      <w:r>
        <w:t xml:space="preserve"> (RFF) Fond von 672,5 Mrd. für Klimaziele ausgegeben werden, weitere Infos zur Finanzierung gibt es auf dieser neuen EU-Infoseite.</w:t>
      </w:r>
      <w:r>
        <w:rPr>
          <w:rStyle w:val="Funotenzeichen"/>
        </w:rPr>
        <w:footnoteReference w:id="1253"/>
      </w:r>
      <w:r>
        <w:t xml:space="preserve"> Die EU Taxonomie, siehe Taxonomie Verordnung</w:t>
      </w:r>
      <w:r>
        <w:rPr>
          <w:rStyle w:val="Funotenzeichen"/>
        </w:rPr>
        <w:footnoteReference w:id="1254"/>
      </w:r>
      <w:r>
        <w:t>, soll dabei helfen, nachhaltige Investitionen zu definieren.</w:t>
      </w:r>
      <w:r>
        <w:rPr>
          <w:rStyle w:val="Funotenzeichen"/>
        </w:rPr>
        <w:footnoteReference w:id="1255"/>
      </w:r>
      <w:r>
        <w:t xml:space="preserve"> Weiterhin sollen im Bereich des EU-Wettbewerbsrechts Anpassungen erfolgen, Beihilfevorschriften überarbeitet werden, um Klimaneutralität einzubeziehen, etwa sollen Beihilfen für Fernwärmenetz, für den Ausstieg aus Kohlekraftwerken und für die Kreislaufwirtschaft, freigestellt werden</w:t>
      </w:r>
      <w:r>
        <w:rPr>
          <w:rStyle w:val="Funotenzeichen"/>
        </w:rPr>
        <w:footnoteReference w:id="1256"/>
      </w:r>
      <w:r>
        <w:t xml:space="preserve">, siehe weiter unten. </w:t>
      </w:r>
    </w:p>
    <w:p w14:paraId="5B81ECE2" w14:textId="77777777" w:rsidR="00112190" w:rsidRDefault="00112190" w:rsidP="00112190"/>
    <w:p w14:paraId="2269840D" w14:textId="77777777" w:rsidR="00112190" w:rsidRDefault="00112190" w:rsidP="00112190">
      <w:r>
        <w:t>Der Just Transition Fund / Fonds für den gerechten Übergang hilft Gebieten, die besonders unter der Transformation von Kohle und anderen emissionsintensiven Industrien (Ölraffinerien, Torf, Ölschiefer) hin zu einer emissionsfreien Wirtschaft leiden.</w:t>
      </w:r>
      <w:r w:rsidRPr="00BA0686">
        <w:rPr>
          <w:rStyle w:val="Funotenzeichen"/>
        </w:rPr>
        <w:t xml:space="preserve"> </w:t>
      </w:r>
      <w:r>
        <w:rPr>
          <w:rStyle w:val="Funotenzeichen"/>
        </w:rPr>
        <w:footnoteReference w:id="1257"/>
      </w:r>
      <w:r>
        <w:t xml:space="preserve"> Siehe zur Webseite des Just Transition Fund (JFT)</w:t>
      </w:r>
      <w:r>
        <w:rPr>
          <w:rStyle w:val="Funotenzeichen"/>
        </w:rPr>
        <w:footnoteReference w:id="1258"/>
      </w:r>
      <w:r>
        <w:t xml:space="preserve"> und die Just Transition Plattform, mit vielen weitere Informationen zu den diesbezüglichen Regulierungen und einer eigenständigen Timeline.</w:t>
      </w:r>
      <w:r>
        <w:rPr>
          <w:rStyle w:val="Funotenzeichen"/>
        </w:rPr>
        <w:footnoteReference w:id="1259"/>
      </w:r>
      <w:r>
        <w:t xml:space="preserve"> Er ist Teil der Kohäsionspolitik der EU, um schwächere Regionen zu unterstützen und, siehe Art. 174 AEUV ff., dazu gehört der Europäische Fond für regionale Entwicklung (EFRE), der Kohäsionsfond, der Solidaritätsfond (bei Umweltkatastrophen), die Unterstützung von Gebieten in äußerster Randlage, ein Programm zur Unterstützung des Friedens in Nordirland und nun der Fonds für den Gerechten Übergang.</w:t>
      </w:r>
      <w:r>
        <w:rPr>
          <w:rStyle w:val="Funotenzeichen"/>
        </w:rPr>
        <w:footnoteReference w:id="1260"/>
      </w:r>
      <w:r>
        <w:t xml:space="preserve"> </w:t>
      </w:r>
    </w:p>
    <w:p w14:paraId="44FBBA6B" w14:textId="77777777" w:rsidR="00112190" w:rsidRDefault="00112190" w:rsidP="00112190"/>
    <w:p w14:paraId="082B7098" w14:textId="79549402" w:rsidR="00112190" w:rsidRDefault="00112190" w:rsidP="00112190">
      <w:r>
        <w:t xml:space="preserve">Dazu kommt der Europäische Sozialfonds + (ESF +) und der EU </w:t>
      </w:r>
      <w:proofErr w:type="spellStart"/>
      <w:r>
        <w:t>Solidarity</w:t>
      </w:r>
      <w:proofErr w:type="spellEnd"/>
      <w:r>
        <w:t xml:space="preserve"> Fond (EUSF), darunter der COVID 19 EU </w:t>
      </w:r>
      <w:proofErr w:type="spellStart"/>
      <w:r>
        <w:t>Solidarity</w:t>
      </w:r>
      <w:proofErr w:type="spellEnd"/>
      <w:r>
        <w:t xml:space="preserve"> Fund, der weitergetragen wird durch das REACT-EU Paket.</w:t>
      </w:r>
      <w:r>
        <w:rPr>
          <w:rStyle w:val="Funotenzeichen"/>
        </w:rPr>
        <w:footnoteReference w:id="1261"/>
      </w:r>
      <w:r>
        <w:t xml:space="preserve"> Die Kohäsionspolitik der EU erfordert bei Projekten teilweise eine 50 % Kofinanzierung durch die Länder</w:t>
      </w:r>
      <w:r w:rsidR="00435052">
        <w:t xml:space="preserve">, </w:t>
      </w:r>
      <w:r w:rsidR="00435052">
        <w:lastRenderedPageBreak/>
        <w:t>die ist nicht immer einfach zu erfüllen, wenn die Länder zu wenig Geld haben bzw. zu viele Schulden</w:t>
      </w:r>
      <w:r>
        <w:t>.</w:t>
      </w:r>
      <w:r w:rsidR="00435052">
        <w:rPr>
          <w:rStyle w:val="Funotenzeichen"/>
        </w:rPr>
        <w:footnoteReference w:id="1262"/>
      </w:r>
      <w:r>
        <w:t xml:space="preserve"> Typischerweise, dies ist auch beim Just Transition Fund der Fall, werden Gebiete definiert, für die eine Förderung möglich ist bzw. in den Projekte genehmigt werden können. Dies sind in Deutschland z.B. die Braunkohlereviere, aber auch Gebiete, die stark von Öl abhängig sind, etwa die Raffinerie Schwedt in der Uckermark. Diese wurden im vom BMWK in Auftrag gegebenen Abschlussbericht der Kommission Wachstum, Strukturwandel und Beschäftigung, 2019, analysiert.</w:t>
      </w:r>
      <w:r>
        <w:rPr>
          <w:rStyle w:val="Funotenzeichen"/>
        </w:rPr>
        <w:footnoteReference w:id="1263"/>
      </w:r>
      <w:r>
        <w:t xml:space="preserve"> Alle </w:t>
      </w:r>
      <w:proofErr w:type="gramStart"/>
      <w:r>
        <w:t>EU Länder</w:t>
      </w:r>
      <w:proofErr w:type="gramEnd"/>
      <w:r>
        <w:t xml:space="preserve"> haben nun sog. Territorial Just Transition Plans (TJTPs) entwickelt, </w:t>
      </w:r>
      <w:proofErr w:type="gramStart"/>
      <w:r>
        <w:t>die Ausgangspunkt</w:t>
      </w:r>
      <w:proofErr w:type="gramEnd"/>
      <w:r>
        <w:t xml:space="preserve"> für die Förderung sind. Auf der EU Just Transition </w:t>
      </w:r>
      <w:proofErr w:type="spellStart"/>
      <w:r>
        <w:t>Platform</w:t>
      </w:r>
      <w:proofErr w:type="spellEnd"/>
      <w:r>
        <w:t xml:space="preserve"> Webseite gibt es eine Europakarte mit diesen Regionen.</w:t>
      </w:r>
      <w:r>
        <w:rPr>
          <w:rStyle w:val="Funotenzeichen"/>
        </w:rPr>
        <w:footnoteReference w:id="1264"/>
      </w:r>
      <w:r>
        <w:t xml:space="preserve"> Der Territoriale Plan für das Rheinische Revier findet sich hier</w:t>
      </w:r>
      <w:r>
        <w:rPr>
          <w:rStyle w:val="Funotenzeichen"/>
        </w:rPr>
        <w:footnoteReference w:id="1265"/>
      </w:r>
      <w:r>
        <w:t>, die EFRE/JTF NRW Seite hier.</w:t>
      </w:r>
      <w:r>
        <w:rPr>
          <w:rStyle w:val="Funotenzeichen"/>
        </w:rPr>
        <w:footnoteReference w:id="1266"/>
      </w:r>
      <w:r>
        <w:t xml:space="preserve"> Der Just Transition Fund verfügt in einer ersten Säule über 19,2 Mrd.</w:t>
      </w:r>
      <w:r w:rsidRPr="00BA0686">
        <w:rPr>
          <w:rStyle w:val="Funotenzeichen"/>
        </w:rPr>
        <w:t xml:space="preserve"> </w:t>
      </w:r>
      <w:r>
        <w:rPr>
          <w:rStyle w:val="Funotenzeichen"/>
        </w:rPr>
        <w:footnoteReference w:id="1267"/>
      </w:r>
      <w:r>
        <w:t>, bestehend aus einem eigenständigen Fond mit 7,5 Mrd. Euro für den Zeitraum von 2021 -2027 sowie 10 Mrd. Euro aus den Corona Hilfen</w:t>
      </w:r>
      <w:r>
        <w:rPr>
          <w:rStyle w:val="Funotenzeichen"/>
        </w:rPr>
        <w:footnoteReference w:id="1268"/>
      </w:r>
      <w:r>
        <w:t xml:space="preserve">, einer zweiten Säule von </w:t>
      </w:r>
      <w:proofErr w:type="spellStart"/>
      <w:r>
        <w:t>InvestEU</w:t>
      </w:r>
      <w:proofErr w:type="spellEnd"/>
      <w:r>
        <w:t xml:space="preserve"> Kreditgarantieren, die sollen ca. 10 bis 15 Mrd. Finanzierungen ermöglichen und in einer dritten Säule sollen für den öffentlichen Sektor von der Europäischen Investitionsbank 10 Mrd. Kredite und von der Kommission 1,5 Mrd. als Zuschuss eingeräumt werden.</w:t>
      </w:r>
      <w:r>
        <w:rPr>
          <w:rStyle w:val="Funotenzeichen"/>
        </w:rPr>
        <w:footnoteReference w:id="1269"/>
      </w:r>
      <w:r>
        <w:t xml:space="preserve"> Es können diverse Dinge gefördert werden u.a. auch Weiterbildung von Arbeitnehmern, aber auch Investitionen in bestehenden Firmen und die Gründung neuer Firmen sowie eine Transformation bestehender emissionsintensiver Firmen, wenn dies zu substantiellen Minderungen der Emissionen führt.</w:t>
      </w:r>
      <w:r>
        <w:rPr>
          <w:rStyle w:val="Funotenzeichen"/>
        </w:rPr>
        <w:footnoteReference w:id="1270"/>
      </w:r>
      <w:r>
        <w:t xml:space="preserve"> </w:t>
      </w:r>
    </w:p>
    <w:p w14:paraId="5D918040" w14:textId="77777777" w:rsidR="00C406E5" w:rsidRDefault="00C406E5" w:rsidP="00112190">
      <w:bookmarkStart w:id="66" w:name="_Hlk198230508"/>
    </w:p>
    <w:p w14:paraId="4E439608" w14:textId="7DDE8B43" w:rsidR="00C406E5" w:rsidRDefault="00112190" w:rsidP="00112190">
      <w:r>
        <w:t xml:space="preserve">Auch die Finanzmärkte sollen bei dieser großen Anstrengung </w:t>
      </w:r>
      <w:r w:rsidR="00AC777D">
        <w:t xml:space="preserve">der Transformation </w:t>
      </w:r>
      <w:r>
        <w:t>helfen</w:t>
      </w:r>
      <w:r>
        <w:rPr>
          <w:rStyle w:val="Funotenzeichen"/>
        </w:rPr>
        <w:footnoteReference w:id="1271"/>
      </w:r>
      <w:r>
        <w:t xml:space="preserve">, </w:t>
      </w:r>
      <w:r w:rsidR="00EB123F">
        <w:t>die EU verfügt über zwei Banken, die wichtigstes ist die Europäischen Investitionsbank EIB, ihr Finanzierungsvolumen lag 2024 bei 68,7 Mrd. (in der EU).</w:t>
      </w:r>
      <w:r w:rsidR="00EB123F">
        <w:rPr>
          <w:rStyle w:val="Funotenzeichen"/>
        </w:rPr>
        <w:footnoteReference w:id="1272"/>
      </w:r>
      <w:r w:rsidR="00EB123F">
        <w:t xml:space="preserve"> Die Europäische Bank für Wiederaufbau und Entwicklung EBWE (European Bank für Reconstruction and Development EBRD) wurde nach dem Ende des Kalten Krieges gegründet, um den Ländern in Mittel- und Osteuropa zu helfen, sie hat seither 180 Mrd. Euro verliehen und 6.800 Projekte gefördert, sie ist erweitert worden auf Länder im Mittelmehrraum: Türkei, Ägypten, Marokko, Tunesien, Kosova, Zypern, Griechenland, Libanon, </w:t>
      </w:r>
      <w:r w:rsidR="00F5015B">
        <w:t>Gazastreifen und Westjordanland, seit 2023 Irak und Sub-Sahara Afrika</w:t>
      </w:r>
      <w:r w:rsidR="00EB123F">
        <w:t>.</w:t>
      </w:r>
      <w:r w:rsidR="00EB123F">
        <w:rPr>
          <w:rStyle w:val="Funotenzeichen"/>
        </w:rPr>
        <w:footnoteReference w:id="1273"/>
      </w:r>
      <w:r w:rsidR="00EB123F">
        <w:t xml:space="preserve"> </w:t>
      </w:r>
    </w:p>
    <w:p w14:paraId="4919A4B4" w14:textId="77777777" w:rsidR="00C406E5" w:rsidRDefault="00C406E5" w:rsidP="00112190"/>
    <w:p w14:paraId="45C6CDC9" w14:textId="36979B3B" w:rsidR="00112190" w:rsidRDefault="00EB123F" w:rsidP="00112190">
      <w:r>
        <w:lastRenderedPageBreak/>
        <w:t>D</w:t>
      </w:r>
      <w:r w:rsidR="00112190">
        <w:t xml:space="preserve">ie Europäische Kommission </w:t>
      </w:r>
      <w:r w:rsidR="00C406E5">
        <w:t>versucht die privaten Finanzmärkte einzubeziehen</w:t>
      </w:r>
      <w:r w:rsidR="00112190">
        <w:t xml:space="preserve">, indem Standards für Grüne Bonds vorgeschlagen wurden, die von der European Securities </w:t>
      </w:r>
      <w:proofErr w:type="spellStart"/>
      <w:r w:rsidR="00112190">
        <w:t>Markets</w:t>
      </w:r>
      <w:proofErr w:type="spellEnd"/>
      <w:r w:rsidR="00112190">
        <w:t xml:space="preserve"> Authority beaufsichtigt werden.</w:t>
      </w:r>
      <w:r w:rsidR="00112190">
        <w:rPr>
          <w:rStyle w:val="Funotenzeichen"/>
        </w:rPr>
        <w:footnoteReference w:id="1274"/>
      </w:r>
      <w:r w:rsidR="00112190">
        <w:t xml:space="preserve"> </w:t>
      </w:r>
    </w:p>
    <w:bookmarkEnd w:id="66"/>
    <w:p w14:paraId="76D17800" w14:textId="77777777" w:rsidR="00112190" w:rsidRDefault="00112190" w:rsidP="00112190"/>
    <w:tbl>
      <w:tblPr>
        <w:tblStyle w:val="Tabellenraster"/>
        <w:tblW w:w="0" w:type="auto"/>
        <w:tblLook w:val="04A0" w:firstRow="1" w:lastRow="0" w:firstColumn="1" w:lastColumn="0" w:noHBand="0" w:noVBand="1"/>
      </w:tblPr>
      <w:tblGrid>
        <w:gridCol w:w="9062"/>
      </w:tblGrid>
      <w:tr w:rsidR="00337C19" w14:paraId="4122848C" w14:textId="77777777" w:rsidTr="00337C19">
        <w:tc>
          <w:tcPr>
            <w:tcW w:w="9062" w:type="dxa"/>
          </w:tcPr>
          <w:p w14:paraId="37974443" w14:textId="5CAE9D83" w:rsidR="00337C19" w:rsidRDefault="00337C19" w:rsidP="00112190">
            <w:r>
              <w:t xml:space="preserve">Im Bereich der </w:t>
            </w:r>
            <w:r w:rsidR="00C406E5">
              <w:t xml:space="preserve">privaten </w:t>
            </w:r>
            <w:r>
              <w:t xml:space="preserve">Finanzmärkte gibt es </w:t>
            </w:r>
            <w:r w:rsidR="005B6DF3">
              <w:t>u.a. darauf basiert weitere</w:t>
            </w:r>
            <w:r>
              <w:t xml:space="preserve"> Initiativen: Beispielsweise haben sich die Deutsche Bundesbank und die Bundesanstalt für Finanzaufsicht (BaFin) im September 2017 zum NGFS (Network </w:t>
            </w:r>
            <w:proofErr w:type="spellStart"/>
            <w:r>
              <w:t>for</w:t>
            </w:r>
            <w:proofErr w:type="spellEnd"/>
            <w:r>
              <w:t xml:space="preserve"> Greening </w:t>
            </w:r>
            <w:proofErr w:type="spellStart"/>
            <w:r>
              <w:t>the</w:t>
            </w:r>
            <w:proofErr w:type="spellEnd"/>
            <w:r>
              <w:t xml:space="preserve"> Financial System) zusammengeschlossen, mit 132 Mitglieder und 21 Beobachtern.</w:t>
            </w:r>
            <w:r>
              <w:rPr>
                <w:rStyle w:val="Funotenzeichen"/>
              </w:rPr>
              <w:footnoteReference w:id="1275"/>
            </w:r>
            <w:r>
              <w:t xml:space="preserve"> </w:t>
            </w:r>
            <w:r w:rsidR="005B6DF3">
              <w:t>Viele Verwalter von Investments haben sich den PRI (</w:t>
            </w:r>
            <w:proofErr w:type="spellStart"/>
            <w:r w:rsidR="005B6DF3">
              <w:t>Principles</w:t>
            </w:r>
            <w:proofErr w:type="spellEnd"/>
            <w:r w:rsidR="005B6DF3">
              <w:t xml:space="preserve"> </w:t>
            </w:r>
            <w:proofErr w:type="spellStart"/>
            <w:r w:rsidR="005B6DF3">
              <w:t>for</w:t>
            </w:r>
            <w:proofErr w:type="spellEnd"/>
            <w:r w:rsidR="005B6DF3">
              <w:t xml:space="preserve"> </w:t>
            </w:r>
            <w:proofErr w:type="spellStart"/>
            <w:r w:rsidR="005B6DF3">
              <w:t>Responsible</w:t>
            </w:r>
            <w:proofErr w:type="spellEnd"/>
            <w:r w:rsidR="005B6DF3">
              <w:t xml:space="preserve"> Investment) angeschlossen. Die BaFin hat ein Merkblatt zum Thema Nachhaltigkeit im Risikomanagement veröffentlich. Übergreifend wird dies als Thema ESG (Environment, </w:t>
            </w:r>
            <w:proofErr w:type="spellStart"/>
            <w:r w:rsidR="005B6DF3">
              <w:t>Social</w:t>
            </w:r>
            <w:proofErr w:type="spellEnd"/>
            <w:r w:rsidR="005B6DF3">
              <w:t xml:space="preserve">, and </w:t>
            </w:r>
            <w:proofErr w:type="spellStart"/>
            <w:r w:rsidR="005B6DF3">
              <w:t>Governance</w:t>
            </w:r>
            <w:proofErr w:type="spellEnd"/>
            <w:r w:rsidR="005B6DF3">
              <w:t xml:space="preserve">) benannt, an dem sich die </w:t>
            </w:r>
            <w:r w:rsidR="00AC777D">
              <w:t>Investmentbanker</w:t>
            </w:r>
            <w:r w:rsidR="005B6DF3">
              <w:t xml:space="preserve"> zunehmend ausrichten wollen.</w:t>
            </w:r>
            <w:r w:rsidR="005B6DF3">
              <w:rPr>
                <w:rStyle w:val="Funotenzeichen"/>
              </w:rPr>
              <w:footnoteReference w:id="1276"/>
            </w:r>
            <w:r w:rsidR="005B6DF3">
              <w:t xml:space="preserve"> </w:t>
            </w:r>
            <w:r>
              <w:t>Eine Reihe weiterer Geldinstitute hat sich solche Ziele gesetzt. In den Vereinten Nationen haben sich Großinvestoren in eine Net-Zero Asset Owner Alliance zusammengeschlossen, sie wollen ihre Anlagenportfolios bis 2050 klimaneutral ausgestalten.</w:t>
            </w:r>
            <w:r w:rsidR="00C164A9">
              <w:rPr>
                <w:rStyle w:val="Funotenzeichen"/>
              </w:rPr>
              <w:footnoteReference w:id="1277"/>
            </w:r>
            <w:r w:rsidR="00C406E5">
              <w:t xml:space="preserve"> In den Banken sind sog. Chief </w:t>
            </w:r>
            <w:proofErr w:type="spellStart"/>
            <w:r w:rsidR="00C406E5">
              <w:t>Sustainable</w:t>
            </w:r>
            <w:proofErr w:type="spellEnd"/>
            <w:r w:rsidR="00C406E5">
              <w:t xml:space="preserve"> </w:t>
            </w:r>
            <w:proofErr w:type="spellStart"/>
            <w:r w:rsidR="00C406E5">
              <w:t>Officers</w:t>
            </w:r>
            <w:proofErr w:type="spellEnd"/>
            <w:r w:rsidR="00C406E5">
              <w:t xml:space="preserve"> CSOs eingestellt worden, die darauf achten sollen, dass Nachhaltigkeit beachtet wird, es ist aber fraglich, so ein FAZ-Artikel, ob sie sich durchsetzen können, überhaupt ist derzeit das Thema ESG problematisch, weil die Trump Regierung gegen sog. ‚woke </w:t>
            </w:r>
            <w:proofErr w:type="spellStart"/>
            <w:r w:rsidR="00C406E5">
              <w:t>capitalism</w:t>
            </w:r>
            <w:proofErr w:type="spellEnd"/>
            <w:r w:rsidR="00C406E5">
              <w:t>‘ vorgeht, die Fondsgesellschaft Vanguard hat z.B. es nun den Privatkunden anheimgestellt, ob sie ‚wieder‘ Profite das Hauptgewicht einräumen wollen.</w:t>
            </w:r>
            <w:r w:rsidR="00C406E5">
              <w:rPr>
                <w:rStyle w:val="Funotenzeichen"/>
              </w:rPr>
              <w:footnoteReference w:id="1278"/>
            </w:r>
          </w:p>
        </w:tc>
      </w:tr>
    </w:tbl>
    <w:p w14:paraId="530849A4" w14:textId="77777777" w:rsidR="00112190" w:rsidRDefault="00112190" w:rsidP="00112190"/>
    <w:p w14:paraId="7FFE0585" w14:textId="49C90A5A" w:rsidR="00112190" w:rsidRDefault="00112190" w:rsidP="00112190">
      <w:r w:rsidRPr="00FF322B">
        <w:rPr>
          <w:u w:val="single"/>
        </w:rPr>
        <w:t>04. März 2020</w:t>
      </w:r>
      <w:r>
        <w:t xml:space="preserve">, hier wurde das Europäische Klimagesetz vorgestellt. Auch wenn das Klimagesetz in seiner späteren Version der Verordnung 2021/1119, 30. Juni 2021, die Kommission nicht zu delegierten Rechtsakten berechtigte, ist es doch das zentrale Dokument für den neuen Ansatz der </w:t>
      </w:r>
      <w:proofErr w:type="gramStart"/>
      <w:r>
        <w:t>EU Klimapolitik</w:t>
      </w:r>
      <w:proofErr w:type="gramEnd"/>
      <w:r>
        <w:t>. Bei diesem gibt es weniger um nationale Emissionsreduzierungen</w:t>
      </w:r>
      <w:r w:rsidRPr="003834BB">
        <w:t xml:space="preserve">, </w:t>
      </w:r>
      <w:r>
        <w:rPr>
          <w:u w:val="single"/>
        </w:rPr>
        <w:t>als um das</w:t>
      </w:r>
      <w:r w:rsidRPr="00A51E28">
        <w:rPr>
          <w:u w:val="single"/>
        </w:rPr>
        <w:t xml:space="preserve"> neue Ziel im Jahr 2050 keine Netto-Treibhausemissionen mehr freizusetzen, wobei trotzdem wirtschaftliches Wachstum erzielt werden soll (Art. 2) und bis 2030 die Treibhausgasemissionen gegenüber 1990 auf mindestens 55 % gesenkt werden sollen (Art. 4)</w:t>
      </w:r>
      <w:r>
        <w:rPr>
          <w:rStyle w:val="Funotenzeichen"/>
        </w:rPr>
        <w:footnoteReference w:id="1279"/>
      </w:r>
      <w:r>
        <w:rPr>
          <w:u w:val="single"/>
        </w:rPr>
        <w:t xml:space="preserve">, </w:t>
      </w:r>
      <w:r w:rsidR="00AC777D">
        <w:rPr>
          <w:u w:val="single"/>
        </w:rPr>
        <w:t xml:space="preserve">wg. Letzterer Prozentzahl </w:t>
      </w:r>
      <w:r>
        <w:rPr>
          <w:u w:val="single"/>
        </w:rPr>
        <w:t xml:space="preserve">auch genannt Fit </w:t>
      </w:r>
      <w:proofErr w:type="spellStart"/>
      <w:r>
        <w:rPr>
          <w:u w:val="single"/>
        </w:rPr>
        <w:t>for</w:t>
      </w:r>
      <w:proofErr w:type="spellEnd"/>
      <w:r>
        <w:rPr>
          <w:u w:val="single"/>
        </w:rPr>
        <w:t xml:space="preserve"> 55.</w:t>
      </w:r>
      <w:r>
        <w:t xml:space="preserve"> Wie oben schon erwähnt gab es in der EU auf Länderebene stark unterschiedliche nationale Reduktionsvorgaben, die bis 2020 aber ausliefen, siehe noch eine </w:t>
      </w:r>
      <w:proofErr w:type="gramStart"/>
      <w:r>
        <w:t>EU Verordnung</w:t>
      </w:r>
      <w:proofErr w:type="gramEnd"/>
      <w:r>
        <w:t xml:space="preserve"> aus dem Jahr 2018.</w:t>
      </w:r>
      <w:r>
        <w:rPr>
          <w:rStyle w:val="Funotenzeichen"/>
        </w:rPr>
        <w:footnoteReference w:id="1280"/>
      </w:r>
      <w:r>
        <w:t xml:space="preserve"> D</w:t>
      </w:r>
      <w:r w:rsidR="00AC777D">
        <w:t>as Klimagesetz und die Ziele</w:t>
      </w:r>
      <w:r>
        <w:t xml:space="preserve"> wurde</w:t>
      </w:r>
      <w:r w:rsidR="00AC777D">
        <w:t>n</w:t>
      </w:r>
      <w:r>
        <w:t xml:space="preserve"> vom Europäischen Rat (EU-Gipfel) vom Dezember 2020 bestätigt, siehe hier für einen Überblick.</w:t>
      </w:r>
      <w:r>
        <w:rPr>
          <w:rStyle w:val="Funotenzeichen"/>
        </w:rPr>
        <w:footnoteReference w:id="1281"/>
      </w:r>
      <w:r>
        <w:t xml:space="preserve"> </w:t>
      </w:r>
    </w:p>
    <w:p w14:paraId="4F26C390" w14:textId="77777777" w:rsidR="00112190" w:rsidRDefault="00112190" w:rsidP="00112190"/>
    <w:p w14:paraId="1D295C15" w14:textId="77777777" w:rsidR="00112190" w:rsidRDefault="00112190" w:rsidP="00112190">
      <w:r>
        <w:t>Dies beruhte auch auf der Mitteilung der Kommission eines Climate Target Plans vom 17. September 2020.</w:t>
      </w:r>
      <w:r>
        <w:rPr>
          <w:rStyle w:val="Funotenzeichen"/>
        </w:rPr>
        <w:footnoteReference w:id="1282"/>
      </w:r>
      <w:r>
        <w:t xml:space="preserve"> Zusammen mit dem Climate Target Plan wurde auch eine Folgenabschätzung (Impact Assessment) vorgelegt, u.a. mit dem Ergebnis, dass von 2021 bis 2030 350 Mrd. Euro mehr in die Energiesysteme investiert werden müssten, dies sei aber mit geringfügigen Steigerungen der Energieausgaben in den nationalen Haushalten schaffbar.</w:t>
      </w:r>
      <w:r>
        <w:rPr>
          <w:rStyle w:val="Funotenzeichen"/>
        </w:rPr>
        <w:footnoteReference w:id="1283"/>
      </w:r>
      <w:r>
        <w:t xml:space="preserve"> Öffentliche Konsultationen wurden von European Climate </w:t>
      </w:r>
      <w:proofErr w:type="spellStart"/>
      <w:r>
        <w:t>Pact</w:t>
      </w:r>
      <w:proofErr w:type="spellEnd"/>
      <w:r>
        <w:t xml:space="preserve"> initiiert.</w:t>
      </w:r>
      <w:r>
        <w:rPr>
          <w:rStyle w:val="Funotenzeichen"/>
        </w:rPr>
        <w:footnoteReference w:id="1284"/>
      </w:r>
      <w:r>
        <w:t xml:space="preserve"> </w:t>
      </w:r>
    </w:p>
    <w:p w14:paraId="56BE5344" w14:textId="77777777" w:rsidR="00112190" w:rsidRDefault="00112190" w:rsidP="00112190"/>
    <w:p w14:paraId="5E8D3609" w14:textId="33B16DBA" w:rsidR="00112190" w:rsidRDefault="00112190" w:rsidP="00112190">
      <w:r>
        <w:t xml:space="preserve">Beispiel ‚Europäisches Klimagesetz‘ / eingeschränkte </w:t>
      </w:r>
      <w:proofErr w:type="spellStart"/>
      <w:r>
        <w:t>Befugnisübertragung</w:t>
      </w:r>
      <w:proofErr w:type="spellEnd"/>
      <w:r>
        <w:t>. Beispiel dafür, dass durch den Einfluss der Mitgliedstaaten und des Parlaments eine Verordnung mit ihrem Verpflichtungscharakter abgeschwächt wurde, ist ausgerechnet die Verordnung vom 30. Juni 2021, zur Schaffung für die Verwirklichung der Klimaneutralität, das sog. Europäische Klimagesetz.</w:t>
      </w:r>
      <w:r>
        <w:rPr>
          <w:rStyle w:val="Funotenzeichen"/>
        </w:rPr>
        <w:footnoteReference w:id="1285"/>
      </w:r>
      <w:r>
        <w:t xml:space="preserve"> Die Kommission hatte noch in ihrem Vorschlag zum Europäischen Klimagesetz, in Art. 9 Abs. 1-6 eine </w:t>
      </w:r>
      <w:proofErr w:type="spellStart"/>
      <w:r>
        <w:t>Befugnisübertragung</w:t>
      </w:r>
      <w:proofErr w:type="spellEnd"/>
      <w:r>
        <w:t xml:space="preserve"> an die Kommission vorgeschlagen, wobei das Europäische Parlament und der Rat ein Vetorecht gehabt hätten.</w:t>
      </w:r>
      <w:r>
        <w:rPr>
          <w:rStyle w:val="Funotenzeichen"/>
        </w:rPr>
        <w:footnoteReference w:id="1286"/>
      </w:r>
      <w:r>
        <w:t xml:space="preserve"> Dies hätte der Kommission im Bereich Klimaschutz weitgehende Möglichkeiten gegeben Rechtsakte zu erlassen. Die Kommission kann in einer Verordnung durch eine </w:t>
      </w:r>
      <w:proofErr w:type="spellStart"/>
      <w:r>
        <w:t>Befugnisübertragung</w:t>
      </w:r>
      <w:proofErr w:type="spellEnd"/>
      <w:r>
        <w:t xml:space="preserve"> autorisiert werden sog. delegierte Rechtsakte zu erlassen, die dann nur noch im Ausschuss des Parlaments und einer Arbeitsgruppe im Rat überprüft werden (neben delegierten Rechtsakten gibt es noch Durchführungsrechtsakte).</w:t>
      </w:r>
      <w:r>
        <w:rPr>
          <w:rStyle w:val="Funotenzeichen"/>
        </w:rPr>
        <w:footnoteReference w:id="1287"/>
      </w:r>
      <w:r>
        <w:t xml:space="preserve"> </w:t>
      </w:r>
      <w:r w:rsidRPr="002E5A69">
        <w:rPr>
          <w:u w:val="single"/>
        </w:rPr>
        <w:t xml:space="preserve">Diese Befugnisse hat sie im Europäischen Klimagesetz aber nicht </w:t>
      </w:r>
      <w:r w:rsidR="00AC777D">
        <w:rPr>
          <w:u w:val="single"/>
        </w:rPr>
        <w:t xml:space="preserve">mehr </w:t>
      </w:r>
      <w:r w:rsidRPr="002E5A69">
        <w:rPr>
          <w:u w:val="single"/>
        </w:rPr>
        <w:t>erhalten, in der letztendlichen Verordnung (EU) 2021/1119 zum Klimagesetz findet sich, dies ist spektakulär, gar nichts mehr</w:t>
      </w:r>
      <w:r>
        <w:t>: Die Kommission darf, so Art. 10, freiwillige sektorspezifische Fahrpläne ausarbeiten</w:t>
      </w:r>
      <w:r>
        <w:rPr>
          <w:rStyle w:val="Funotenzeichen"/>
        </w:rPr>
        <w:footnoteReference w:id="1288"/>
      </w:r>
      <w:r>
        <w:t>, und nach bestimmten Zeitplänen die ‚gemeinsamen Fortschritte alle Mitgliedstaaten‘ bewerten und die Kommission kann dann weitere Gesetzesvorschläge machen (kann sie sowieso). Nur in Art. 5 werden die nationalen Pläne der Mitgliedstaaten (NEPC) kurz erwähnt, und allgemein beschrieben, dass sie diese umsetzen.</w:t>
      </w:r>
      <w:r>
        <w:rPr>
          <w:rStyle w:val="Funotenzeichen"/>
        </w:rPr>
        <w:footnoteReference w:id="1289"/>
      </w:r>
      <w:r>
        <w:t xml:space="preserve"> Das Klimagesetz der EU ist somit kein verbindliches Leitgesetz geworden, siehe Calliess (2022).</w:t>
      </w:r>
      <w:r>
        <w:rPr>
          <w:rStyle w:val="Funotenzeichen"/>
        </w:rPr>
        <w:footnoteReference w:id="1290"/>
      </w:r>
      <w:r>
        <w:t xml:space="preserve"> </w:t>
      </w:r>
    </w:p>
    <w:p w14:paraId="6A5EEB68" w14:textId="77777777" w:rsidR="00112190" w:rsidRDefault="00112190" w:rsidP="00112190">
      <w:r>
        <w:lastRenderedPageBreak/>
        <w:t xml:space="preserve">- Forschungsfrage: Inwiefern ist dies bei anderen Verordnungen passiert? Dies kann hier aus Zeitgründen nicht beantwortet werden, man müsste hier immer erst die Vorschläge der Kommission lesen und dann die Verordnungen suchen und diese vergleichen, um herauszufinden, inwiefern Vorschläge der Kommission abgeschwächt wurden.  </w:t>
      </w:r>
    </w:p>
    <w:p w14:paraId="5679E373" w14:textId="77777777" w:rsidR="00112190" w:rsidRDefault="00112190" w:rsidP="00112190"/>
    <w:p w14:paraId="1D17977C" w14:textId="77777777" w:rsidR="00112190" w:rsidRDefault="00112190" w:rsidP="00112190">
      <w:r w:rsidRPr="00FF322B">
        <w:rPr>
          <w:u w:val="single"/>
        </w:rPr>
        <w:t>10. März 2020</w:t>
      </w:r>
      <w:r>
        <w:t>. Als Mitteilung der Kommission wurde eine neue Europäische Industriestrategie vorgestellt, die mittlerweile aktualisiert worden ist, als COM (2021) 350 final.</w:t>
      </w:r>
      <w:r>
        <w:rPr>
          <w:rStyle w:val="Funotenzeichen"/>
        </w:rPr>
        <w:footnoteReference w:id="1291"/>
      </w:r>
      <w:r>
        <w:t xml:space="preserve"> Dieses Dokument ist nicht allein vom Klima geprägt, es ist wenig konkret und enthält Diskussionspunkte und Vorschläge zum Thema China, zu einer Verringerung von Abhängigkeiten im Rohstoffbereich und Industrieallianzen sollen im Bereich Chip- und Halbleiter, Rohstoffen, Batterien und Wasserstoff zugelassen werden, ein wettbewerbspolitisches Thema und in diesen Bereichen (und Arzneimitteln) ggf. wichtige Vorhaben vom gemeinsamen europäischen Interesse begonnen werden.</w:t>
      </w:r>
      <w:r>
        <w:rPr>
          <w:rStyle w:val="Funotenzeichen"/>
        </w:rPr>
        <w:footnoteReference w:id="1292"/>
      </w:r>
      <w:r>
        <w:t xml:space="preserve"> Hierauf bauen spätere Initiativen auf.</w:t>
      </w:r>
    </w:p>
    <w:p w14:paraId="2D1B2852" w14:textId="77777777" w:rsidR="00112190" w:rsidRDefault="00112190" w:rsidP="00112190"/>
    <w:p w14:paraId="05E69514" w14:textId="77777777" w:rsidR="00112190" w:rsidRDefault="00112190" w:rsidP="00112190">
      <w:r w:rsidRPr="00FF322B">
        <w:rPr>
          <w:u w:val="single"/>
        </w:rPr>
        <w:t>11. März 2020</w:t>
      </w:r>
      <w:r>
        <w:t>. Dann folgte ein Aktionsplan für eine Kreislaufwirtschaft</w:t>
      </w:r>
      <w:r>
        <w:rPr>
          <w:rStyle w:val="Funotenzeichen"/>
        </w:rPr>
        <w:footnoteReference w:id="1293"/>
      </w:r>
      <w:r>
        <w:t>, die auch als Industrie- und Klimapolitik verstanden wird. Es soll Recycling erhöht, aber auch Produkte haltbarer gemacht werden, repariert werden können, ihr CO2-Fussabruck verringert und dies bereits im Design beachtet werden. Schwerpunkte sind Elektronik, Handys und Computer, Batterien, Verpackungen, Kunststoffe, Textilien und die Bauwirtschaft. Weiterhin soll etwa gegen Lebensmittelverschwendung und gegen gefährliche Chemikalien unternommen werden. Ein Markt für recycelte Rohstoffe soll entstehen, gegen Abfallausfuhren etwas unternommen werden.</w:t>
      </w:r>
      <w:r>
        <w:rPr>
          <w:rStyle w:val="Funotenzeichen"/>
        </w:rPr>
        <w:footnoteReference w:id="1294"/>
      </w:r>
      <w:r>
        <w:t xml:space="preserve"> Konkret wurde etwa im Bereich Batterien etwas unternommen, siehe die Batterien-Timeline</w:t>
      </w:r>
      <w:r>
        <w:rPr>
          <w:rStyle w:val="Funotenzeichen"/>
        </w:rPr>
        <w:footnoteReference w:id="1295"/>
      </w:r>
      <w:r>
        <w:t>, eine neue Verordnung für Batterien ist nun in Kraft ab 17. August 2023, die vorsieht, dass Batterien ab 1. Juli 2024 recycelbar sein müssen, die auch für Industriebatterien und solche von Elektroautos gilt, die vom Hersteller zurückgenommen werden müssen (ob man dafür Geld bekommt, ist nicht geregelt, soweit ich gelesen habe).</w:t>
      </w:r>
      <w:r>
        <w:rPr>
          <w:rStyle w:val="Funotenzeichen"/>
        </w:rPr>
        <w:footnoteReference w:id="1296"/>
      </w:r>
      <w:r>
        <w:t xml:space="preserve"> Ein Ökodesign-Verordnung wurde am 30. März 2022 vorgeschlagen.</w:t>
      </w:r>
      <w:r>
        <w:rPr>
          <w:rStyle w:val="Funotenzeichen"/>
        </w:rPr>
        <w:footnoteReference w:id="1297"/>
      </w:r>
    </w:p>
    <w:p w14:paraId="79F1D816" w14:textId="77777777" w:rsidR="00112190" w:rsidRDefault="00112190" w:rsidP="00112190"/>
    <w:p w14:paraId="11B2D382" w14:textId="3309697A" w:rsidR="00435052" w:rsidRDefault="00435052" w:rsidP="00435052">
      <w:r>
        <w:t xml:space="preserve">Diese neue EU Ökodesign Verordnung (ESPR </w:t>
      </w:r>
      <w:proofErr w:type="spellStart"/>
      <w:r>
        <w:t>Ecodesign</w:t>
      </w:r>
      <w:proofErr w:type="spellEnd"/>
      <w:r>
        <w:t xml:space="preserve"> </w:t>
      </w:r>
      <w:proofErr w:type="spellStart"/>
      <w:r>
        <w:t>for</w:t>
      </w:r>
      <w:proofErr w:type="spellEnd"/>
      <w:r>
        <w:t xml:space="preserve"> </w:t>
      </w:r>
      <w:proofErr w:type="spellStart"/>
      <w:r>
        <w:t>Sustainable</w:t>
      </w:r>
      <w:proofErr w:type="spellEnd"/>
      <w:r>
        <w:t xml:space="preserve"> Products Regulation</w:t>
      </w:r>
      <w:r>
        <w:rPr>
          <w:rStyle w:val="Funotenzeichen"/>
        </w:rPr>
        <w:footnoteReference w:id="1298"/>
      </w:r>
      <w:r>
        <w:t>) soll Mindestanforderungen für bestimmte Produktgruppen, z.B. Stahl, für öffentliche Lieferaufträge, Bau- und Dienstleistungsaufträge formulieren, es sollen Mindestanforderungen für Haltbarkeit, Wiederverwendbarkeit, Reparierbarkeit, Gefährlichkeit, Energie- und Ressourceneffizienz, CO2-</w:t>
      </w:r>
      <w:r>
        <w:lastRenderedPageBreak/>
        <w:t xml:space="preserve">Fußabdruck und </w:t>
      </w:r>
      <w:proofErr w:type="spellStart"/>
      <w:r>
        <w:t>Rezyklatanteil</w:t>
      </w:r>
      <w:proofErr w:type="spellEnd"/>
      <w:r>
        <w:t xml:space="preserve"> erfüllt sein, ab 2026 soll es hier Regeln für alle</w:t>
      </w:r>
      <w:r>
        <w:rPr>
          <w:rStyle w:val="Funotenzeichen"/>
        </w:rPr>
        <w:footnoteReference w:id="1299"/>
      </w:r>
      <w:r>
        <w:t xml:space="preserve"> Produkte bzw. Produktgruppen geben, sogar für digitale Inhalte, es soll Regeln für die öffentliche Beschaffung geben, ein digitaler Produktpass und ein Ökodesign-Label eingeführt werden. Diese Regeln sollen auch für importierte Produkte gelten.</w:t>
      </w:r>
      <w:r>
        <w:rPr>
          <w:rStyle w:val="Funotenzeichen"/>
        </w:rPr>
        <w:footnoteReference w:id="1300"/>
      </w:r>
      <w:r>
        <w:t xml:space="preserve"> Siehe hier für die </w:t>
      </w:r>
      <w:proofErr w:type="gramStart"/>
      <w:r>
        <w:t>EU Webseite</w:t>
      </w:r>
      <w:proofErr w:type="gramEnd"/>
      <w:r>
        <w:t xml:space="preserve"> zum </w:t>
      </w:r>
      <w:proofErr w:type="spellStart"/>
      <w:r>
        <w:t>Ecodesign</w:t>
      </w:r>
      <w:proofErr w:type="spellEnd"/>
      <w:r>
        <w:t xml:space="preserve"> </w:t>
      </w:r>
      <w:proofErr w:type="spellStart"/>
      <w:r>
        <w:t>for</w:t>
      </w:r>
      <w:proofErr w:type="spellEnd"/>
      <w:r>
        <w:t xml:space="preserve"> </w:t>
      </w:r>
      <w:proofErr w:type="spellStart"/>
      <w:r>
        <w:t>Sustainable</w:t>
      </w:r>
      <w:proofErr w:type="spellEnd"/>
      <w:r>
        <w:t xml:space="preserve"> Products, hier wurde im April 2025 ein Arbeitsplan vorgelegt, für welche Produkte zuerst Regeln erarbeitet werden sollen.</w:t>
      </w:r>
      <w:r>
        <w:rPr>
          <w:rStyle w:val="Funotenzeichen"/>
        </w:rPr>
        <w:footnoteReference w:id="1301"/>
      </w:r>
      <w:r>
        <w:t xml:space="preserve"> Nur Produkte, die diesen Ökodesign-Anforderungen entsprechen dürfen in Verkehr gebracht werden, dies gilt auch für importierte Produkte.</w:t>
      </w:r>
      <w:r w:rsidRPr="006A2C25">
        <w:rPr>
          <w:rStyle w:val="Funotenzeichen"/>
        </w:rPr>
        <w:t xml:space="preserve"> </w:t>
      </w:r>
      <w:r>
        <w:rPr>
          <w:rStyle w:val="Funotenzeichen"/>
        </w:rPr>
        <w:footnoteReference w:id="1302"/>
      </w:r>
      <w:r>
        <w:t xml:space="preserve"> Praktisch ist eine Datenbank für energieeffiziente Produkte EPREL.</w:t>
      </w:r>
      <w:r>
        <w:rPr>
          <w:rStyle w:val="Funotenzeichen"/>
        </w:rPr>
        <w:footnoteReference w:id="1303"/>
      </w:r>
    </w:p>
    <w:p w14:paraId="6FFDA593" w14:textId="77777777" w:rsidR="00435052" w:rsidRDefault="00435052" w:rsidP="00435052"/>
    <w:tbl>
      <w:tblPr>
        <w:tblStyle w:val="Tabellenraster"/>
        <w:tblW w:w="0" w:type="auto"/>
        <w:tblLook w:val="04A0" w:firstRow="1" w:lastRow="0" w:firstColumn="1" w:lastColumn="0" w:noHBand="0" w:noVBand="1"/>
      </w:tblPr>
      <w:tblGrid>
        <w:gridCol w:w="9062"/>
      </w:tblGrid>
      <w:tr w:rsidR="00435052" w:rsidRPr="00F412BE" w14:paraId="4F34343B" w14:textId="77777777" w:rsidTr="00435052">
        <w:tc>
          <w:tcPr>
            <w:tcW w:w="9062" w:type="dxa"/>
          </w:tcPr>
          <w:p w14:paraId="24042CB7" w14:textId="018DCD96" w:rsidR="00435052" w:rsidRPr="00F412BE" w:rsidRDefault="00435052" w:rsidP="00435052">
            <w:r w:rsidRPr="00F412BE">
              <w:t xml:space="preserve">Die </w:t>
            </w:r>
            <w:proofErr w:type="spellStart"/>
            <w:r w:rsidRPr="00F412BE">
              <w:t>Ecodesign</w:t>
            </w:r>
            <w:proofErr w:type="spellEnd"/>
            <w:r w:rsidRPr="00F412BE">
              <w:t xml:space="preserve"> </w:t>
            </w:r>
            <w:proofErr w:type="spellStart"/>
            <w:r w:rsidRPr="00F412BE">
              <w:t>for</w:t>
            </w:r>
            <w:proofErr w:type="spellEnd"/>
            <w:r w:rsidRPr="00F412BE">
              <w:t xml:space="preserve"> </w:t>
            </w:r>
            <w:proofErr w:type="spellStart"/>
            <w:r w:rsidRPr="00F412BE">
              <w:t>Sustainable</w:t>
            </w:r>
            <w:proofErr w:type="spellEnd"/>
            <w:r w:rsidRPr="00F412BE">
              <w:t xml:space="preserve"> Products Regulation ESPR ist </w:t>
            </w:r>
            <w:r w:rsidR="00F412BE" w:rsidRPr="00F412BE">
              <w:t xml:space="preserve">schon bemerkenswert, </w:t>
            </w:r>
            <w:r w:rsidR="00F412BE">
              <w:t>hinsichtlich der vielen Bereiche zu denen Vorgaben gemacht werden sollen und deshalb, weil nahezu alle Produkte darunterfallen können. Aber was soll daraus werden: alle Waschmaschinen halten dann so lange wie Miele-Waschmaschinen? Stahlrohre müssen bestimmte CO2-Emissionsgrenzen einhalten und Stahlwerke, die nicht umgerüstet sind, dürfen ihre Rohre nicht mehr verkaufen? Solche Vorgabe kann es gar nicht geben, es werden Kompromisse gemacht werden müssen. Wichtig sind allerdings Recycling-Vorgaben, z.B. muss unbedingt Kupfer</w:t>
            </w:r>
            <w:r w:rsidR="00672D85">
              <w:t xml:space="preserve"> und </w:t>
            </w:r>
            <w:r w:rsidR="00F412BE">
              <w:t xml:space="preserve">Silber </w:t>
            </w:r>
            <w:r w:rsidR="00033EA9">
              <w:t>(obwohl Silber bei Solar durch Kuper ersetzt werden kann</w:t>
            </w:r>
            <w:r w:rsidR="00033EA9">
              <w:rPr>
                <w:rStyle w:val="Funotenzeichen"/>
              </w:rPr>
              <w:footnoteReference w:id="1304"/>
            </w:r>
            <w:r w:rsidR="00033EA9">
              <w:t xml:space="preserve">) </w:t>
            </w:r>
            <w:r w:rsidR="00F412BE">
              <w:t>etc. recycelt werden.</w:t>
            </w:r>
          </w:p>
        </w:tc>
      </w:tr>
    </w:tbl>
    <w:p w14:paraId="04DC4795" w14:textId="77777777" w:rsidR="00435052" w:rsidRPr="00F412BE" w:rsidRDefault="00435052" w:rsidP="00112190"/>
    <w:p w14:paraId="4DFBAA32" w14:textId="77777777" w:rsidR="00112190" w:rsidRDefault="00112190" w:rsidP="00112190">
      <w:r>
        <w:t>Die Deutsche Rohstoffagentur (DERA) initiierte in diesem Zusammenhang einen Dialog über das Thema Recycling von 2021 bis 2023 mit 380 Vertretern aus Industrie, Verbänden usw. im Auftrag des BMWK, siehe hier die Dialogplattform mit Berichten sortiert nach Rohstoffen</w:t>
      </w:r>
      <w:r>
        <w:rPr>
          <w:rStyle w:val="Funotenzeichen"/>
        </w:rPr>
        <w:footnoteReference w:id="1305"/>
      </w:r>
      <w:r>
        <w:t>, siehe hier die allgemeine Webseite.</w:t>
      </w:r>
      <w:r>
        <w:rPr>
          <w:rStyle w:val="Funotenzeichen"/>
        </w:rPr>
        <w:footnoteReference w:id="1306"/>
      </w:r>
    </w:p>
    <w:p w14:paraId="4ABD10B6" w14:textId="77777777" w:rsidR="00112190" w:rsidRDefault="00112190" w:rsidP="00112190"/>
    <w:p w14:paraId="5236FA12" w14:textId="77777777" w:rsidR="00112190" w:rsidRDefault="00112190" w:rsidP="00112190">
      <w:r w:rsidRPr="00FF322B">
        <w:rPr>
          <w:u w:val="single"/>
        </w:rPr>
        <w:t>20. Mai 2020</w:t>
      </w:r>
      <w:r>
        <w:t xml:space="preserve">. Die </w:t>
      </w:r>
      <w:proofErr w:type="spellStart"/>
      <w:r>
        <w:t>Biodiversitätstrategie</w:t>
      </w:r>
      <w:proofErr w:type="spellEnd"/>
      <w:r>
        <w:t xml:space="preserve"> für 2030, bei der es u.a. auch um Aufforstung geht und eine Farm </w:t>
      </w:r>
      <w:proofErr w:type="spellStart"/>
      <w:r>
        <w:t>to</w:t>
      </w:r>
      <w:proofErr w:type="spellEnd"/>
      <w:r>
        <w:t xml:space="preserve"> Fork </w:t>
      </w:r>
      <w:proofErr w:type="spellStart"/>
      <w:r>
        <w:t>Strategy</w:t>
      </w:r>
      <w:proofErr w:type="spellEnd"/>
      <w:r>
        <w:t xml:space="preserve"> wurde vorgestellt, ein Jahr später, 25. März 2021, gab es einen Plan für ökologische Landwirtschaft, die im Jahr 2030 auf 25 % des Landes bestehen soll.</w:t>
      </w:r>
      <w:r>
        <w:rPr>
          <w:rStyle w:val="Funotenzeichen"/>
        </w:rPr>
        <w:footnoteReference w:id="1307"/>
      </w:r>
      <w:r>
        <w:t xml:space="preserve"> </w:t>
      </w:r>
    </w:p>
    <w:p w14:paraId="22246A38" w14:textId="77777777" w:rsidR="00112190" w:rsidRDefault="00112190" w:rsidP="00112190"/>
    <w:p w14:paraId="6A0BAC79" w14:textId="69D13B31" w:rsidR="00112190" w:rsidRDefault="00112190" w:rsidP="00112190">
      <w:r w:rsidRPr="00FF322B">
        <w:rPr>
          <w:u w:val="single"/>
        </w:rPr>
        <w:t>8. Juli 2020</w:t>
      </w:r>
      <w:r>
        <w:t xml:space="preserve">. Eine EU </w:t>
      </w:r>
      <w:proofErr w:type="spellStart"/>
      <w:r>
        <w:t>Strategy</w:t>
      </w:r>
      <w:proofErr w:type="spellEnd"/>
      <w:r>
        <w:t xml:space="preserve"> </w:t>
      </w:r>
      <w:proofErr w:type="spellStart"/>
      <w:r>
        <w:t>for</w:t>
      </w:r>
      <w:proofErr w:type="spellEnd"/>
      <w:r>
        <w:t xml:space="preserve"> </w:t>
      </w:r>
      <w:proofErr w:type="spellStart"/>
      <w:r>
        <w:t>energy</w:t>
      </w:r>
      <w:proofErr w:type="spellEnd"/>
      <w:r>
        <w:t xml:space="preserve"> </w:t>
      </w:r>
      <w:proofErr w:type="spellStart"/>
      <w:r>
        <w:t>system</w:t>
      </w:r>
      <w:proofErr w:type="spellEnd"/>
      <w:r>
        <w:t xml:space="preserve"> </w:t>
      </w:r>
      <w:proofErr w:type="spellStart"/>
      <w:r>
        <w:t>integration</w:t>
      </w:r>
      <w:proofErr w:type="spellEnd"/>
      <w:r>
        <w:t xml:space="preserve"> and hydrogen wurde begonnen, die neben Nutzung von Gebäudeenergie, Elektrifizierungsideen, eine EU Wasserstoffstrategie </w:t>
      </w:r>
      <w:r w:rsidR="0065666F">
        <w:t xml:space="preserve">in Form einer Mitteilung (nicht rechtlich verbindlich) </w:t>
      </w:r>
      <w:r>
        <w:t>enthält.</w:t>
      </w:r>
      <w:r>
        <w:rPr>
          <w:rStyle w:val="Funotenzeichen"/>
        </w:rPr>
        <w:footnoteReference w:id="1308"/>
      </w:r>
      <w:r>
        <w:t xml:space="preserve"> </w:t>
      </w:r>
      <w:r w:rsidR="00982867">
        <w:t xml:space="preserve">In der EU Wasserstoffstrategie von 2020 findet sich z.B. das Ziel bis 2030 Elektrolyseure mit einer Gesamtleistung von 40 GW zu </w:t>
      </w:r>
      <w:r w:rsidR="00982867">
        <w:lastRenderedPageBreak/>
        <w:t>installieren.</w:t>
      </w:r>
      <w:r w:rsidR="00982867">
        <w:rPr>
          <w:rStyle w:val="Funotenzeichen"/>
        </w:rPr>
        <w:footnoteReference w:id="1309"/>
      </w:r>
      <w:r w:rsidR="00982867">
        <w:t xml:space="preserve"> </w:t>
      </w:r>
      <w:r>
        <w:t xml:space="preserve">Diesem Impuls sind einige Dinge nachgefolgt: Im Jahr 2020 wurde die European Hydrogen Alliance gegründet, die wirtschaftliche Investitionsprojekte im Bereich Wasserstoff entwickeln soll, darunter auch Projekte, die unter </w:t>
      </w:r>
      <w:proofErr w:type="spellStart"/>
      <w:r>
        <w:t>Important</w:t>
      </w:r>
      <w:proofErr w:type="spellEnd"/>
      <w:r>
        <w:t xml:space="preserve"> Projects </w:t>
      </w:r>
      <w:proofErr w:type="spellStart"/>
      <w:r>
        <w:t>of</w:t>
      </w:r>
      <w:proofErr w:type="spellEnd"/>
      <w:r>
        <w:t xml:space="preserve"> Common European Interest (IPCEI) fallen können.</w:t>
      </w:r>
      <w:r w:rsidR="00982867">
        <w:t xml:space="preserve"> Im Rahmen der European Hydrogen Alliance fand im Mai 2022 ein Treff von 20 Firmenchefs statt, die eine Verzehnfachung der Elektrolyse-Kapazität versprachen.</w:t>
      </w:r>
      <w:r>
        <w:rPr>
          <w:rStyle w:val="Funotenzeichen"/>
        </w:rPr>
        <w:footnoteReference w:id="1310"/>
      </w:r>
      <w:r>
        <w:t xml:space="preserve"> </w:t>
      </w:r>
      <w:r w:rsidR="00982867">
        <w:t>Eine Übersicht findet sich auf der EU Webseite Hydrogen</w:t>
      </w:r>
      <w:r w:rsidR="00982867">
        <w:rPr>
          <w:rStyle w:val="Funotenzeichen"/>
        </w:rPr>
        <w:footnoteReference w:id="1311"/>
      </w:r>
      <w:r w:rsidR="00982867">
        <w:t xml:space="preserve">, dort gibt es Links zu weiteren Wasserstoff-Infoseiten der EU. Eine weitere Webseite ist EU </w:t>
      </w:r>
      <w:proofErr w:type="spellStart"/>
      <w:r w:rsidR="00982867">
        <w:t>energy</w:t>
      </w:r>
      <w:proofErr w:type="spellEnd"/>
      <w:r w:rsidR="00982867">
        <w:t xml:space="preserve"> </w:t>
      </w:r>
      <w:proofErr w:type="spellStart"/>
      <w:r w:rsidR="00982867">
        <w:t>policy</w:t>
      </w:r>
      <w:proofErr w:type="spellEnd"/>
      <w:r w:rsidR="00982867">
        <w:t>.</w:t>
      </w:r>
      <w:r w:rsidR="00982867">
        <w:rPr>
          <w:rStyle w:val="Funotenzeichen"/>
        </w:rPr>
        <w:footnoteReference w:id="1312"/>
      </w:r>
      <w:r w:rsidR="00982867">
        <w:t xml:space="preserve"> </w:t>
      </w:r>
      <w:r>
        <w:t xml:space="preserve">Etwas später hat </w:t>
      </w:r>
      <w:r>
        <w:rPr>
          <w:u w:val="single"/>
        </w:rPr>
        <w:t>d</w:t>
      </w:r>
      <w:r w:rsidRPr="002E5A69">
        <w:rPr>
          <w:u w:val="single"/>
        </w:rPr>
        <w:t xml:space="preserve">ie EU hat im Rahmen des </w:t>
      </w:r>
      <w:proofErr w:type="spellStart"/>
      <w:r w:rsidRPr="002E5A69">
        <w:rPr>
          <w:u w:val="single"/>
        </w:rPr>
        <w:t>REPowerEU</w:t>
      </w:r>
      <w:proofErr w:type="spellEnd"/>
      <w:r w:rsidRPr="002E5A69">
        <w:rPr>
          <w:u w:val="single"/>
        </w:rPr>
        <w:t xml:space="preserve"> </w:t>
      </w:r>
      <w:r w:rsidR="0065666F">
        <w:rPr>
          <w:u w:val="single"/>
        </w:rPr>
        <w:t>Mitteilung</w:t>
      </w:r>
      <w:r w:rsidRPr="002E5A69">
        <w:rPr>
          <w:u w:val="single"/>
        </w:rPr>
        <w:t xml:space="preserve"> </w:t>
      </w:r>
      <w:r w:rsidR="0054771A">
        <w:rPr>
          <w:u w:val="single"/>
        </w:rPr>
        <w:t xml:space="preserve">(nicht rechtlich verbindlich) </w:t>
      </w:r>
      <w:r w:rsidRPr="002E5A69">
        <w:rPr>
          <w:u w:val="single"/>
        </w:rPr>
        <w:t>vom März 2022</w:t>
      </w:r>
      <w:r w:rsidR="00677F45">
        <w:rPr>
          <w:u w:val="single"/>
        </w:rPr>
        <w:t>, hier die Pressemitteilung</w:t>
      </w:r>
      <w:r w:rsidR="00677F45">
        <w:rPr>
          <w:rStyle w:val="Funotenzeichen"/>
        </w:rPr>
        <w:footnoteReference w:id="1313"/>
      </w:r>
      <w:r w:rsidR="00677F45">
        <w:rPr>
          <w:u w:val="single"/>
        </w:rPr>
        <w:t>, hier das Originaldokument</w:t>
      </w:r>
      <w:r w:rsidR="00677F45">
        <w:rPr>
          <w:rStyle w:val="Funotenzeichen"/>
          <w:u w:val="single"/>
        </w:rPr>
        <w:footnoteReference w:id="1314"/>
      </w:r>
      <w:r w:rsidR="00677F45">
        <w:rPr>
          <w:u w:val="single"/>
        </w:rPr>
        <w:t>, hier die Webseite dazu</w:t>
      </w:r>
      <w:r w:rsidR="00677F45">
        <w:rPr>
          <w:rStyle w:val="Funotenzeichen"/>
          <w:u w:val="single"/>
        </w:rPr>
        <w:footnoteReference w:id="1315"/>
      </w:r>
      <w:r w:rsidRPr="002E5A69">
        <w:rPr>
          <w:u w:val="single"/>
        </w:rPr>
        <w:t xml:space="preserve"> das Ziel gesetzt, bis 2030</w:t>
      </w:r>
      <w:r w:rsidR="00677F45">
        <w:rPr>
          <w:u w:val="single"/>
        </w:rPr>
        <w:t xml:space="preserve"> von der Produktion her</w:t>
      </w:r>
      <w:r w:rsidRPr="002E5A69">
        <w:rPr>
          <w:u w:val="single"/>
        </w:rPr>
        <w:t xml:space="preserve"> 10 Mill. Tonnen Wasserstoff aus erneuerbaren Energien zur Verfügung zu haben</w:t>
      </w:r>
      <w:r w:rsidR="00677F45">
        <w:rPr>
          <w:u w:val="single"/>
        </w:rPr>
        <w:t xml:space="preserve"> und 10 Mill. Tonnen als Importe</w:t>
      </w:r>
      <w:r>
        <w:t>.</w:t>
      </w:r>
      <w:r w:rsidR="00966A02">
        <w:rPr>
          <w:rStyle w:val="Funotenzeichen"/>
        </w:rPr>
        <w:footnoteReference w:id="1316"/>
      </w:r>
      <w:r>
        <w:t xml:space="preserve"> </w:t>
      </w:r>
      <w:r w:rsidR="00677F45">
        <w:t xml:space="preserve">In </w:t>
      </w:r>
      <w:proofErr w:type="spellStart"/>
      <w:r w:rsidR="00677F45">
        <w:t>RePowerEU</w:t>
      </w:r>
      <w:proofErr w:type="spellEnd"/>
      <w:r w:rsidR="00677F45">
        <w:t xml:space="preserve"> gibt es auch neue Ziele für erneuerbare Energien in Europa, etwa </w:t>
      </w:r>
      <w:r w:rsidR="00966A02">
        <w:t>1236 GW erneuerbare Energien bis 2030, davon fast 600 GW Solar.</w:t>
      </w:r>
      <w:r w:rsidR="00966A02">
        <w:rPr>
          <w:rStyle w:val="Funotenzeichen"/>
        </w:rPr>
        <w:footnoteReference w:id="1317"/>
      </w:r>
    </w:p>
    <w:p w14:paraId="5A667F3A" w14:textId="77777777" w:rsidR="00B3080D" w:rsidRDefault="00B3080D" w:rsidP="00112190"/>
    <w:p w14:paraId="57A344AB" w14:textId="0B15DA9C" w:rsidR="00A52539" w:rsidRDefault="00A52539" w:rsidP="00A52539">
      <w:r>
        <w:t>IPCEIs sind immer Bündel von mehreren Projekten, die gemeinsam finanziert werden, seit 2018 wurden neun IPCEI Programme, die mehrere Projekte enthalten, ausgerollt, mit einem Volumen von 91 Mrd. Euro.</w:t>
      </w:r>
      <w:r>
        <w:rPr>
          <w:rStyle w:val="Funotenzeichen"/>
        </w:rPr>
        <w:footnoteReference w:id="1318"/>
      </w:r>
    </w:p>
    <w:p w14:paraId="4A91D4F3" w14:textId="77777777" w:rsidR="00A52539" w:rsidRDefault="00A52539" w:rsidP="00112190"/>
    <w:p w14:paraId="49AB5B88" w14:textId="4F7702EF" w:rsidR="00112190" w:rsidRPr="00C71D0D" w:rsidRDefault="00112190" w:rsidP="00112190">
      <w:r>
        <w:t xml:space="preserve">Im Juli 2022 wurde in Form eines Project </w:t>
      </w:r>
      <w:proofErr w:type="spellStart"/>
      <w:r>
        <w:t>of</w:t>
      </w:r>
      <w:proofErr w:type="spellEnd"/>
      <w:r>
        <w:t xml:space="preserve"> Common Interest (IPCEI), basierend auf Art. 107 (3) (b) AEUV, ein IPCEI Hy2Tech gestartet mit 41 Projekten, </w:t>
      </w:r>
      <w:r w:rsidR="002F3784">
        <w:t>Beihilfehöhe 5,4 Mrd. Euro, es wird gehofft, dass die private Wirtschaft ihrerseits 8,8 Mrd. Euro korrespondierend investiert</w:t>
      </w:r>
      <w:r w:rsidR="002F3784">
        <w:rPr>
          <w:rStyle w:val="Funotenzeichen"/>
        </w:rPr>
        <w:footnoteReference w:id="1319"/>
      </w:r>
      <w:r w:rsidR="002F3784">
        <w:t xml:space="preserve">, </w:t>
      </w:r>
      <w:r>
        <w:t>in denen es um Wasserstoff geht, im September 2022 wurde</w:t>
      </w:r>
      <w:r w:rsidR="00E146EC">
        <w:t xml:space="preserve"> das</w:t>
      </w:r>
      <w:r>
        <w:t xml:space="preserve"> IPCAI H2Use</w:t>
      </w:r>
      <w:r w:rsidR="002F3784">
        <w:t>, Beihilfe 5,2 Mrd. Euro, 7 Mrd. weitere Investitionen,</w:t>
      </w:r>
      <w:r>
        <w:t xml:space="preserve"> gestartet, in dem es um Projekte der Wasserstoffinfrastruktur geht.</w:t>
      </w:r>
      <w:r>
        <w:rPr>
          <w:rStyle w:val="Funotenzeichen"/>
        </w:rPr>
        <w:footnoteReference w:id="1320"/>
      </w:r>
      <w:r>
        <w:t xml:space="preserve"> Eine spezielle Webseite dazu findet sich hier</w:t>
      </w:r>
      <w:r>
        <w:rPr>
          <w:rStyle w:val="Funotenzeichen"/>
        </w:rPr>
        <w:footnoteReference w:id="1321"/>
      </w:r>
      <w:r>
        <w:t>, es gibt hier ein neues Projekt IPCEI H2Infra, hier wurden am 15.02.2024 6,9 Mrd. Euro Beihilfe</w:t>
      </w:r>
      <w:r w:rsidR="002C366C">
        <w:t>n</w:t>
      </w:r>
      <w:r>
        <w:t xml:space="preserve"> genehmigt.</w:t>
      </w:r>
      <w:r>
        <w:rPr>
          <w:rStyle w:val="Funotenzeichen"/>
        </w:rPr>
        <w:footnoteReference w:id="1322"/>
      </w:r>
      <w:r>
        <w:t xml:space="preserve"> </w:t>
      </w:r>
      <w:r w:rsidR="00E146EC">
        <w:t>Ein detailliertes IPCEI FAQ des Bundesministeriums für Wirtschaft und Klimaschutz findet sich hier.</w:t>
      </w:r>
      <w:r w:rsidR="00E146EC">
        <w:rPr>
          <w:rStyle w:val="Funotenzeichen"/>
        </w:rPr>
        <w:footnoteReference w:id="1323"/>
      </w:r>
      <w:r w:rsidR="00E146EC">
        <w:t xml:space="preserve"> </w:t>
      </w:r>
      <w:r>
        <w:t xml:space="preserve">Die IPCEIs sind Projekte, die von vorneherein eine europäische Dimension haben und bei denen bereits in der Planungsphase beachtet werden kann, </w:t>
      </w:r>
      <w:r>
        <w:lastRenderedPageBreak/>
        <w:t xml:space="preserve">dass z.B. nicht nur eine Firma oder ein Land bevorzugt wird. </w:t>
      </w:r>
      <w:r w:rsidRPr="00C71D0D">
        <w:t xml:space="preserve">Am 22.05.2023 wurde ein Code </w:t>
      </w:r>
      <w:proofErr w:type="spellStart"/>
      <w:r w:rsidRPr="00C71D0D">
        <w:t>of</w:t>
      </w:r>
      <w:proofErr w:type="spellEnd"/>
      <w:r w:rsidRPr="00C71D0D">
        <w:t xml:space="preserve"> </w:t>
      </w:r>
      <w:proofErr w:type="spellStart"/>
      <w:r w:rsidRPr="00C71D0D">
        <w:t>good</w:t>
      </w:r>
      <w:proofErr w:type="spellEnd"/>
      <w:r w:rsidRPr="00C71D0D">
        <w:t xml:space="preserve"> </w:t>
      </w:r>
      <w:proofErr w:type="spellStart"/>
      <w:r w:rsidRPr="00C71D0D">
        <w:t>practives</w:t>
      </w:r>
      <w:proofErr w:type="spellEnd"/>
      <w:r w:rsidRPr="00C71D0D">
        <w:t xml:space="preserve"> </w:t>
      </w:r>
      <w:proofErr w:type="spellStart"/>
      <w:r w:rsidRPr="00C71D0D">
        <w:t>for</w:t>
      </w:r>
      <w:proofErr w:type="spellEnd"/>
      <w:r w:rsidRPr="00C71D0D">
        <w:t xml:space="preserve"> a transparent, inclusive, </w:t>
      </w:r>
      <w:proofErr w:type="spellStart"/>
      <w:r w:rsidRPr="00C71D0D">
        <w:t>faster</w:t>
      </w:r>
      <w:proofErr w:type="spellEnd"/>
      <w:r w:rsidRPr="00C71D0D">
        <w:t xml:space="preserve"> design and </w:t>
      </w:r>
      <w:proofErr w:type="spellStart"/>
      <w:r w:rsidRPr="00C71D0D">
        <w:t>assessment</w:t>
      </w:r>
      <w:proofErr w:type="spellEnd"/>
      <w:r w:rsidRPr="00C71D0D">
        <w:t xml:space="preserve"> </w:t>
      </w:r>
      <w:proofErr w:type="spellStart"/>
      <w:r w:rsidRPr="00C71D0D">
        <w:t>of</w:t>
      </w:r>
      <w:proofErr w:type="spellEnd"/>
      <w:r w:rsidRPr="00C71D0D">
        <w:t xml:space="preserve"> IPCEIs veröffentlicht, um de</w:t>
      </w:r>
      <w:r>
        <w:t>n Genehmigungsprozess zu beschleunigen</w:t>
      </w:r>
      <w:r w:rsidRPr="00C71D0D">
        <w:t>.</w:t>
      </w:r>
      <w:r>
        <w:rPr>
          <w:rStyle w:val="Funotenzeichen"/>
          <w:lang w:val="en-GB"/>
        </w:rPr>
        <w:footnoteReference w:id="1324"/>
      </w:r>
    </w:p>
    <w:p w14:paraId="4DE34F31" w14:textId="77777777" w:rsidR="00112190" w:rsidRPr="00C71D0D" w:rsidRDefault="00112190" w:rsidP="00112190"/>
    <w:tbl>
      <w:tblPr>
        <w:tblStyle w:val="Tabellenraster"/>
        <w:tblW w:w="0" w:type="auto"/>
        <w:tblLook w:val="04A0" w:firstRow="1" w:lastRow="0" w:firstColumn="1" w:lastColumn="0" w:noHBand="0" w:noVBand="1"/>
      </w:tblPr>
      <w:tblGrid>
        <w:gridCol w:w="9062"/>
      </w:tblGrid>
      <w:tr w:rsidR="00112190" w14:paraId="5942A81F" w14:textId="77777777" w:rsidTr="006B301B">
        <w:tc>
          <w:tcPr>
            <w:tcW w:w="9062" w:type="dxa"/>
          </w:tcPr>
          <w:p w14:paraId="2461DC06" w14:textId="3C7BCB49" w:rsidR="00112190" w:rsidRDefault="00112190" w:rsidP="006B301B">
            <w:r>
              <w:t>IPCEI H2Infra. Am 15.02.2024 wurde dieses Projekt genehmigt, bis zu 6,9 Mrd. Euro Unterstützung darf von den EU-Staaten gezahlt werden, es wird erwartet, dass die private Wirtschaft 5,4 Mrd. Euro mobilisieren wird. H2Infra besteht aus 33 Einzelprojekten von 32 Unternehmen. Drei Elektrolyseure werden im Rhein-Ruhr Gebiet gebaut.</w:t>
            </w:r>
            <w:r>
              <w:rPr>
                <w:rStyle w:val="Funotenzeichen"/>
              </w:rPr>
              <w:footnoteReference w:id="1325"/>
            </w:r>
            <w:r>
              <w:t xml:space="preserve">  Auch in Mecklenburg Vorpommern kommt H2Infra an, im Rostocker Hafen soll ein 100 MW Elektrolyseur von RWE, EnBW, RheinEnergie und Rostock Port GmbH zusammen gebaut werden, der jährlich bis zu 6500 Tonnen Wasserstoff produzieren soll</w:t>
            </w:r>
            <w:r>
              <w:rPr>
                <w:rStyle w:val="Funotenzeichen"/>
              </w:rPr>
              <w:footnoteReference w:id="1326"/>
            </w:r>
            <w:r>
              <w:t>, unterstützt mit 168 Mill. Euro Landesmitteln, 391 Mill. Euro vom Bund, dazu Finanzierung der Unternehmen, insgesamt werden 700 Mill. Euro investiert.</w:t>
            </w:r>
            <w:r>
              <w:rPr>
                <w:rStyle w:val="Funotenzeichen"/>
              </w:rPr>
              <w:footnoteReference w:id="1327"/>
            </w:r>
            <w:r>
              <w:t xml:space="preserve"> In Niedersachen werden zwei Großelektrolyseure in Lingen und einer in Emden gebaut, in </w:t>
            </w:r>
            <w:proofErr w:type="spellStart"/>
            <w:r>
              <w:t>Huntorf</w:t>
            </w:r>
            <w:proofErr w:type="spellEnd"/>
            <w:r>
              <w:t xml:space="preserve"> bei Elsfleth wurde ein Kavernenspeicher für Wasserstoff umgerüstet und 600 km Wasserstoffpipelines gebaut.</w:t>
            </w:r>
            <w:r>
              <w:rPr>
                <w:rStyle w:val="Funotenzeichen"/>
              </w:rPr>
              <w:footnoteReference w:id="1328"/>
            </w:r>
            <w:r w:rsidR="00FA2FF9">
              <w:t xml:space="preserve"> </w:t>
            </w:r>
            <w:bookmarkStart w:id="67" w:name="_Hlk198231200"/>
            <w:r w:rsidR="00FA2FF9">
              <w:t>Am 15.07.2024</w:t>
            </w:r>
            <w:r w:rsidR="00FA2FF9">
              <w:rPr>
                <w:rStyle w:val="Funotenzeichen"/>
              </w:rPr>
              <w:footnoteReference w:id="1329"/>
            </w:r>
            <w:r w:rsidR="00FA2FF9">
              <w:t xml:space="preserve"> wurden die Förderbescheide für 23 deutschen Wasserstoffprojekte der EU genannt IPCEI HY2Infra übergeben, siehe hier für eine Liste der deutschen Projekte.</w:t>
            </w:r>
            <w:r w:rsidR="00FA2FF9">
              <w:rPr>
                <w:rStyle w:val="Funotenzeichen"/>
              </w:rPr>
              <w:footnoteReference w:id="1330"/>
            </w:r>
            <w:bookmarkEnd w:id="67"/>
          </w:p>
        </w:tc>
      </w:tr>
    </w:tbl>
    <w:p w14:paraId="6D389436" w14:textId="77777777" w:rsidR="00112190" w:rsidRDefault="00112190" w:rsidP="00112190"/>
    <w:tbl>
      <w:tblPr>
        <w:tblStyle w:val="Tabellenraster"/>
        <w:tblW w:w="0" w:type="auto"/>
        <w:tblLook w:val="04A0" w:firstRow="1" w:lastRow="0" w:firstColumn="1" w:lastColumn="0" w:noHBand="0" w:noVBand="1"/>
      </w:tblPr>
      <w:tblGrid>
        <w:gridCol w:w="9062"/>
      </w:tblGrid>
      <w:tr w:rsidR="00112190" w14:paraId="037D353C" w14:textId="77777777" w:rsidTr="006B301B">
        <w:tc>
          <w:tcPr>
            <w:tcW w:w="9062" w:type="dxa"/>
          </w:tcPr>
          <w:p w14:paraId="2E9ACB7D" w14:textId="1358C76B" w:rsidR="00E146EC" w:rsidRDefault="00112190" w:rsidP="006B301B">
            <w:r>
              <w:t>IPCEI H2Move. Am 28.05.2024 wurde ein weitere</w:t>
            </w:r>
            <w:r w:rsidR="00E146EC">
              <w:t>s</w:t>
            </w:r>
            <w:r>
              <w:t xml:space="preserve"> IPCEI Projekt genehmigt, das von Estland, Frankreich, Deutschland, Italien, Niederlande, </w:t>
            </w:r>
            <w:proofErr w:type="spellStart"/>
            <w:r>
              <w:t>Slovakei</w:t>
            </w:r>
            <w:proofErr w:type="spellEnd"/>
            <w:r>
              <w:t xml:space="preserve"> und Spanien vorbereitete IPCEI Hy2Move. Die Mitgliedsstaaten zahlen 1,4 Mrd. Euro Subventionen für 13 Projekte an 11 Unternehmen, eingeschlossen kleinere Unternehmen. Es geht um Brennstoffzellentechnologie für Busse, Lkw, Schiffe und Lokomotiven, um die Entwicklung von Wasserstoff Tanks und um die Belieferung von Wasserstoff Tankstellen. Deutschland, die </w:t>
            </w:r>
            <w:proofErr w:type="spellStart"/>
            <w:r>
              <w:t>Slovakei</w:t>
            </w:r>
            <w:proofErr w:type="spellEnd"/>
            <w:r>
              <w:t xml:space="preserve"> und Spanien haben H2Move in ihre Recovery and </w:t>
            </w:r>
            <w:proofErr w:type="spellStart"/>
            <w:r>
              <w:t>Resiliance</w:t>
            </w:r>
            <w:proofErr w:type="spellEnd"/>
            <w:r>
              <w:t xml:space="preserve"> Pläne integriert und könnten teils ihrer Projekte aus dieser Fazilität heraus finanzieren.</w:t>
            </w:r>
            <w:r>
              <w:rPr>
                <w:rStyle w:val="Funotenzeichen"/>
              </w:rPr>
              <w:footnoteReference w:id="1331"/>
            </w:r>
            <w:r>
              <w:t xml:space="preserve"> Bei den Tanks wird Airbus unterstützt, welches plant bis 2035 ein Wasserstoffflugzeug zu entwickeln, aber auch ein Flugzeug, dass mit bis zu 100 % nachhaltigem Treibstoff fliegen kann sowie ein A-320 Nachfolger, der sparsamer sein soll. Die </w:t>
            </w:r>
            <w:proofErr w:type="gramStart"/>
            <w:r>
              <w:t>EU Kommission</w:t>
            </w:r>
            <w:proofErr w:type="gramEnd"/>
            <w:r>
              <w:t xml:space="preserve"> hofft, dass dieses IPCEI Projekt dazu führt, dass weitere 3.3 Mrd. Euro vom Privatsektor komplementär aufgebraucht werden.</w:t>
            </w:r>
            <w:r>
              <w:rPr>
                <w:rStyle w:val="Funotenzeichen"/>
              </w:rPr>
              <w:footnoteReference w:id="1332"/>
            </w:r>
            <w:r>
              <w:t xml:space="preserve"> </w:t>
            </w:r>
            <w:r w:rsidR="00CA35BC">
              <w:t>Im Juni 2024 wurde eine Subvention von 3 Mrd. für Wasserstofffernleitung in Deutschland genehmigt, derzeit finde ich keine Pressemitteilung und keinen Link dazu.</w:t>
            </w:r>
          </w:p>
        </w:tc>
      </w:tr>
    </w:tbl>
    <w:p w14:paraId="756FE276" w14:textId="77777777" w:rsidR="00112190" w:rsidRDefault="00112190" w:rsidP="00112190"/>
    <w:tbl>
      <w:tblPr>
        <w:tblStyle w:val="Tabellenraster"/>
        <w:tblW w:w="0" w:type="auto"/>
        <w:tblLook w:val="04A0" w:firstRow="1" w:lastRow="0" w:firstColumn="1" w:lastColumn="0" w:noHBand="0" w:noVBand="1"/>
      </w:tblPr>
      <w:tblGrid>
        <w:gridCol w:w="9062"/>
      </w:tblGrid>
      <w:tr w:rsidR="00112190" w14:paraId="6CC82CFA" w14:textId="77777777" w:rsidTr="006B301B">
        <w:tc>
          <w:tcPr>
            <w:tcW w:w="9062" w:type="dxa"/>
          </w:tcPr>
          <w:p w14:paraId="604FB463" w14:textId="77777777" w:rsidR="00112190" w:rsidRDefault="00112190" w:rsidP="006B301B">
            <w:r>
              <w:t xml:space="preserve">Unregelmäßigkeiten bei der Wasserstoff Förderung. Verkehrsminister Wissing hat einen Abteilungsleiter entlassen, wegen Verdachts auf Vergünstigung. Er hatte Dokumente nicht an die </w:t>
            </w:r>
            <w:r>
              <w:lastRenderedPageBreak/>
              <w:t>interne Revision weitergeleitet und es gab persönliche Verbindungen. Nun müssen viele Dokumente neu überprüft werden.</w:t>
            </w:r>
            <w:r>
              <w:rPr>
                <w:rStyle w:val="Funotenzeichen"/>
              </w:rPr>
              <w:footnoteReference w:id="1333"/>
            </w:r>
          </w:p>
        </w:tc>
      </w:tr>
    </w:tbl>
    <w:p w14:paraId="56726C0E" w14:textId="77777777" w:rsidR="00112190" w:rsidRDefault="00112190" w:rsidP="00112190"/>
    <w:p w14:paraId="09365056" w14:textId="77777777" w:rsidR="009B2022" w:rsidRDefault="009B2022" w:rsidP="009B2022">
      <w:r>
        <w:t>Der Europäische Rechnungshof hat am 05.06.2024 die Wasserstoffpolitik der EU in einem detailreichen Bericht unter die Lupe genommen.</w:t>
      </w:r>
      <w:r>
        <w:rPr>
          <w:rStyle w:val="Funotenzeichen"/>
        </w:rPr>
        <w:footnoteReference w:id="1334"/>
      </w:r>
      <w:r>
        <w:t xml:space="preserve"> Kritisiert wird u.a. dass die Ziele für die Wasserstoffproduktion je nach Dokument voneinander abweichen und nicht klar definiert sind (z.B. ist nicht klar wie viel Tonnen aus 40 GW entnommen werden können, wenn man nicht den Effizienzgrad des Elektrolyseures angibt … kurz: der Rechnungshof hat teils dieselben Schwierigkeiten gehabt, wie ich bei Wasserstoff, siehe Teil 1 … mehr zu diesem Bericht unten beim Fazit)</w:t>
      </w:r>
      <w:r>
        <w:rPr>
          <w:rStyle w:val="Funotenzeichen"/>
        </w:rPr>
        <w:footnoteReference w:id="1335"/>
      </w:r>
      <w:r>
        <w:t xml:space="preserve"> und er hat u.a. folgendes festgestellt: Am 21. Mai 2024 wurden zwei noch fehlende Rechtsakte angenommen, die von der Erneuerbare-Energien-Richtlinie als delegierte Rechtsakte bereits vorgesehen waren, „</w:t>
      </w:r>
      <w:r w:rsidRPr="0030146D">
        <w:t>zur Festlegung der Vorschriften für erneuerbaren Wasserstoff (d. h. der zu erfüllenden Anforderungen) ("Delegierter Rechtsakt") und die Delegierte Verordnung über die Methode zur Ermittlung der Treibhausgaseinsparungen.</w:t>
      </w:r>
      <w:r>
        <w:t xml:space="preserve"> die wichtig für Standardisierung und Zertifizierung sind, dies hatte Investoren verunsichert.“</w:t>
      </w:r>
      <w:r>
        <w:rPr>
          <w:rStyle w:val="Funotenzeichen"/>
        </w:rPr>
        <w:t xml:space="preserve"> </w:t>
      </w:r>
      <w:r>
        <w:rPr>
          <w:rStyle w:val="Funotenzeichen"/>
        </w:rPr>
        <w:footnoteReference w:id="1336"/>
      </w:r>
      <w:r>
        <w:t xml:space="preserve"> </w:t>
      </w:r>
    </w:p>
    <w:p w14:paraId="03B4A885" w14:textId="77777777" w:rsidR="009B2022" w:rsidRDefault="009B2022" w:rsidP="009B2022"/>
    <w:p w14:paraId="44B1AF69" w14:textId="77777777" w:rsidR="009B2022" w:rsidRDefault="009B2022" w:rsidP="009B2022">
      <w:r>
        <w:t>Im Bereich Wasserstoff wurden am 21. Mai 2024 zwei der noch fehlende Rechtsakte angenommen, die wichtig für Standardisierung und Zertifizierung sind, dies hatte Investoren verunsichert. Dies sind die beiden delegierten Richtlinien, die aus der Erneuerbare Energien Richtlinie 2018/2001</w:t>
      </w:r>
      <w:r>
        <w:rPr>
          <w:rStyle w:val="Funotenzeichen"/>
        </w:rPr>
        <w:footnoteReference w:id="1337"/>
      </w:r>
      <w:r>
        <w:t xml:space="preserve"> abgeleitet werden, die Delegierte Verordnung (EU) 2023/1184 vom 10. Februar 2023 zur Festlegung einer Unionsmethode mit detaillierten Vorschriften für die Erzeugung flüssiger und gasförmiger erneuerbarer Kraftstoffe nicht biogenen Ursprungs für den Verkehr</w:t>
      </w:r>
      <w:r>
        <w:rPr>
          <w:rStyle w:val="Funotenzeichen"/>
        </w:rPr>
        <w:footnoteReference w:id="1338"/>
      </w:r>
      <w:r>
        <w:t>; und die Delegierte Verordnung (EU) 2023/1185 vom 10. Februar 2023 zur Festlegung von Mindestschwellenwerten und Methoden zur Ermittlung von Treibhauseinsparungen für nicht biogene Kraftstoffe.</w:t>
      </w:r>
      <w:r>
        <w:rPr>
          <w:rStyle w:val="Funotenzeichen"/>
        </w:rPr>
        <w:footnoteReference w:id="1339"/>
      </w:r>
    </w:p>
    <w:p w14:paraId="6FA338B7" w14:textId="77777777" w:rsidR="009B2022" w:rsidRDefault="009B2022" w:rsidP="009B2022"/>
    <w:p w14:paraId="63C3C20F" w14:textId="77777777" w:rsidR="009B2022" w:rsidRDefault="009B2022" w:rsidP="009B2022">
      <w:r>
        <w:t>Diese Verspätung hat der Europäische Rechnungshof in seinem Sonderbericht 11/2024 kritisiert, dazu seien die Ziele bis 2030 zu hoch.</w:t>
      </w:r>
      <w:r>
        <w:rPr>
          <w:rStyle w:val="Funotenzeichen"/>
        </w:rPr>
        <w:footnoteReference w:id="1340"/>
      </w:r>
      <w:r>
        <w:t xml:space="preserve"> Elektrolyseure können direkt an neu gebaute Solar- oder Windparks angeschlossen werden, als zusätzliche Bedingung wird aber eingeführt, dass diese Anlagen neu sein sollen, damit nicht alte Anlagen nur noch zur Herstellung von Wasserstoff benutzt werden. Ab dem 01.01.2028 wird dies Erfordernis eingeführt, dass die Anlagen höchstens 3 Jahre vorher in Betrieb gegangen sein müssen, aber nicht früher, dies gilt auch bei Strombezugsverträgen. Dies wird teils kritisiert, da die Erbauer von Elektrolyseuren Schwierigkeiten haben an Strom aus erneuerbaren Energien zu kommen, siehe den Bericht des EU-Rechnungshofes hier.</w:t>
      </w:r>
      <w:r>
        <w:rPr>
          <w:rStyle w:val="Funotenzeichen"/>
        </w:rPr>
        <w:footnoteReference w:id="1341"/>
      </w:r>
      <w:r>
        <w:t xml:space="preserve">  </w:t>
      </w:r>
    </w:p>
    <w:p w14:paraId="67F8A3C5" w14:textId="77777777" w:rsidR="009B2022" w:rsidRDefault="009B2022" w:rsidP="009B2022"/>
    <w:p w14:paraId="6FA9104C" w14:textId="48AFB31A" w:rsidR="009B2022" w:rsidRDefault="009B2022" w:rsidP="009B2022">
      <w:r>
        <w:lastRenderedPageBreak/>
        <w:t>Im Rat wird von fünf Mitgliedstaaten erklärt, dass die Nachfrageziele für die Nutzung von erneuerbarem Wasserstoff schwer zu erreichen seien, siehe hier</w:t>
      </w:r>
      <w:r>
        <w:rPr>
          <w:rStyle w:val="Funotenzeichen"/>
        </w:rPr>
        <w:footnoteReference w:id="1342"/>
      </w:r>
      <w:r>
        <w:t>, die Kommission erkennt u.a. daraufhin u.a. an, dass bei Ammoniakproduktionsanlagen hohe Investitionen erforderlich sind, um Wasserstoff zu ersetzen, der durch Dampfreformierung von Methan gewonnen wird und bietet an, diese Anlagen nicht in die Prozentbewertung des Anteils Erneuerbarer Energien einzubeziehen.</w:t>
      </w:r>
      <w:r>
        <w:rPr>
          <w:rStyle w:val="Funotenzeichen"/>
        </w:rPr>
        <w:t xml:space="preserve"> </w:t>
      </w:r>
      <w:r>
        <w:rPr>
          <w:rStyle w:val="Funotenzeichen"/>
        </w:rPr>
        <w:footnoteReference w:id="1343"/>
      </w:r>
      <w:r>
        <w:t xml:space="preserve">  </w:t>
      </w:r>
    </w:p>
    <w:p w14:paraId="423FA6A5" w14:textId="77777777" w:rsidR="009B2022" w:rsidRDefault="009B2022" w:rsidP="009B2022"/>
    <w:p w14:paraId="77B33D9B" w14:textId="66D44B35" w:rsidR="009B2022" w:rsidRDefault="009B2022" w:rsidP="009B2022">
      <w:r>
        <w:t xml:space="preserve">Die EU will eine zentrale Rolle bei Aufbau der Wasserstoffwirtschaft spielen, dazu ist u.a. das </w:t>
      </w:r>
      <w:proofErr w:type="spellStart"/>
      <w:r>
        <w:t>Gaspaket</w:t>
      </w:r>
      <w:proofErr w:type="spellEnd"/>
      <w:r>
        <w:t xml:space="preserve"> verabschiedet worden und eine Reihe von IPCEIS ‚Vorhaben von gemeinsamen Interesse‘ genehmigt worden, siehe hier</w:t>
      </w:r>
      <w:r>
        <w:rPr>
          <w:rStyle w:val="Funotenzeichen"/>
        </w:rPr>
        <w:footnoteReference w:id="1344"/>
      </w:r>
      <w:r>
        <w:t>:  in dieser Listen tauchen auf: 31 Wasserstoffnetzprojekte, 7 Wasserstoffspeicherprojekte, 10 Übernahmeanlagen in Häfen und 17 Elektrolyseurprojekte.</w:t>
      </w:r>
      <w:r w:rsidRPr="00C52565">
        <w:rPr>
          <w:rStyle w:val="Funotenzeichen"/>
        </w:rPr>
        <w:t xml:space="preserve"> </w:t>
      </w:r>
      <w:r>
        <w:rPr>
          <w:rStyle w:val="Funotenzeichen"/>
        </w:rPr>
        <w:footnoteReference w:id="1345"/>
      </w:r>
      <w:r>
        <w:t xml:space="preserve"> In der TEN-E Verordnung geht es um eine transeuropäische Energieinfrastruktur, und hier es offenbar bereits ein Zehnjahresentwicklungsplan zugrunde gelegt und es gibt 18 nationale Entwicklungspläne für Wasserstoff, eine Trennung von Wasserstofferzeugung- und Transport ist vorgesehen und auch die Tarifgestaltung soll geregelt werden, und an dem Zehnjahresentwicklungsplan sollen sich die Wasserstoffausbauprojekte orientierten.</w:t>
      </w:r>
      <w:r>
        <w:rPr>
          <w:rStyle w:val="Funotenzeichen"/>
        </w:rPr>
        <w:footnoteReference w:id="1346"/>
      </w:r>
      <w:r>
        <w:t xml:space="preserve"> Diese Zehnjahrentwicklungsplan soll u.a. auch vom Europäischen Netz der Fernleitungsnetzbetreiber entwickelt werden (ENTSOG) (bei Strom sind es die ENTSO-E), es wird aber in der TEN-E Verordnung darauf hingewiesen, dass diese nicht alleine tätig werden können, der ‚Agentur für die Zusammenarbeit der Energieregulierungsbehörden‘ und der Kommission soll hierbei wichtigere Rolle in diesem Verfahren zukommen und die Planung sollte von einem wissenschaftlichen Gremium und vom Beirat für Klimawandel begleitet werden (Erwägungsgrund 24, S. 50).</w:t>
      </w:r>
      <w:r>
        <w:rPr>
          <w:rStyle w:val="Funotenzeichen"/>
        </w:rPr>
        <w:footnoteReference w:id="1347"/>
      </w:r>
      <w:r>
        <w:t xml:space="preserve"> Die ENTSOG 2050 Roadmap </w:t>
      </w:r>
      <w:proofErr w:type="spellStart"/>
      <w:r>
        <w:t>for</w:t>
      </w:r>
      <w:proofErr w:type="spellEnd"/>
      <w:r>
        <w:t xml:space="preserve"> Gas Grids jedenfalls enthält noch keinen fertigen Plan, sondern eher Diskussionspunkte.</w:t>
      </w:r>
      <w:r>
        <w:rPr>
          <w:rStyle w:val="Funotenzeichen"/>
        </w:rPr>
        <w:footnoteReference w:id="1348"/>
      </w:r>
      <w:r>
        <w:t xml:space="preserve"> </w:t>
      </w:r>
    </w:p>
    <w:p w14:paraId="1C86BAA6" w14:textId="77777777" w:rsidR="009B2022" w:rsidRDefault="009B2022" w:rsidP="00112190"/>
    <w:p w14:paraId="4197C647" w14:textId="77777777" w:rsidR="005E24E7" w:rsidRDefault="00112190" w:rsidP="00112190">
      <w:r w:rsidRPr="00186891">
        <w:t>Am Bereich Wasserstoff wird</w:t>
      </w:r>
      <w:r w:rsidR="002B3BB3">
        <w:t xml:space="preserve"> </w:t>
      </w:r>
      <w:r w:rsidRPr="00186891">
        <w:t>deutlich, dass bei gr</w:t>
      </w:r>
      <w:r>
        <w:t>ö</w:t>
      </w:r>
      <w:r w:rsidRPr="00186891">
        <w:t xml:space="preserve">ßeren Förderprojekten, die Zuschüsse / Beihilfen bzw. Subventionen involvieren, die Wettbewerbsbehörde der EU, DG Competition bzw. die Generaldirektion Wettbewerb eine Genehmigung erteilt. </w:t>
      </w:r>
    </w:p>
    <w:p w14:paraId="387CA18A" w14:textId="77777777" w:rsidR="005E24E7" w:rsidRDefault="005E24E7" w:rsidP="00112190"/>
    <w:p w14:paraId="300BDBCB" w14:textId="48040391" w:rsidR="00112190" w:rsidRDefault="005E24E7" w:rsidP="00112190">
      <w:r>
        <w:t>IPCEIs werden zwar direkt von der EU aus organisiert, aber selbst für die</w:t>
      </w:r>
      <w:r w:rsidR="00112190">
        <w:t xml:space="preserve"> IPCEIs</w:t>
      </w:r>
      <w:r>
        <w:t xml:space="preserve"> gilt</w:t>
      </w:r>
      <w:r w:rsidR="00112190">
        <w:t>,</w:t>
      </w:r>
      <w:r>
        <w:t xml:space="preserve"> dass sie</w:t>
      </w:r>
      <w:r w:rsidR="00112190">
        <w:t xml:space="preserve"> von der Generaldirektion Wettbewerb genehmigt </w:t>
      </w:r>
      <w:r>
        <w:t xml:space="preserve">werden müssen </w:t>
      </w:r>
      <w:r w:rsidR="00112190">
        <w:t>und es gibt eine Mitteilung mit Kriterien, um deren Vereinbarkeit mit dem Binnenmarkt zu überprüfen. In diesen Kriterien wird z.B. festgehalten, dass mindestens 4 Mitgliedstaaten (Ausnahme: nur 2) beteiligt sein müssen und andere sich beteiligen können.</w:t>
      </w:r>
      <w:r w:rsidR="00112190">
        <w:rPr>
          <w:rStyle w:val="Funotenzeichen"/>
        </w:rPr>
        <w:footnoteReference w:id="1349"/>
      </w:r>
      <w:r w:rsidR="00112190">
        <w:t xml:space="preserve"> Die Kriterien erfordern etwa, dass die daran beteiligten Firmen auch eine Kofinanzierung vornehmen sollten, im Ausnahmefall kann darauf verzichtet werden</w:t>
      </w:r>
      <w:r w:rsidR="00E46F88">
        <w:t xml:space="preserve"> </w:t>
      </w:r>
      <w:r w:rsidR="00E46F88">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sidR="00112190">
        <w:t xml:space="preserve">. </w:t>
      </w:r>
      <w:bookmarkStart w:id="68" w:name="_Hlk198231794"/>
      <w:r w:rsidR="00112190">
        <w:t xml:space="preserve">Dieses </w:t>
      </w:r>
      <w:r w:rsidR="00112190">
        <w:lastRenderedPageBreak/>
        <w:t>Dokument ist mit 9 Seiten übersichtlich gehalten, die Kriterien sind aber durchaus streng, es gibt z.B. dann, wenn auch ausländische Firmen subventioniert werden, auch die Möglichkeit den Bezugszeitraum von Subventionen zu verlängern</w:t>
      </w:r>
      <w:r w:rsidR="00112190">
        <w:rPr>
          <w:rStyle w:val="Funotenzeichen"/>
        </w:rPr>
        <w:footnoteReference w:id="1350"/>
      </w:r>
      <w:r w:rsidR="00112190">
        <w:t xml:space="preserve">, z.B. im Bereich Solar wäre hier eine Anwendung denkbar. </w:t>
      </w:r>
      <w:bookmarkEnd w:id="68"/>
      <w:r w:rsidR="00112190">
        <w:t>Ein weiteres relevantes Dokument ist die Verordnung zur Erleichterung nachhaltiger Investitionen aus dem Jahr 2020.</w:t>
      </w:r>
      <w:r w:rsidR="00112190">
        <w:rPr>
          <w:rStyle w:val="Funotenzeichen"/>
        </w:rPr>
        <w:footnoteReference w:id="1351"/>
      </w:r>
      <w:r w:rsidR="00112190">
        <w:t xml:space="preserve"> </w:t>
      </w:r>
    </w:p>
    <w:p w14:paraId="683B4C93" w14:textId="77777777" w:rsidR="00C10846" w:rsidRDefault="00C10846" w:rsidP="00112190"/>
    <w:p w14:paraId="2AD1502E" w14:textId="47880283" w:rsidR="00B3590A" w:rsidRPr="00B3590A" w:rsidRDefault="00112190" w:rsidP="00B3590A">
      <w:pPr>
        <w:rPr>
          <w:rFonts w:cstheme="minorHAnsi"/>
        </w:rPr>
      </w:pPr>
      <w:r>
        <w:t>Siehe die IPCEI Seite der DG Competition (IPCEIs gibt es im Bereich Mikroelektronik, Wasserstoff, Fehmarn Belt Tunnel, Batterien bzw. E-Auto Akkus, Cloud-Speicher und andere neuartige Computerbereiche).</w:t>
      </w:r>
      <w:r>
        <w:rPr>
          <w:rStyle w:val="Funotenzeichen"/>
        </w:rPr>
        <w:footnoteReference w:id="1352"/>
      </w:r>
      <w:r>
        <w:t xml:space="preserve"> Im Chipbereich wurde etwa eine Beihilfe Italiens von 292,5 Mill. Euro für eine Fabrik für </w:t>
      </w:r>
      <w:proofErr w:type="spellStart"/>
      <w:r>
        <w:t>Wafersubstrate</w:t>
      </w:r>
      <w:proofErr w:type="spellEnd"/>
      <w:r>
        <w:t xml:space="preserve"> (STMicroelectronics) genehmigt.</w:t>
      </w:r>
      <w:r>
        <w:rPr>
          <w:rStyle w:val="Funotenzeichen"/>
        </w:rPr>
        <w:footnoteReference w:id="1353"/>
      </w:r>
      <w:r>
        <w:t xml:space="preserve"> Infos über genehmigte IPCEIs gibt es hier.</w:t>
      </w:r>
      <w:r>
        <w:rPr>
          <w:rStyle w:val="Funotenzeichen"/>
        </w:rPr>
        <w:footnoteReference w:id="1354"/>
      </w:r>
      <w:r>
        <w:t xml:space="preserve"> </w:t>
      </w:r>
      <w:r w:rsidR="00B3590A">
        <w:t xml:space="preserve">Es gibt eine spezielle Webseite für </w:t>
      </w:r>
      <w:r w:rsidR="00B3590A" w:rsidRPr="00B3590A">
        <w:rPr>
          <w:rFonts w:cstheme="minorHAnsi"/>
        </w:rPr>
        <w:t>IPCEI Batterie</w:t>
      </w:r>
      <w:r w:rsidR="00B3590A">
        <w:rPr>
          <w:rFonts w:cstheme="minorHAnsi"/>
        </w:rPr>
        <w:t xml:space="preserve">-Projekte, in denen </w:t>
      </w:r>
      <w:r w:rsidR="00D4097E">
        <w:rPr>
          <w:rFonts w:cstheme="minorHAnsi"/>
        </w:rPr>
        <w:t xml:space="preserve">zwischen 4 Work Streams unterschieden wird, Raw Materials and </w:t>
      </w:r>
      <w:proofErr w:type="spellStart"/>
      <w:r w:rsidR="00D4097E">
        <w:rPr>
          <w:rFonts w:cstheme="minorHAnsi"/>
        </w:rPr>
        <w:t>Advanced</w:t>
      </w:r>
      <w:proofErr w:type="spellEnd"/>
      <w:r w:rsidR="00D4097E">
        <w:rPr>
          <w:rFonts w:cstheme="minorHAnsi"/>
        </w:rPr>
        <w:t xml:space="preserve"> Materials, Cells/Modules, </w:t>
      </w:r>
      <w:proofErr w:type="spellStart"/>
      <w:r w:rsidR="00D4097E">
        <w:rPr>
          <w:rFonts w:cstheme="minorHAnsi"/>
        </w:rPr>
        <w:t>Battery</w:t>
      </w:r>
      <w:proofErr w:type="spellEnd"/>
      <w:r w:rsidR="00D4097E">
        <w:rPr>
          <w:rFonts w:cstheme="minorHAnsi"/>
        </w:rPr>
        <w:t xml:space="preserve"> Systems, </w:t>
      </w:r>
      <w:proofErr w:type="spellStart"/>
      <w:r w:rsidR="00D4097E">
        <w:rPr>
          <w:rFonts w:cstheme="minorHAnsi"/>
        </w:rPr>
        <w:t>Repurposing</w:t>
      </w:r>
      <w:proofErr w:type="spellEnd"/>
      <w:r w:rsidR="00D4097E">
        <w:rPr>
          <w:rFonts w:cstheme="minorHAnsi"/>
        </w:rPr>
        <w:t xml:space="preserve">, Recycling and </w:t>
      </w:r>
      <w:proofErr w:type="spellStart"/>
      <w:r w:rsidR="00D4097E">
        <w:rPr>
          <w:rFonts w:cstheme="minorHAnsi"/>
        </w:rPr>
        <w:t>Refining</w:t>
      </w:r>
      <w:proofErr w:type="spellEnd"/>
      <w:r w:rsidR="00D4097E">
        <w:rPr>
          <w:rFonts w:cstheme="minorHAnsi"/>
        </w:rPr>
        <w:t>, wobei hier wieder zwischen direkten Partner und assoziierten Partnern unterschieden wird.</w:t>
      </w:r>
      <w:r w:rsidR="00B3590A">
        <w:rPr>
          <w:rStyle w:val="Funotenzeichen"/>
          <w:rFonts w:cstheme="minorHAnsi"/>
        </w:rPr>
        <w:footnoteReference w:id="1355"/>
      </w:r>
      <w:r w:rsidR="00B3590A" w:rsidRPr="00B3590A">
        <w:rPr>
          <w:rFonts w:cstheme="minorHAnsi"/>
        </w:rPr>
        <w:t xml:space="preserve"> </w:t>
      </w:r>
    </w:p>
    <w:p w14:paraId="00EBD7C0" w14:textId="77777777" w:rsidR="002B3BB3" w:rsidRDefault="002B3BB3" w:rsidP="00112190"/>
    <w:p w14:paraId="57BC03D1" w14:textId="77777777" w:rsidR="00A635DD" w:rsidRDefault="00112190" w:rsidP="00112190">
      <w:r>
        <w:t>Die Aufgabe der Wettbewerbsbehörde ist es, Wettbewerb aufrechtzuerhalten und zu starke Marktmachtstellungen zu verhindern, um Innovationen und niedrige Preise für Konsumenten zu ermöglichen. Durch den Klimawandel kommen sogar in der Fusionskontrolle neue Fragestellungen hinzu, etwa die Frage, ob Zusammenschlüsse von Firmen nicht von großen Firmen genutzt werden können, um kleine Konkurrenzfirmen mit klimafreundlichen Innovationen zu bremsen (</w:t>
      </w:r>
      <w:proofErr w:type="spellStart"/>
      <w:r>
        <w:t>killer</w:t>
      </w:r>
      <w:proofErr w:type="spellEnd"/>
      <w:r>
        <w:t xml:space="preserve"> </w:t>
      </w:r>
      <w:proofErr w:type="spellStart"/>
      <w:r>
        <w:t>aquisition</w:t>
      </w:r>
      <w:proofErr w:type="spellEnd"/>
      <w:r>
        <w:t>).</w:t>
      </w:r>
      <w:r>
        <w:rPr>
          <w:rStyle w:val="Funotenzeichen"/>
        </w:rPr>
        <w:footnoteReference w:id="1356"/>
      </w:r>
      <w:r>
        <w:t xml:space="preserve"> Es könnte aber auch sein, dass große Firmen hohe Investitionen besser durchführen können. </w:t>
      </w:r>
    </w:p>
    <w:p w14:paraId="75C9523E" w14:textId="77777777" w:rsidR="00A635DD" w:rsidRDefault="00A635DD" w:rsidP="00112190"/>
    <w:p w14:paraId="7A8BD418" w14:textId="1218B676" w:rsidR="00112190" w:rsidRDefault="00112190" w:rsidP="00112190">
      <w:r>
        <w:t>Diese Fragen der Fusionskontrolle und der Gruppenfreistellungsverordnungen können hier nicht weiterverfolgt werden, siehe die jährlichen Bereiche über die EU-Wettbewerbspolitik, dort wird etwa beschrieben, dass durch Gruppenfreistellungsverordnungen für sog. horizontale Ziele im Bereich Forschung und Entwicklung, Umweltschutz, Breitbandanbindung, regionale Entwicklung, Unterstützung von kleinen und mittleren Unternehmen, Agrar- und Fischereisektor staatliche Beihilfen ohne Anmeldung bei der Kommission vergeben werden können.</w:t>
      </w:r>
      <w:r>
        <w:rPr>
          <w:rStyle w:val="Funotenzeichen"/>
        </w:rPr>
        <w:footnoteReference w:id="1357"/>
      </w:r>
      <w:r>
        <w:t xml:space="preserve"> Als Regionalbeihilfen wurden etwa 2022 Hilfen für eine Ausweitung der Produktion für Batterie Kupferfolien für SK On </w:t>
      </w:r>
      <w:proofErr w:type="spellStart"/>
      <w:r>
        <w:t>Hungary</w:t>
      </w:r>
      <w:proofErr w:type="spellEnd"/>
      <w:r>
        <w:t>, ein neues Batteriezellenwerk genehmigt, für eine Investitionsbeihilfe für LG Chem für den Ausbau einer Elektroauto Akku Fabrik in Polen.</w:t>
      </w:r>
      <w:r>
        <w:rPr>
          <w:rStyle w:val="Funotenzeichen"/>
        </w:rPr>
        <w:footnoteReference w:id="1358"/>
      </w:r>
      <w:r>
        <w:t xml:space="preserve"> </w:t>
      </w:r>
    </w:p>
    <w:p w14:paraId="61548FA8" w14:textId="77777777" w:rsidR="00112190" w:rsidRDefault="00112190" w:rsidP="00112190"/>
    <w:p w14:paraId="04181273" w14:textId="0FE03932" w:rsidR="00112190" w:rsidRDefault="00112190" w:rsidP="00112190">
      <w:r>
        <w:lastRenderedPageBreak/>
        <w:t>Wie geht die Beihilfekontrolle der EU, die Beihilfen kritisch untersucht</w:t>
      </w:r>
      <w:r>
        <w:rPr>
          <w:rStyle w:val="Funotenzeichen"/>
        </w:rPr>
        <w:footnoteReference w:id="1359"/>
      </w:r>
      <w:r w:rsidR="002B3BB3">
        <w:t xml:space="preserve"> </w:t>
      </w:r>
      <w:r>
        <w:t xml:space="preserve">mit </w:t>
      </w:r>
      <w:r w:rsidR="000F444F">
        <w:t>staatlichen</w:t>
      </w:r>
      <w:r w:rsidR="005E24E7">
        <w:t xml:space="preserve"> </w:t>
      </w:r>
      <w:r>
        <w:t xml:space="preserve">Subventionen und anderen Maßnahmen um? </w:t>
      </w:r>
    </w:p>
    <w:p w14:paraId="2A888744" w14:textId="77777777" w:rsidR="00112190" w:rsidRDefault="00112190" w:rsidP="00112190"/>
    <w:p w14:paraId="780C594F" w14:textId="7F2710F3" w:rsidR="00A95927" w:rsidRDefault="00A95927" w:rsidP="00112190">
      <w:r>
        <w:t>Nach Art. 107 AEUV (Vertrag über die Arbeitsweise der Europäischen Union) sind staatliche Beihilfen mit dem Binnenmarkt unvereinbar, weil sie u.a. durch Begünstigung den Wettbewerb verfälschen können oder den Handel beeinträchtigen, aber nur insofern in den Verträgen nichts anderes bestimmt ist.</w:t>
      </w:r>
      <w:r>
        <w:rPr>
          <w:rStyle w:val="Funotenzeichen"/>
        </w:rPr>
        <w:footnoteReference w:id="1360"/>
      </w:r>
      <w:r>
        <w:t xml:space="preserve"> In der Bekanntmachung der Kommission zum Begriff der staatlichen Beihilfe im Sinne des Artikels 107 Abs. 1</w:t>
      </w:r>
      <w:r>
        <w:rPr>
          <w:rStyle w:val="Funotenzeichen"/>
        </w:rPr>
        <w:footnoteReference w:id="1361"/>
      </w:r>
      <w:r>
        <w:t>, wurden Begriffe und Herangehensweisen konkretisiert und mehrere Bereiche herausdefiniert, die nicht darunter fallen, etwa die Ausübung hoheitlicher Befugnisse, soziale Sicherheit, Gesundheitsfürsorge, Bildungswesen, Forschung, Kultur und Naturschutz.</w:t>
      </w:r>
      <w:r>
        <w:rPr>
          <w:rStyle w:val="Funotenzeichen"/>
        </w:rPr>
        <w:footnoteReference w:id="1362"/>
      </w:r>
      <w:r w:rsidR="00F07482">
        <w:t xml:space="preserve"> </w:t>
      </w:r>
      <w:r w:rsidR="00601FCC">
        <w:t>In Artikel 107 Absatz 3 AEUV werden in a) bis e) bestimmte Arten von Beihilfen erlaubt.</w:t>
      </w:r>
      <w:r w:rsidR="009F6EEB">
        <w:rPr>
          <w:rStyle w:val="Funotenzeichen"/>
        </w:rPr>
        <w:footnoteReference w:id="1363"/>
      </w:r>
      <w:r w:rsidR="00601FCC">
        <w:t xml:space="preserve"> </w:t>
      </w:r>
      <w:r w:rsidR="00F07482">
        <w:t>Die letzte Kontrolle, ob eine Beihilfe vorliegt, kommt dem EuGH zu, bis zur gerichtlichen Klärung wird die Überprüfung von der Kommission durchgeführt.</w:t>
      </w:r>
      <w:r w:rsidR="00F61586">
        <w:rPr>
          <w:rStyle w:val="Funotenzeichen"/>
        </w:rPr>
        <w:footnoteReference w:id="1364"/>
      </w:r>
      <w:r w:rsidR="00F07482">
        <w:t xml:space="preserve"> </w:t>
      </w:r>
    </w:p>
    <w:p w14:paraId="69828D1C" w14:textId="77777777" w:rsidR="00A95927" w:rsidRDefault="00A95927" w:rsidP="00112190"/>
    <w:p w14:paraId="0EB7429D" w14:textId="5C336E54" w:rsidR="005E24E7" w:rsidRDefault="005E24E7" w:rsidP="005E24E7">
      <w:r>
        <w:t>Mit den Leitlinien für Beihilfen unter dem ETS wurden die Strompreiskompensationen erlaubt, siehe hier einen Infotext</w:t>
      </w:r>
      <w:r>
        <w:rPr>
          <w:rStyle w:val="Funotenzeichen"/>
        </w:rPr>
        <w:footnoteReference w:id="1365"/>
      </w:r>
      <w:r>
        <w:t>, hier die Guidelines (EU Emission Trading System State Aid Guidelines).</w:t>
      </w:r>
      <w:r>
        <w:rPr>
          <w:rStyle w:val="Funotenzeichen"/>
        </w:rPr>
        <w:footnoteReference w:id="1366"/>
      </w:r>
      <w:r w:rsidR="004825A8">
        <w:t xml:space="preserve"> Siehe dazu z.B. diese </w:t>
      </w:r>
      <w:r w:rsidR="00A42674">
        <w:t>CEP-</w:t>
      </w:r>
      <w:r w:rsidR="004825A8">
        <w:t>Studie aus dem Jahr 2019.</w:t>
      </w:r>
      <w:r w:rsidR="004825A8">
        <w:rPr>
          <w:rStyle w:val="Funotenzeichen"/>
        </w:rPr>
        <w:footnoteReference w:id="1367"/>
      </w:r>
    </w:p>
    <w:p w14:paraId="1CB60A56" w14:textId="77777777" w:rsidR="005E24E7" w:rsidRDefault="005E24E7" w:rsidP="00112190"/>
    <w:p w14:paraId="655B79CE" w14:textId="0EC0320C" w:rsidR="002E5469" w:rsidRDefault="00112190" w:rsidP="006F2E0A">
      <w:r>
        <w:t xml:space="preserve">Die Beihilfekontrolle erlaubt </w:t>
      </w:r>
      <w:r w:rsidR="00706170">
        <w:t>nationalstaatliche</w:t>
      </w:r>
      <w:r>
        <w:t xml:space="preserve"> Beihilfen der Mitgliedstaaten </w:t>
      </w:r>
      <w:r w:rsidR="00E46F88">
        <w:t xml:space="preserve">zum Beispiel wurden die </w:t>
      </w:r>
      <w:r>
        <w:t xml:space="preserve">Covid-19 Maßnahmen mit einem State Aid Covid </w:t>
      </w:r>
      <w:proofErr w:type="spellStart"/>
      <w:r>
        <w:t>Temporary</w:t>
      </w:r>
      <w:proofErr w:type="spellEnd"/>
      <w:r>
        <w:t xml:space="preserve"> Framework</w:t>
      </w:r>
      <w:r w:rsidR="00E46F88">
        <w:t xml:space="preserve"> erlaubt</w:t>
      </w:r>
      <w:r>
        <w:rPr>
          <w:rStyle w:val="Funotenzeichen"/>
        </w:rPr>
        <w:footnoteReference w:id="1368"/>
      </w:r>
      <w:r>
        <w:t xml:space="preserve">, dann wurden aufgrund der Ukraine Krise bis Ende 2025 direkte Subventionen im Rahmen eines Kriseninstruments erlaubt, zuerst einmal mit dem </w:t>
      </w:r>
      <w:proofErr w:type="spellStart"/>
      <w:r>
        <w:t>Temporary</w:t>
      </w:r>
      <w:proofErr w:type="spellEnd"/>
      <w:r>
        <w:t xml:space="preserve"> Crisis Framework</w:t>
      </w:r>
      <w:r w:rsidR="0015131F">
        <w:t xml:space="preserve">, im Rahmen von </w:t>
      </w:r>
      <w:proofErr w:type="spellStart"/>
      <w:r w:rsidR="0015131F">
        <w:t>REPowerEU</w:t>
      </w:r>
      <w:proofErr w:type="spellEnd"/>
      <w:r w:rsidR="0015131F">
        <w:t xml:space="preserve">, </w:t>
      </w:r>
      <w:r w:rsidR="0015131F">
        <w:lastRenderedPageBreak/>
        <w:t>08.03.2023, angenommen am</w:t>
      </w:r>
      <w:r>
        <w:t xml:space="preserve"> 23.03.2022.</w:t>
      </w:r>
      <w:r>
        <w:rPr>
          <w:rStyle w:val="Funotenzeichen"/>
        </w:rPr>
        <w:footnoteReference w:id="1369"/>
      </w:r>
      <w:r>
        <w:t xml:space="preserve"> Danach wurde ein </w:t>
      </w:r>
      <w:proofErr w:type="spellStart"/>
      <w:r w:rsidRPr="000D19CF">
        <w:rPr>
          <w:u w:val="single"/>
        </w:rPr>
        <w:t>Temporary</w:t>
      </w:r>
      <w:proofErr w:type="spellEnd"/>
      <w:r w:rsidRPr="000D19CF">
        <w:rPr>
          <w:u w:val="single"/>
        </w:rPr>
        <w:t xml:space="preserve"> Crisis Transition Framework (TCTF), </w:t>
      </w:r>
      <w:r w:rsidR="0015131F">
        <w:rPr>
          <w:u w:val="single"/>
        </w:rPr>
        <w:t>anwendbar ab 09.03</w:t>
      </w:r>
      <w:r w:rsidRPr="000D19CF">
        <w:rPr>
          <w:u w:val="single"/>
        </w:rPr>
        <w:t>.2023</w:t>
      </w:r>
      <w:r>
        <w:rPr>
          <w:rStyle w:val="Funotenzeichen"/>
        </w:rPr>
        <w:footnoteReference w:id="1370"/>
      </w:r>
      <w:r>
        <w:t>, dass dazu eingerichtet wurde, gegen die Auswirkungen des Ukraine Kriegs Zahlungen zu ermöglichen und auch dazu, den Produktionsanlauf bei erneuerbaren Energien zu beschleunigen</w:t>
      </w:r>
      <w:r w:rsidR="0015131F">
        <w:t>, speziell Batterien, Windkraftanlagen, Elektrolyseure und CCS, Inputgüter dafür und Rohstoffe dafür</w:t>
      </w:r>
      <w:r>
        <w:t>, mit der Möglichkeit 15 % bis 60 % zu subventionieren, je nach Ort bzw. Unternehmensgröße.</w:t>
      </w:r>
      <w:r>
        <w:rPr>
          <w:rStyle w:val="Funotenzeichen"/>
        </w:rPr>
        <w:footnoteReference w:id="1371"/>
      </w:r>
      <w:r>
        <w:t xml:space="preserve"> </w:t>
      </w:r>
      <w:r w:rsidR="00F61586">
        <w:t xml:space="preserve">Siehe den konsolidierten </w:t>
      </w:r>
      <w:proofErr w:type="spellStart"/>
      <w:r w:rsidR="00F61586">
        <w:t>Temporary</w:t>
      </w:r>
      <w:proofErr w:type="spellEnd"/>
      <w:r w:rsidR="00F61586">
        <w:t xml:space="preserve"> Crisis Transition Framework TCTF Text hier.</w:t>
      </w:r>
      <w:r w:rsidR="00F61586">
        <w:rPr>
          <w:rStyle w:val="Funotenzeichen"/>
        </w:rPr>
        <w:footnoteReference w:id="1372"/>
      </w:r>
      <w:r w:rsidR="00F61586">
        <w:t xml:space="preserve"> Siehe auch diese Übersicht</w:t>
      </w:r>
      <w:r w:rsidR="0015131F">
        <w:t>.</w:t>
      </w:r>
      <w:r w:rsidR="0015131F">
        <w:rPr>
          <w:rStyle w:val="Funotenzeichen"/>
        </w:rPr>
        <w:footnoteReference w:id="1373"/>
      </w:r>
      <w:r w:rsidR="0015131F">
        <w:t xml:space="preserve"> </w:t>
      </w:r>
      <w:r w:rsidR="002E5469">
        <w:t>Der TCTC ist stark durch den Angriffskrieg Russlands gegen die Ukraine geprägt</w:t>
      </w:r>
      <w:r w:rsidR="006F2E0A">
        <w:t>. Ich nehme hier beispielhaft einige Punkte aus dem detailreichen Text: Er</w:t>
      </w:r>
      <w:r w:rsidR="002E5469">
        <w:t xml:space="preserve"> enthält einige Erleichterungen für staatliche Beihilfen, Beihilfen von unter 2,25 Mill. müssen nicht geprüft werden, Darlehen zum ermäßigten Zinssatz können vergeben werden, Mehrkosten für Erdgas- oder Strompreisanstiegen können unter Bedingungen übernommen werden.</w:t>
      </w:r>
      <w:r w:rsidR="006F2E0A">
        <w:t xml:space="preserve"> Investitionen in erneuerbare Energien, in Stromspeicher, Wärmespeicher, in Wasserstoffspeicher und Biokraftstoff, Biogas (incl. Biomethan), Biomasse werden unter Artikel 107 Absatz 3 Buchstabe c AEUV vereinbar angesehen. Ebenso Beihilfen für die Elektrif</w:t>
      </w:r>
      <w:r w:rsidR="00986DC4">
        <w:t>i</w:t>
      </w:r>
      <w:r w:rsidR="006F2E0A">
        <w:t>zierung, wenn dies 200 Mill. Euro nicht übersteigt.</w:t>
      </w:r>
      <w:r w:rsidR="002E5469">
        <w:rPr>
          <w:rStyle w:val="Funotenzeichen"/>
        </w:rPr>
        <w:footnoteReference w:id="1374"/>
      </w:r>
      <w:r w:rsidR="006F2E0A">
        <w:t xml:space="preserve"> In S. 10 in d</w:t>
      </w:r>
      <w:r w:rsidR="00555BA7">
        <w:t>er</w:t>
      </w:r>
      <w:r w:rsidR="006F2E0A">
        <w:t xml:space="preserve"> Publikation </w:t>
      </w:r>
      <w:r w:rsidR="00555BA7">
        <w:t xml:space="preserve">‚A Green Deal Industrial Plan </w:t>
      </w:r>
      <w:proofErr w:type="spellStart"/>
      <w:r w:rsidR="00555BA7">
        <w:t>for</w:t>
      </w:r>
      <w:proofErr w:type="spellEnd"/>
      <w:r w:rsidR="00555BA7">
        <w:t xml:space="preserve"> </w:t>
      </w:r>
      <w:proofErr w:type="spellStart"/>
      <w:r w:rsidR="00555BA7">
        <w:t>the</w:t>
      </w:r>
      <w:proofErr w:type="spellEnd"/>
      <w:r w:rsidR="00555BA7">
        <w:t xml:space="preserve"> Net Zero Age“ </w:t>
      </w:r>
      <w:r w:rsidR="006F2E0A">
        <w:t>werde weitere Aspekte des TCTF erläutert, etwa die Verlän</w:t>
      </w:r>
      <w:r w:rsidR="00986DC4">
        <w:t>g</w:t>
      </w:r>
      <w:r w:rsidR="006F2E0A">
        <w:t>erung der Fristen zum Abschluss von Projekten.</w:t>
      </w:r>
      <w:r w:rsidR="006F2E0A">
        <w:rPr>
          <w:rStyle w:val="Funotenzeichen"/>
        </w:rPr>
        <w:footnoteReference w:id="1375"/>
      </w:r>
    </w:p>
    <w:p w14:paraId="5DF23B53" w14:textId="77777777" w:rsidR="002E5469" w:rsidRDefault="002E5469" w:rsidP="00112190"/>
    <w:p w14:paraId="6DDEEAED" w14:textId="2D49E57F" w:rsidR="0015131F" w:rsidRDefault="00CB669E" w:rsidP="00112190">
      <w:r>
        <w:t xml:space="preserve">Im Rahmen des </w:t>
      </w:r>
      <w:proofErr w:type="spellStart"/>
      <w:r>
        <w:t>Temporary</w:t>
      </w:r>
      <w:proofErr w:type="spellEnd"/>
      <w:r>
        <w:t xml:space="preserve"> Crisis Transition Framework</w:t>
      </w:r>
      <w:r w:rsidR="00112190">
        <w:t xml:space="preserve"> </w:t>
      </w:r>
      <w:r>
        <w:t xml:space="preserve">(TCTF) </w:t>
      </w:r>
      <w:r w:rsidR="00112190">
        <w:t>hat Deutschland 260 Millionen für Wasserstoffproduktion und Speicherung angegeben und 3 Mrd. für die Produktion strategischer Güter, Frankreich 4,1 Mrd. Euro für den Ausbau der Offshore Windkraft, Spanien 837 Millionen Euro für die Produktion von Batterien für Elektroautos, siehe für weitere Einträge die Liste der genehmigten Projekte hier, Datum der Liste 20.02.2024.</w:t>
      </w:r>
      <w:r w:rsidR="00112190">
        <w:rPr>
          <w:rStyle w:val="Funotenzeichen"/>
        </w:rPr>
        <w:footnoteReference w:id="1376"/>
      </w:r>
      <w:r w:rsidR="00112190">
        <w:t xml:space="preserve"> </w:t>
      </w:r>
    </w:p>
    <w:p w14:paraId="18215773" w14:textId="77777777" w:rsidR="0015131F" w:rsidRDefault="0015131F" w:rsidP="00112190"/>
    <w:p w14:paraId="52BA0C1A" w14:textId="3C959310" w:rsidR="00112190" w:rsidRDefault="00112190" w:rsidP="00112190">
      <w:r>
        <w:t xml:space="preserve">Am 8. Januar 2024 genehmigte die Kommission </w:t>
      </w:r>
      <w:proofErr w:type="gramStart"/>
      <w:r>
        <w:t>eine deutsche Subventionen</w:t>
      </w:r>
      <w:proofErr w:type="gramEnd"/>
      <w:r>
        <w:t xml:space="preserve"> in Höhe von 902 Millionen Euro zur Unterstützung des Elektroakkuwerks von Northvolt in Schleswig-Holstein. Dies sei eine ungewöhnliche Einzelbeihilfe, aber höhere Beihilfebeträge würden genehmigt, „wenn die Gefahr besteht, dass Investitionen aufgrund der Verfügbarkeit ausländischer Subventionen aus Europa </w:t>
      </w:r>
      <w:r>
        <w:lastRenderedPageBreak/>
        <w:t>abgezogen werden.“</w:t>
      </w:r>
      <w:r w:rsidR="00CE73D7">
        <w:t xml:space="preserve"> (Zitat aus Webseite, nicht aus einer Verordnung)</w:t>
      </w:r>
      <w:r>
        <w:t xml:space="preserve"> Es wird ein Gesamtbetrag von 12 Mrd. für die Beihilfen, die in diesem Rahmen genehmigt wurde, angegeben.</w:t>
      </w:r>
      <w:r>
        <w:rPr>
          <w:rStyle w:val="Funotenzeichen"/>
        </w:rPr>
        <w:footnoteReference w:id="1377"/>
      </w:r>
      <w:r w:rsidR="00584121">
        <w:t xml:space="preserve"> Northvolt ist bekanntlich mittlerweile insolvent.</w:t>
      </w:r>
      <w:r w:rsidR="00584121">
        <w:rPr>
          <w:rStyle w:val="Funotenzeichen"/>
        </w:rPr>
        <w:footnoteReference w:id="1378"/>
      </w:r>
    </w:p>
    <w:p w14:paraId="466F1777" w14:textId="77777777" w:rsidR="00112190" w:rsidRDefault="00112190" w:rsidP="00112190"/>
    <w:p w14:paraId="697EA5C8" w14:textId="1651F1D5" w:rsidR="00A97F7A" w:rsidRDefault="00112190" w:rsidP="00112190">
      <w:r>
        <w:t xml:space="preserve">Sodann wurden parallel dazu die Leitlinien für die Beihilfeüberprüfung überarbeitet, nun gelten die </w:t>
      </w:r>
      <w:r w:rsidRPr="00475D7F">
        <w:t>Leitlinien für staatliche Klima-, Umweltschutz- und Energiebeihilfen 2022</w:t>
      </w:r>
      <w:r>
        <w:t xml:space="preserve"> (Climate, Energy and Environment Aid Guidelines, CEEAG)</w:t>
      </w:r>
      <w:r w:rsidR="00A635DD">
        <w:t>, in Deutschland auch abgekürzt KUEBLL</w:t>
      </w:r>
      <w:r>
        <w:t>.</w:t>
      </w:r>
      <w:r>
        <w:rPr>
          <w:rStyle w:val="Funotenzeichen"/>
        </w:rPr>
        <w:footnoteReference w:id="1379"/>
      </w:r>
      <w:r>
        <w:t xml:space="preserve"> </w:t>
      </w:r>
      <w:r w:rsidR="00A97F7A">
        <w:t>D</w:t>
      </w:r>
      <w:r w:rsidR="007C2804">
        <w:t>ort wird etwa bestimmt, dass die</w:t>
      </w:r>
      <w:r w:rsidR="00A97F7A">
        <w:t xml:space="preserve"> Beihilfen der Recovery and </w:t>
      </w:r>
      <w:proofErr w:type="spellStart"/>
      <w:r w:rsidR="00A97F7A">
        <w:t>Resiliance</w:t>
      </w:r>
      <w:proofErr w:type="spellEnd"/>
      <w:r w:rsidR="00A97F7A">
        <w:t xml:space="preserve"> Pläne als genehmigt</w:t>
      </w:r>
      <w:r w:rsidR="007C2804">
        <w:t xml:space="preserve"> gelten</w:t>
      </w:r>
      <w:r w:rsidR="00A97F7A">
        <w:t>, da bereits geprüft.</w:t>
      </w:r>
      <w:r w:rsidR="00A97F7A">
        <w:rPr>
          <w:rStyle w:val="Funotenzeichen"/>
        </w:rPr>
        <w:footnoteReference w:id="1380"/>
      </w:r>
      <w:r w:rsidR="00A97F7A">
        <w:t xml:space="preserve"> </w:t>
      </w:r>
    </w:p>
    <w:p w14:paraId="484520D4" w14:textId="77777777" w:rsidR="00A97F7A" w:rsidRDefault="00A97F7A" w:rsidP="00112190"/>
    <w:p w14:paraId="58EF99A4" w14:textId="171664DB" w:rsidR="009753E6" w:rsidRDefault="000F0A67" w:rsidP="00112190">
      <w:r>
        <w:t>D</w:t>
      </w:r>
      <w:r w:rsidR="007C2804">
        <w:t>as</w:t>
      </w:r>
      <w:r w:rsidR="00112190">
        <w:t xml:space="preserve"> umfassende </w:t>
      </w:r>
      <w:r w:rsidR="007C2804">
        <w:t xml:space="preserve">KUEBLL </w:t>
      </w:r>
      <w:r w:rsidR="00112190">
        <w:t xml:space="preserve">Dokument, mit 89 Seiten, </w:t>
      </w:r>
      <w:r>
        <w:t>ist auch deshalb so lang, weil unterschiedliche Arten und Weisen der Beihilfe einzeln angeführt werden, etwa Beihilfen für die Verringerung von Treibhausgasemissionen und Förderung der Energieeffizienz / für Gebäudesanierung / für saubere Mobilität / für Kreislaufwirtschaft / für Energieinfrastruktur / für Fernwärme … (Auswahl).</w:t>
      </w:r>
      <w:r>
        <w:rPr>
          <w:rStyle w:val="Funotenzeichen"/>
        </w:rPr>
        <w:footnoteReference w:id="1381"/>
      </w:r>
      <w:r>
        <w:t xml:space="preserve"> </w:t>
      </w:r>
      <w:r w:rsidR="003A0BBB">
        <w:t>Ausgeklammert sind Beihilfen für umweltfreundliche Produkte, Maschinen und Anlagen, für Forschung &amp; Entwicklung, Beihilfen für Agrar-, Forst-, Fischerei und Kernenergie.</w:t>
      </w:r>
      <w:r w:rsidR="003A0BBB">
        <w:rPr>
          <w:rStyle w:val="Funotenzeichen"/>
        </w:rPr>
        <w:footnoteReference w:id="1382"/>
      </w:r>
    </w:p>
    <w:p w14:paraId="39F2A23A" w14:textId="77777777" w:rsidR="00E21FC8" w:rsidRDefault="00E21FC8" w:rsidP="00112190"/>
    <w:p w14:paraId="78AAF1BA" w14:textId="6016B1AE" w:rsidR="00A97F7A" w:rsidRDefault="00E21FC8" w:rsidP="00112190">
      <w:r>
        <w:t>Die Beihilfen müssen dem Kriterium der Erforderlichkeit entsprechen, u.a. müssen sie eine „wesentliche Verbesserung bewirken (…), die der Markt allein nicht herbeiführen kann.“</w:t>
      </w:r>
      <w:r>
        <w:rPr>
          <w:rStyle w:val="Funotenzeichen"/>
        </w:rPr>
        <w:footnoteReference w:id="1383"/>
      </w:r>
      <w:r>
        <w:t xml:space="preserve"> Beispiel dafür ist, wenn Marktversagen besteht und man es behebt. Danach wie in einem Lehrbuch für Wirtschaft, Kapital Marktversagen, aus umweltökonomischer Sicht, Beispiele für Marktversagen aufgezählt: Negative Externe Effekte, positive Externe Effekte, Informationsasymmetrien und Koordinierungsdefizite</w:t>
      </w:r>
      <w:r w:rsidR="00CE73D7">
        <w:t xml:space="preserve"> …</w:t>
      </w:r>
      <w:r>
        <w:t xml:space="preserve"> schön und gut, aber in der Situation im Moment geht es </w:t>
      </w:r>
      <w:r w:rsidR="00CE73D7">
        <w:t xml:space="preserve">z.B. </w:t>
      </w:r>
      <w:r>
        <w:t>beim Aufbau einer Solarindustrie eher um einen ‚</w:t>
      </w:r>
      <w:proofErr w:type="spellStart"/>
      <w:r>
        <w:t>big</w:t>
      </w:r>
      <w:proofErr w:type="spellEnd"/>
      <w:r>
        <w:t xml:space="preserve"> push‘ nach Rosenstein-Rhodan. Immerhin dürfen die staatlichen Maßnahmen auch „andere Strategien und Maßnahmen verstärken“</w:t>
      </w:r>
      <w:r w:rsidR="00A97F7A" w:rsidRPr="00A97F7A">
        <w:rPr>
          <w:rStyle w:val="Funotenzeichen"/>
        </w:rPr>
        <w:t xml:space="preserve"> </w:t>
      </w:r>
      <w:r w:rsidR="00A97F7A">
        <w:rPr>
          <w:rStyle w:val="Funotenzeichen"/>
        </w:rPr>
        <w:footnoteReference w:id="1384"/>
      </w:r>
      <w:r>
        <w:t xml:space="preserve"> (man denkt hier etwa an handelspolitische Maßnahmen, wie Schutzzölle). </w:t>
      </w:r>
    </w:p>
    <w:p w14:paraId="1E8CC6B7" w14:textId="77777777" w:rsidR="008F02E2" w:rsidRDefault="008F02E2" w:rsidP="00112190"/>
    <w:p w14:paraId="782CF6FA" w14:textId="7E1C8833" w:rsidR="00A97F7A" w:rsidRDefault="00A97F7A" w:rsidP="00112190">
      <w:r>
        <w:t xml:space="preserve">Mit dem Kriterium der Geeignetheit müssen die Mitgliedstaaten dargelegt, warum nur die Beihilfe, und nicht andere Instrumente auch geeignet sind, das Marktversagen zu beheben. Hier werden eine Reihe von weiteren Beihilfeformen aufgezählt, die aus Sicht der EU-Wettbewerbsbehörde geringere Verzerrungen des Marktes auslösen, etwa „rückzahlbare Vorschüsse statt direkter Zuschüsse, Steuergutschriften statt Steuervergünstigungen auf Finanzinstrumenten basierende Beihilfeformen, etwa Fremdkapitalinstrumente statt Eigenkapitalinstrumente (z.B. zinsgünstige Darlehen oder Zinszuschüsse, staatliche Garantien oder andere Formen der Bereitstellung finanzieller Mittel zu </w:t>
      </w:r>
      <w:r>
        <w:lastRenderedPageBreak/>
        <w:t>günstigen Bedingungen“.</w:t>
      </w:r>
      <w:r>
        <w:rPr>
          <w:rStyle w:val="Funotenzeichen"/>
        </w:rPr>
        <w:footnoteReference w:id="1385"/>
      </w:r>
      <w:r>
        <w:t xml:space="preserve"> Angeregt wird: „wenn die tatsächlichen Einnahmen ungewiss sind, könnte ein rückzahlbarer Vorschuss das am besten geeignete Instrument sein.“</w:t>
      </w:r>
      <w:r>
        <w:rPr>
          <w:rStyle w:val="Funotenzeichen"/>
        </w:rPr>
        <w:footnoteReference w:id="1386"/>
      </w:r>
    </w:p>
    <w:p w14:paraId="0DB5805C" w14:textId="77777777" w:rsidR="00A97F7A" w:rsidRDefault="00A97F7A" w:rsidP="00112190"/>
    <w:p w14:paraId="4B4BB910" w14:textId="74B07483" w:rsidR="004F5DB8" w:rsidRDefault="003A7E64" w:rsidP="00112190">
      <w:r>
        <w:t xml:space="preserve">Hier denkt man an die Solarindustrie, deren Einnahmen ungewiss sind, ob hier wirklich ein </w:t>
      </w:r>
      <w:r w:rsidR="00CE73D7">
        <w:t>‚</w:t>
      </w:r>
      <w:r>
        <w:t>rückzahlbarer Vorschuss</w:t>
      </w:r>
      <w:r w:rsidR="00CE73D7">
        <w:t>‘</w:t>
      </w:r>
      <w:r>
        <w:t xml:space="preserve"> sinnvoll wäre, denn dann müsste die Industrie dies auch immer in der Preisgestaltung berücksichtigen – mit einer höheren Subvention – über mehrere Jahre – könnte sie gut starten und auch günstige Preise für Solarzellen einräumen – und so schneller einen größeren Markt erobern und damit dann auch schneller profitabel werden. </w:t>
      </w:r>
    </w:p>
    <w:p w14:paraId="3ED10AD3" w14:textId="77777777" w:rsidR="004F5DB8" w:rsidRDefault="004F5DB8" w:rsidP="00112190"/>
    <w:p w14:paraId="38E9A82F" w14:textId="1D7A303F" w:rsidR="003A7E64" w:rsidRDefault="008F02E2" w:rsidP="00112190">
      <w:r>
        <w:t>Interessanterweise gibt es nun in dem Abschnitt zu Beihilfen zu erneuerbaren Energien, 4.1.2.1, z.B. bei 4.1.3.1 Geeignetheit,</w:t>
      </w:r>
      <w:r w:rsidR="004F5DB8">
        <w:t xml:space="preserve"> eine Abmilderung dieser Kriterien in Abschnitt 3.2.1.2, mit der</w:t>
      </w:r>
      <w:r>
        <w:t xml:space="preserve"> Feststellung, dass die Kommission davon ausgeht, dass staatliche Beihilfen</w:t>
      </w:r>
      <w:r w:rsidR="004F5DB8">
        <w:t xml:space="preserve"> „grundsätzlich eine geeignete Maßnahme zur Verwirklichung der </w:t>
      </w:r>
      <w:proofErr w:type="spellStart"/>
      <w:r w:rsidR="004F5DB8">
        <w:t>Dekarbonisierungsziele</w:t>
      </w:r>
      <w:proofErr w:type="spellEnd"/>
      <w:r w:rsidR="004F5DB8">
        <w:t xml:space="preserve"> darstellen können, da andere politische Instrumente normalerweise nicht ausreichen, um diese Ziele zu erreiche. Angesichts des Umfangs und der Dringlichkeit der Herausforderungen im Zusammenhang mit der Dekarbonisierung können verschiedenen Instrumente, einschließlich direkter Zuschüsse, eingesetzt werden.“</w:t>
      </w:r>
      <w:r w:rsidR="004F5DB8">
        <w:rPr>
          <w:rStyle w:val="Funotenzeichen"/>
        </w:rPr>
        <w:footnoteReference w:id="1387"/>
      </w:r>
      <w:r>
        <w:t xml:space="preserve"> </w:t>
      </w:r>
    </w:p>
    <w:p w14:paraId="6AC4E0F3" w14:textId="77777777" w:rsidR="003A7E64" w:rsidRDefault="003A7E64" w:rsidP="00112190"/>
    <w:p w14:paraId="0A4AABCA" w14:textId="391A2EF3" w:rsidR="003A7E64" w:rsidRDefault="003A7E64" w:rsidP="00112190">
      <w:r>
        <w:t xml:space="preserve">Die Beihilfen sollen auf das Minimum beschränkt sein, das zur Verwirklichung </w:t>
      </w:r>
      <w:proofErr w:type="gramStart"/>
      <w:r>
        <w:t>des Ziel</w:t>
      </w:r>
      <w:proofErr w:type="gramEnd"/>
      <w:r>
        <w:t xml:space="preserve"> nötig ist. Dazu müsse ein Vergleich </w:t>
      </w:r>
      <w:proofErr w:type="gramStart"/>
      <w:r>
        <w:t>zwischen eines tatsächlichen Szenarios</w:t>
      </w:r>
      <w:proofErr w:type="gramEnd"/>
      <w:r>
        <w:t xml:space="preserve"> (mit Beihilfe) und kontrafaktisches Szenario ohne Beihilfe, mit allen Kosten und Einnahmen vorlegen.</w:t>
      </w:r>
      <w:r w:rsidRPr="003A7E64">
        <w:rPr>
          <w:rStyle w:val="Funotenzeichen"/>
        </w:rPr>
        <w:t xml:space="preserve"> </w:t>
      </w:r>
      <w:r>
        <w:rPr>
          <w:rStyle w:val="Funotenzeichen"/>
        </w:rPr>
        <w:footnoteReference w:id="1388"/>
      </w:r>
      <w:r>
        <w:t xml:space="preserve"> </w:t>
      </w:r>
    </w:p>
    <w:p w14:paraId="26B52ADC" w14:textId="77777777" w:rsidR="003A7E64" w:rsidRDefault="003A7E64" w:rsidP="00112190"/>
    <w:p w14:paraId="0FFD809D" w14:textId="421E25B8" w:rsidR="001B2B5C" w:rsidRDefault="001B2B5C" w:rsidP="00112190">
      <w:r>
        <w:t>Zudem sollen Wettbewerberfirmen nicht benachteiligt werden, dazu ist ein Transparenzregister</w:t>
      </w:r>
      <w:r w:rsidR="006C6D5E">
        <w:t xml:space="preserve"> eingerichtet, die </w:t>
      </w:r>
      <w:r w:rsidR="006C6D5E" w:rsidRPr="006C6D5E">
        <w:rPr>
          <w:u w:val="single"/>
        </w:rPr>
        <w:t>State Aid Transparency Public Search Datenbank</w:t>
      </w:r>
      <w:r>
        <w:t>, in der jede Beihilfe über 100.000 Euro enthalten ist. Siehe diese Webseite, mit 22</w:t>
      </w:r>
      <w:r w:rsidR="00CE73D7">
        <w:t>.</w:t>
      </w:r>
      <w:r>
        <w:t>650 Einträgen für Deutschland, teils sehr kleine Beihilfen auf Länderebene für einzelne Unternehmen.</w:t>
      </w:r>
      <w:r>
        <w:rPr>
          <w:rStyle w:val="Funotenzeichen"/>
        </w:rPr>
        <w:footnoteReference w:id="1389"/>
      </w:r>
    </w:p>
    <w:p w14:paraId="2D98A69B" w14:textId="77777777" w:rsidR="001B2B5C" w:rsidRDefault="001B2B5C" w:rsidP="00112190"/>
    <w:p w14:paraId="7F5B8AC3" w14:textId="55307031" w:rsidR="001B2B5C" w:rsidRDefault="001B2B5C" w:rsidP="00112190">
      <w:r>
        <w:t>Nach Erwägungsgrund 66 verfälschen Beihilfen den Wettbewerb weniger, wenn sie „allen Wettbewerbern offenstehen, die dieselbe Dienstleistung, dasselbe Produkt oder denselben Nutzen bereitstellen wollen.“ Sie können, siehe Erwägungsgrund 68 „durch Stärkung bzw. Wahrung erheblicher Marktmacht des Beihilfeempfängers den Wettbewerb verfälschen.“</w:t>
      </w:r>
      <w:r w:rsidR="003A7E64">
        <w:rPr>
          <w:rStyle w:val="Funotenzeichen"/>
        </w:rPr>
        <w:footnoteReference w:id="1390"/>
      </w:r>
      <w:r w:rsidR="003A7E64">
        <w:t xml:space="preserve"> </w:t>
      </w:r>
    </w:p>
    <w:p w14:paraId="4EA8C015" w14:textId="77777777" w:rsidR="001B2B5C" w:rsidRDefault="001B2B5C" w:rsidP="00112190"/>
    <w:p w14:paraId="68952628" w14:textId="598A124F" w:rsidR="004F5DB8" w:rsidRDefault="004F5DB8" w:rsidP="004F5DB8">
      <w:r>
        <w:t>Auch hier wird bei Beihilfen für e</w:t>
      </w:r>
      <w:r w:rsidR="003A0BBB">
        <w:t>r</w:t>
      </w:r>
      <w:r>
        <w:t>neuerbare Energien eine Abmilderung formuliert, der Wettbewerb sei nicht übermäßig verzerrt, wenn „in Mitgliedstaat Gründe für seine Annahme darlegt, dass beihilfefähige Wirtschaftszweige oder innovative Technologien das Potenzial haben, längerfristig einen wichtigen und kosteneffizienten Beitrag zum Umweltschutz und zu einer umfassenden Dekarbonisierung zu leisten“.</w:t>
      </w:r>
      <w:r w:rsidRPr="004F5DB8">
        <w:rPr>
          <w:rStyle w:val="Funotenzeichen"/>
        </w:rPr>
        <w:t xml:space="preserve"> </w:t>
      </w:r>
      <w:r>
        <w:rPr>
          <w:rStyle w:val="Funotenzeichen"/>
        </w:rPr>
        <w:footnoteReference w:id="1391"/>
      </w:r>
    </w:p>
    <w:p w14:paraId="56E09A7C" w14:textId="77777777" w:rsidR="004F5DB8" w:rsidRDefault="004F5DB8" w:rsidP="00112190"/>
    <w:p w14:paraId="502461A5" w14:textId="60A96BE9" w:rsidR="003A7E64" w:rsidRDefault="001B2B5C" w:rsidP="00112190">
      <w:r>
        <w:lastRenderedPageBreak/>
        <w:t xml:space="preserve">Schließlich werden von der Kommission alle diese Aspekte </w:t>
      </w:r>
      <w:r w:rsidR="008F02E2">
        <w:t xml:space="preserve">im Sinne einer „Gesamtabwägung“ </w:t>
      </w:r>
      <w:r>
        <w:t>beachtet und die positiven Auswirkungen der Beihilfe gegen die negativen Auswirkungen auf Wettbewerb und Handel abgewogen.</w:t>
      </w:r>
      <w:r w:rsidR="003A7E64">
        <w:rPr>
          <w:rStyle w:val="Funotenzeichen"/>
        </w:rPr>
        <w:footnoteReference w:id="1392"/>
      </w:r>
      <w:r w:rsidR="003A7E64">
        <w:t xml:space="preserve"> </w:t>
      </w:r>
    </w:p>
    <w:p w14:paraId="4E7022B6" w14:textId="77777777" w:rsidR="00170A6B" w:rsidRDefault="00170A6B" w:rsidP="00112190"/>
    <w:p w14:paraId="39B3E38B" w14:textId="5B620CCF" w:rsidR="00375ED8" w:rsidRPr="00437CB6" w:rsidRDefault="00375ED8" w:rsidP="00375ED8">
      <w:pPr>
        <w:rPr>
          <w:lang w:val="en-US"/>
        </w:rPr>
      </w:pPr>
      <w:r w:rsidRPr="00437CB6">
        <w:rPr>
          <w:lang w:val="en-US"/>
        </w:rPr>
        <w:t xml:space="preserve">Der Action Plan on Steel and Metals, 19.03.2025, </w:t>
      </w:r>
      <w:proofErr w:type="spellStart"/>
      <w:r w:rsidRPr="00437CB6">
        <w:rPr>
          <w:lang w:val="en-US"/>
        </w:rPr>
        <w:t>erwähnt</w:t>
      </w:r>
      <w:proofErr w:type="spellEnd"/>
      <w:r w:rsidRPr="00437CB6">
        <w:rPr>
          <w:lang w:val="en-US"/>
        </w:rPr>
        <w:t xml:space="preserve"> </w:t>
      </w:r>
      <w:proofErr w:type="spellStart"/>
      <w:r w:rsidRPr="00437CB6">
        <w:rPr>
          <w:lang w:val="en-US"/>
        </w:rPr>
        <w:t>eine</w:t>
      </w:r>
      <w:proofErr w:type="spellEnd"/>
      <w:r w:rsidRPr="00437CB6">
        <w:rPr>
          <w:lang w:val="en-US"/>
        </w:rPr>
        <w:t xml:space="preserve"> Reihe von</w:t>
      </w:r>
      <w:r w:rsidR="006C6D5E" w:rsidRPr="00437CB6">
        <w:rPr>
          <w:lang w:val="en-US"/>
        </w:rPr>
        <w:t>, von</w:t>
      </w:r>
      <w:r w:rsidRPr="00437CB6">
        <w:rPr>
          <w:lang w:val="en-US"/>
        </w:rPr>
        <w:t xml:space="preserve"> der </w:t>
      </w:r>
      <w:proofErr w:type="spellStart"/>
      <w:r w:rsidRPr="00437CB6">
        <w:rPr>
          <w:lang w:val="en-US"/>
        </w:rPr>
        <w:t>Beihilfekontrolle</w:t>
      </w:r>
      <w:proofErr w:type="spellEnd"/>
      <w:r w:rsidRPr="00437CB6">
        <w:rPr>
          <w:lang w:val="en-US"/>
        </w:rPr>
        <w:t xml:space="preserve"> </w:t>
      </w:r>
      <w:proofErr w:type="spellStart"/>
      <w:r w:rsidRPr="00437CB6">
        <w:rPr>
          <w:lang w:val="en-US"/>
        </w:rPr>
        <w:t>genehmigten</w:t>
      </w:r>
      <w:proofErr w:type="spellEnd"/>
      <w:r w:rsidRPr="00437CB6">
        <w:rPr>
          <w:lang w:val="en-US"/>
        </w:rPr>
        <w:t xml:space="preserve">, </w:t>
      </w:r>
      <w:proofErr w:type="spellStart"/>
      <w:r w:rsidRPr="00437CB6">
        <w:rPr>
          <w:lang w:val="en-US"/>
        </w:rPr>
        <w:t>nationalstaatlichen</w:t>
      </w:r>
      <w:proofErr w:type="spellEnd"/>
      <w:r w:rsidRPr="00437CB6">
        <w:rPr>
          <w:lang w:val="en-US"/>
        </w:rPr>
        <w:t xml:space="preserve"> </w:t>
      </w:r>
      <w:proofErr w:type="spellStart"/>
      <w:r w:rsidRPr="00437CB6">
        <w:rPr>
          <w:lang w:val="en-US"/>
        </w:rPr>
        <w:t>Stahlbeihilfen</w:t>
      </w:r>
      <w:proofErr w:type="spellEnd"/>
      <w:r w:rsidRPr="00437CB6">
        <w:rPr>
          <w:lang w:val="en-US"/>
        </w:rPr>
        <w:t>: “Recent examples of approved schemes which will or can also benefit the steel industry are two Slovak schemes with a total budget of EUR 1.1 billion, a EUR 550 million Italian scheme, a EUR 4 billion German scheme, a EUR 3 billion French scheme, a EUR 2.7 billion Austrian scheme and a EUR 2.5 billion Czech scheme.“</w:t>
      </w:r>
      <w:r>
        <w:rPr>
          <w:rStyle w:val="Funotenzeichen"/>
        </w:rPr>
        <w:footnoteReference w:id="1393"/>
      </w:r>
      <w:r w:rsidRPr="00437CB6">
        <w:rPr>
          <w:lang w:val="en-US"/>
        </w:rPr>
        <w:t xml:space="preserve">  </w:t>
      </w:r>
    </w:p>
    <w:p w14:paraId="4DB5275C" w14:textId="77777777" w:rsidR="00375ED8" w:rsidRPr="00437CB6" w:rsidRDefault="00375ED8" w:rsidP="00112190">
      <w:pPr>
        <w:rPr>
          <w:lang w:val="en-US"/>
        </w:rPr>
      </w:pPr>
    </w:p>
    <w:p w14:paraId="039FF1CE" w14:textId="42733AF6" w:rsidR="006C6D5E" w:rsidRPr="006C6D5E" w:rsidRDefault="006C6D5E" w:rsidP="00112190">
      <w:r>
        <w:t>J</w:t>
      </w:r>
      <w:r w:rsidRPr="00375ED8">
        <w:t>eden</w:t>
      </w:r>
      <w:r>
        <w:t xml:space="preserve">falls für Deutschland sind dies Klimaschutz-Beihilfen zum Umbau der Stahlanlagen von Thyssenkrupp, </w:t>
      </w:r>
      <w:proofErr w:type="spellStart"/>
      <w:r>
        <w:t>Rogesa</w:t>
      </w:r>
      <w:proofErr w:type="spellEnd"/>
      <w:r>
        <w:t>, Saarstahl und (Saarstahl) Dillinger Hütte, siehe die State Aid Transparency Public Search Datenbank, Deutschland, Suchbegriff ‚Steel‘. In der Excel-Tabelle wird nur pauschal ‚Environment‘ als Grund angegeben</w:t>
      </w:r>
      <w:r w:rsidR="0080606F">
        <w:rPr>
          <w:rStyle w:val="Funotenzeichen"/>
        </w:rPr>
        <w:footnoteReference w:id="1394"/>
      </w:r>
      <w:r>
        <w:t xml:space="preserve"> und die Fallnummer, bei Thyssenkrupp SA.105244, führt zwar zu einer Infoseite, die Entscheidung ist aber nicht-öffentlich.</w:t>
      </w:r>
      <w:r w:rsidR="0080606F">
        <w:rPr>
          <w:rStyle w:val="Funotenzeichen"/>
        </w:rPr>
        <w:footnoteReference w:id="1395"/>
      </w:r>
    </w:p>
    <w:p w14:paraId="2C4B468F" w14:textId="77777777" w:rsidR="006C6D5E" w:rsidRPr="006C6D5E" w:rsidRDefault="006C6D5E" w:rsidP="00112190"/>
    <w:p w14:paraId="6FAC8224" w14:textId="30359033" w:rsidR="00DC7FB2" w:rsidRDefault="00DC7FB2" w:rsidP="00112190">
      <w:r>
        <w:t>T</w:t>
      </w:r>
      <w:r w:rsidR="00170A6B">
        <w:t xml:space="preserve">eils </w:t>
      </w:r>
      <w:r w:rsidR="00375ED8">
        <w:t xml:space="preserve">gab es </w:t>
      </w:r>
      <w:r w:rsidR="00170A6B">
        <w:t>langwierige Überprüfungen</w:t>
      </w:r>
      <w:r w:rsidR="00CE73D7">
        <w:t xml:space="preserve"> von Beihilfen</w:t>
      </w:r>
      <w:r w:rsidR="00170A6B">
        <w:t>, etwa des</w:t>
      </w:r>
      <w:r>
        <w:t xml:space="preserve"> deutsche</w:t>
      </w:r>
      <w:r w:rsidR="00170A6B">
        <w:t>n</w:t>
      </w:r>
      <w:r>
        <w:t xml:space="preserve"> EEG-Gesetz</w:t>
      </w:r>
      <w:r w:rsidR="00170A6B">
        <w:t>es</w:t>
      </w:r>
      <w:r>
        <w:t xml:space="preserve"> zur Förderung des Ausbaus erneuerbarer Energien, </w:t>
      </w:r>
      <w:r w:rsidR="00170A6B">
        <w:t xml:space="preserve">es war </w:t>
      </w:r>
      <w:r>
        <w:t xml:space="preserve">„Gegenstand </w:t>
      </w:r>
      <w:proofErr w:type="gramStart"/>
      <w:r>
        <w:t>eines langwieriges Ringens</w:t>
      </w:r>
      <w:proofErr w:type="gramEnd"/>
      <w:r>
        <w:t xml:space="preserve"> zwischen der Bundesregierung und der Kommission. Teile des EEG 2021, wie etwa die Regionalisierung der EE-Förderung in Form der </w:t>
      </w:r>
      <w:proofErr w:type="spellStart"/>
      <w:r>
        <w:t>Südquote</w:t>
      </w:r>
      <w:proofErr w:type="spellEnd"/>
      <w:r>
        <w:t xml:space="preserve"> </w:t>
      </w:r>
      <w:r w:rsidR="00170A6B">
        <w:t xml:space="preserve">können </w:t>
      </w:r>
      <w:r>
        <w:t>innerhalb von Ausschreibungen nicht angewendet, da die Genehmigung der EU noch aussteht.“</w:t>
      </w:r>
      <w:r w:rsidR="00CE73D7">
        <w:t>, so der Stand damals im Jahr 2022.</w:t>
      </w:r>
      <w:r>
        <w:rPr>
          <w:rStyle w:val="Funotenzeichen"/>
        </w:rPr>
        <w:footnoteReference w:id="1396"/>
      </w:r>
      <w:r>
        <w:t xml:space="preserve"> </w:t>
      </w:r>
      <w:r w:rsidR="00170A6B">
        <w:t>Vorgeschlagen wird, dass die</w:t>
      </w:r>
      <w:r w:rsidR="00A635DD">
        <w:t xml:space="preserve"> Klima-, Umweltschutz und Energiebe</w:t>
      </w:r>
      <w:r w:rsidR="00A67BF7">
        <w:t>i</w:t>
      </w:r>
      <w:r w:rsidR="00A635DD">
        <w:t>hilfenleitlinien</w:t>
      </w:r>
      <w:r w:rsidR="00170A6B">
        <w:t xml:space="preserve"> </w:t>
      </w:r>
      <w:r w:rsidR="00CE73D7">
        <w:t xml:space="preserve">von </w:t>
      </w:r>
      <w:r w:rsidR="00A635DD">
        <w:t>KUEBLL</w:t>
      </w:r>
      <w:r w:rsidR="00170A6B">
        <w:t xml:space="preserve"> einfachere Vorgaben, klare Freiräume und eine Höchstdauer für die Genehmigung</w:t>
      </w:r>
      <w:r w:rsidR="00CE73D7">
        <w:t xml:space="preserve"> enthalten sollten</w:t>
      </w:r>
      <w:r w:rsidR="00170A6B">
        <w:t>.</w:t>
      </w:r>
      <w:r>
        <w:rPr>
          <w:rStyle w:val="Funotenzeichen"/>
        </w:rPr>
        <w:footnoteReference w:id="1397"/>
      </w:r>
    </w:p>
    <w:p w14:paraId="14B36F1E" w14:textId="77777777" w:rsidR="003A0BBB" w:rsidRDefault="003A0BBB" w:rsidP="003A0BBB"/>
    <w:p w14:paraId="651FF699" w14:textId="6997BAF2" w:rsidR="000F444F" w:rsidRDefault="000F444F" w:rsidP="000F444F">
      <w:r>
        <w:t>Den Beihilfen für den Bau von Gaskraftwerken, die in Deutschland wegen der Dunkelflaute neu aufgebaut werden sollen, muss</w:t>
      </w:r>
      <w:r w:rsidR="00375ED8">
        <w:t xml:space="preserve"> ebenfalls</w:t>
      </w:r>
      <w:r>
        <w:t xml:space="preserve"> die Wettbewerbsbehörde zustimmen, dies wurde oben schon beim Punkt Deutschland erwähnt. Dies wurde bei der Beihilfekontrolle der EU-Kommission notifiziert</w:t>
      </w:r>
      <w:r>
        <w:rPr>
          <w:rStyle w:val="Funotenzeichen"/>
        </w:rPr>
        <w:footnoteReference w:id="1398"/>
      </w:r>
      <w:r>
        <w:t>, fällt unter den Leitlinien für staatliche Klima-, Umweltschutz und Energiebeihilfen 2022, siehe die Mitteilung der Kommission</w:t>
      </w:r>
      <w:r>
        <w:rPr>
          <w:rStyle w:val="Funotenzeichen"/>
        </w:rPr>
        <w:footnoteReference w:id="1399"/>
      </w:r>
      <w:r>
        <w:t>, siehe eine Erläuterung mit weiteren Links</w:t>
      </w:r>
      <w:r>
        <w:rPr>
          <w:rStyle w:val="Funotenzeichen"/>
        </w:rPr>
        <w:footnoteReference w:id="1400"/>
      </w:r>
      <w:r>
        <w:t>.</w:t>
      </w:r>
    </w:p>
    <w:p w14:paraId="67B169E4" w14:textId="77777777" w:rsidR="000F444F" w:rsidRPr="00EB1D02" w:rsidRDefault="000F444F" w:rsidP="003A0BBB"/>
    <w:p w14:paraId="7786E8D4" w14:textId="4FFC3F8C" w:rsidR="003A0BBB" w:rsidRDefault="00CE73D7" w:rsidP="003A0BBB">
      <w:r w:rsidRPr="006C6D5E">
        <w:rPr>
          <w:u w:val="single"/>
        </w:rPr>
        <w:t xml:space="preserve">Insgesamt </w:t>
      </w:r>
      <w:r w:rsidR="003A0BBB" w:rsidRPr="006C6D5E">
        <w:rPr>
          <w:u w:val="single"/>
        </w:rPr>
        <w:t>ergibt sich der Eindruck, dass KUBELL dem Klimaschutz doch eine Priorität einräumt und die Generaldirektion Wettbewerb fortan großzügiger mit Subventionen für erneuerbare Energien, etwa beim Aufbau einer Solarindustrie, umgehen kann</w:t>
      </w:r>
      <w:r w:rsidR="003A0BBB">
        <w:t xml:space="preserve">. </w:t>
      </w:r>
    </w:p>
    <w:p w14:paraId="17A1A8EE" w14:textId="77777777" w:rsidR="003A0BBB" w:rsidRDefault="003A0BBB" w:rsidP="003A0BBB"/>
    <w:p w14:paraId="48837DB3" w14:textId="39EC89B0" w:rsidR="00552C79" w:rsidRDefault="003A0BBB" w:rsidP="00552C79">
      <w:r>
        <w:lastRenderedPageBreak/>
        <w:t xml:space="preserve">Es gibt aber </w:t>
      </w:r>
      <w:r w:rsidR="0080606F">
        <w:t xml:space="preserve">weiterhin </w:t>
      </w:r>
      <w:r>
        <w:t>auch</w:t>
      </w:r>
      <w:r w:rsidR="0080606F">
        <w:t xml:space="preserve"> </w:t>
      </w:r>
      <w:r>
        <w:t xml:space="preserve">Regeln, die als Hemmnis wirken können. Aus Gründen der klaren Abgrenzung sind </w:t>
      </w:r>
      <w:r w:rsidR="00A67BF7">
        <w:t>Rettungs- und Umstrukturierungsbeihilfen herausdefiniert, und zwar so, dass Unternehmen in Schwierigkeiten keine Umwelt- und Energiebeihilfen erhalten dürfen. Sie müssen erst einmal Rettungs- und Umstrukturierungsbeihilfen, nach den diesbezüglichen</w:t>
      </w:r>
      <w:r w:rsidR="00A67BF7">
        <w:rPr>
          <w:rStyle w:val="Funotenzeichen"/>
        </w:rPr>
        <w:footnoteReference w:id="1401"/>
      </w:r>
      <w:r w:rsidR="00A67BF7">
        <w:t xml:space="preserve"> EU-Beihilferegeln beantragen.</w:t>
      </w:r>
      <w:r w:rsidR="00A67BF7">
        <w:rPr>
          <w:rStyle w:val="Funotenzeichen"/>
        </w:rPr>
        <w:footnoteReference w:id="1402"/>
      </w:r>
      <w:r w:rsidR="00A67BF7">
        <w:t xml:space="preserve"> </w:t>
      </w:r>
      <w:r w:rsidR="00552C79">
        <w:t>Komisch ist auch die Regelung, dass die Bedingung, dass von der Beihilfe ein Anreizeffekt ausgeht, nicht erfüllt ist, wenn vor dem schriftlichen Antrag auf Beihilfe schon ein „Beginn der Arbeiten an dem Vorhaben oder der Tätigkeit erfolgte“.</w:t>
      </w:r>
      <w:r w:rsidR="00552C79" w:rsidRPr="009139D7">
        <w:rPr>
          <w:rStyle w:val="Funotenzeichen"/>
        </w:rPr>
        <w:t xml:space="preserve"> </w:t>
      </w:r>
      <w:r w:rsidR="00552C79">
        <w:t>Davon gibt es wiederum begrenzte Ausnahmen, so führt in Art. 31 b) eine öffentliche Bekanntmachung dazu, dass man Arbeiten schon beginnen kann, Art. 31 c) bei Betriebsbeihilfen für eine umweltfreundliche Produktion können die Arbeiten ebenfalls schon begonnen haben.</w:t>
      </w:r>
      <w:r w:rsidR="00552C79">
        <w:rPr>
          <w:rStyle w:val="Funotenzeichen"/>
        </w:rPr>
        <w:footnoteReference w:id="1403"/>
      </w:r>
      <w:r w:rsidR="00552C79">
        <w:t xml:space="preserve">  </w:t>
      </w:r>
    </w:p>
    <w:p w14:paraId="1323D2B5" w14:textId="77777777" w:rsidR="00552C79" w:rsidRDefault="00552C79" w:rsidP="00552C79"/>
    <w:p w14:paraId="6B233BB9" w14:textId="6E461C76" w:rsidR="003A0BBB" w:rsidRDefault="00A67BF7" w:rsidP="003A0BBB">
      <w:r>
        <w:t xml:space="preserve">Rettungsbeihilfen sind auf 6 Monate begrenzt, Umstrukturierungsbeihilfen </w:t>
      </w:r>
      <w:r w:rsidR="009139D7">
        <w:t>können nur einmal (in 10 Jahren) gezahlt werden, in 3 Jahren sollte Rentabilität wieder hergestellt werden, bis 5 Jahren sollten Prognosen vorgenommen werden. Grundlage ist ein Umstrukturierungsplan</w:t>
      </w:r>
      <w:r w:rsidR="00BD69F8">
        <w:t xml:space="preserve">, </w:t>
      </w:r>
      <w:r w:rsidR="00552C79">
        <w:t xml:space="preserve">der die langfristige Rentabilität ermöglichen soll, wobei </w:t>
      </w:r>
      <w:r w:rsidR="00BD69F8">
        <w:t>an der Rettung müssen auch die Anteilseigner mitbezahlen</w:t>
      </w:r>
      <w:r w:rsidR="009139D7">
        <w:t>.</w:t>
      </w:r>
      <w:r w:rsidR="009139D7">
        <w:rPr>
          <w:rStyle w:val="Funotenzeichen"/>
        </w:rPr>
        <w:footnoteReference w:id="1404"/>
      </w:r>
      <w:r w:rsidR="009139D7">
        <w:t xml:space="preserve"> </w:t>
      </w:r>
    </w:p>
    <w:p w14:paraId="67DE09D4" w14:textId="77777777" w:rsidR="00A635DD" w:rsidRDefault="00A635DD" w:rsidP="00112190"/>
    <w:p w14:paraId="6D01B955" w14:textId="1EC86CF9" w:rsidR="00BD69F8" w:rsidRDefault="00BD69F8" w:rsidP="00112190">
      <w:r>
        <w:t xml:space="preserve">Eine schon begonnene Solarproduktion, die in Schwierigkeiten ist, kann somit nicht direkt eine Umwelt- und Energiebeihilfe beantragen, sie müsste eine Umstrukturierungsbeihilfe beantragen, </w:t>
      </w:r>
      <w:r w:rsidR="00552C79">
        <w:t xml:space="preserve">dabei hat die Kommission offenbar einen größeren Ermessensspielraum, da auch eine langfristige Rentabilität angestrebt werden soll. Was aber, wenn die zuständigen EU-Beamten doch zu streng prüfen? </w:t>
      </w:r>
      <w:r w:rsidR="00466CD7">
        <w:t>Was ist mit einer Solarproduktion, die mehrfach in Schwierigkeiten gerät, die kaum noch einen glaubwürdigen Umstrukturierungsplan vorlegen kann, die man aber dennoch aufrechterhalten will?</w:t>
      </w:r>
      <w:r w:rsidR="00B07A01">
        <w:t xml:space="preserve"> Zu eng gefasste Regeln sind </w:t>
      </w:r>
      <w:r w:rsidR="00CE73D7">
        <w:t>etwa</w:t>
      </w:r>
      <w:r w:rsidR="00B07A01">
        <w:t xml:space="preserve"> beim Au</w:t>
      </w:r>
      <w:r w:rsidR="00CE73D7">
        <w:t>f</w:t>
      </w:r>
      <w:r w:rsidR="00B07A01">
        <w:t xml:space="preserve">bau einer </w:t>
      </w:r>
      <w:r w:rsidR="00CE73D7">
        <w:t xml:space="preserve">europäischen </w:t>
      </w:r>
      <w:r w:rsidR="00B07A01">
        <w:t>Solarproduktion</w:t>
      </w:r>
      <w:r w:rsidR="00CE73D7">
        <w:t xml:space="preserve"> nicht hilfreich</w:t>
      </w:r>
      <w:r w:rsidR="003665AA">
        <w:t xml:space="preserve"> und</w:t>
      </w:r>
      <w:r w:rsidR="00CE73D7">
        <w:t xml:space="preserve"> sie </w:t>
      </w:r>
      <w:r w:rsidR="00A81F44">
        <w:t>können zu langwierigen Prüfungen von</w:t>
      </w:r>
      <w:r w:rsidR="00CE73D7">
        <w:t xml:space="preserve"> komplizierten Anreizsystemen für den Aufbau erneuerbarer Energien, wie dem EEG, das derzeit in Deutschland reformiert wird</w:t>
      </w:r>
      <w:r w:rsidR="00A81F44">
        <w:t>, führen</w:t>
      </w:r>
      <w:r w:rsidR="00CE73D7">
        <w:t>.</w:t>
      </w:r>
    </w:p>
    <w:p w14:paraId="4FA71B35" w14:textId="77777777" w:rsidR="00DC7FB2" w:rsidRDefault="00DC7FB2" w:rsidP="00112190"/>
    <w:p w14:paraId="44A0D1AF" w14:textId="506B3468" w:rsidR="00112190" w:rsidRPr="00186891" w:rsidRDefault="002B3BB3" w:rsidP="00112190">
      <w:r>
        <w:t>Wie eben schon verdeutlich tut sich i</w:t>
      </w:r>
      <w:r w:rsidR="00112190">
        <w:t>m Bereich Wasserstoff einiges, z.B. in der Region Saarland und Frankreich, genannt Grande Region Hydrogen, siehe die Webseite</w:t>
      </w:r>
      <w:r w:rsidR="00112190">
        <w:rPr>
          <w:rStyle w:val="Funotenzeichen"/>
        </w:rPr>
        <w:footnoteReference w:id="1405"/>
      </w:r>
      <w:r w:rsidR="00112190">
        <w:t xml:space="preserve">, und in der Region Niederlande, Ruhrgebiet bis nach Hannover, mit der </w:t>
      </w:r>
      <w:proofErr w:type="spellStart"/>
      <w:r w:rsidR="00112190">
        <w:t>Get</w:t>
      </w:r>
      <w:proofErr w:type="spellEnd"/>
      <w:r w:rsidR="00112190">
        <w:t xml:space="preserve"> H2 Initiative.</w:t>
      </w:r>
      <w:r w:rsidR="00112190">
        <w:rPr>
          <w:rStyle w:val="Funotenzeichen"/>
        </w:rPr>
        <w:footnoteReference w:id="1406"/>
      </w:r>
      <w:r w:rsidR="00112190">
        <w:t xml:space="preserve"> In Norddeutschland gibt es die Norddeutsche Wasserstoffstrategie, bei der auch versucht wird, direkt Offshore Wasserstoff bei den Windrädern auf dem Meer zu produzieren.</w:t>
      </w:r>
      <w:r w:rsidR="00112190">
        <w:rPr>
          <w:rStyle w:val="Funotenzeichen"/>
        </w:rPr>
        <w:footnoteReference w:id="1407"/>
      </w:r>
      <w:r w:rsidR="00112190">
        <w:t xml:space="preserve"> Dementsprechend ist nicht verwunderlich, dass ein guter Überblick über die Wasserstoffprojekte und die darin involvierten Staaten und Firmen auf der Webseite der Generaldirektion Wettbewerb vorhanden ist, siehe hier: Hydrogen Value Chain.</w:t>
      </w:r>
      <w:r w:rsidR="00112190">
        <w:rPr>
          <w:rStyle w:val="Funotenzeichen"/>
        </w:rPr>
        <w:footnoteReference w:id="1408"/>
      </w:r>
    </w:p>
    <w:p w14:paraId="68990C8D" w14:textId="77777777" w:rsidR="00112190" w:rsidRDefault="00112190" w:rsidP="00112190"/>
    <w:p w14:paraId="52835F3A" w14:textId="7947D3C7" w:rsidR="00112190" w:rsidRDefault="00112190" w:rsidP="00112190">
      <w:r>
        <w:lastRenderedPageBreak/>
        <w:t>Am 13. Februar 2023 wurden Regeln für erneuerbaren Wasserstoff vorgeschlagen, die Wasserstoff von Atomkraftwerken ausschließen, damit die Elektrolyse von Wasserstoff nicht den Strom der Haushalte wegnimmt.</w:t>
      </w:r>
      <w:r w:rsidR="00923E49">
        <w:t xml:space="preserve"> Dies wurde als delegierter Rechtsakt der </w:t>
      </w:r>
      <w:proofErr w:type="spellStart"/>
      <w:r w:rsidR="00923E49">
        <w:t>Renewable</w:t>
      </w:r>
      <w:proofErr w:type="spellEnd"/>
      <w:r w:rsidR="00923E49">
        <w:t xml:space="preserve"> Energy </w:t>
      </w:r>
      <w:proofErr w:type="spellStart"/>
      <w:r w:rsidR="00923E49">
        <w:t>Directive</w:t>
      </w:r>
      <w:proofErr w:type="spellEnd"/>
      <w:r w:rsidR="00923E49">
        <w:t xml:space="preserve"> (RED) vorgenommen.</w:t>
      </w:r>
      <w:r>
        <w:rPr>
          <w:rStyle w:val="Funotenzeichen"/>
        </w:rPr>
        <w:footnoteReference w:id="1409"/>
      </w:r>
      <w:r>
        <w:t xml:space="preserve"> </w:t>
      </w:r>
      <w:r w:rsidR="00923E49">
        <w:t>Siehe dazu eine Studie von RWE.</w:t>
      </w:r>
      <w:r w:rsidR="00923E49">
        <w:rPr>
          <w:rStyle w:val="Funotenzeichen"/>
        </w:rPr>
        <w:footnoteReference w:id="1410"/>
      </w:r>
      <w:r w:rsidR="00923E49">
        <w:t xml:space="preserve"> </w:t>
      </w:r>
      <w:bookmarkStart w:id="69" w:name="_Hlk195911196"/>
      <w:r>
        <w:t xml:space="preserve">Es wurde eine </w:t>
      </w:r>
      <w:r w:rsidR="0000459C">
        <w:t xml:space="preserve">Europäische </w:t>
      </w:r>
      <w:r>
        <w:t>Wasserstoffbank gegründet</w:t>
      </w:r>
      <w:r>
        <w:rPr>
          <w:rStyle w:val="Funotenzeichen"/>
        </w:rPr>
        <w:footnoteReference w:id="1411"/>
      </w:r>
      <w:r>
        <w:t>, die im November 2023 erstmals 800 Mill. Euro per Auktion zur Verfügung gestellt hat, es sind weitere 2,2 Mrd. Euro Anfang 2024 verfügbar, sie scheint über Einnahmen aus dem Emissionshandel zu verfügen (zur deutsch-niederländischen H2GlobalStiftung, s.o.,</w:t>
      </w:r>
      <w:r w:rsidR="00D63CF8">
        <w:t xml:space="preserve"> </w:t>
      </w:r>
      <w:r>
        <w:t>Punkt Deutschland).</w:t>
      </w:r>
      <w:r>
        <w:rPr>
          <w:rStyle w:val="Funotenzeichen"/>
        </w:rPr>
        <w:footnoteReference w:id="1412"/>
      </w:r>
      <w:r>
        <w:t xml:space="preserve"> </w:t>
      </w:r>
    </w:p>
    <w:bookmarkEnd w:id="69"/>
    <w:p w14:paraId="14E92464" w14:textId="77777777" w:rsidR="00112190" w:rsidRDefault="00112190" w:rsidP="00112190"/>
    <w:tbl>
      <w:tblPr>
        <w:tblStyle w:val="Tabellenraster"/>
        <w:tblW w:w="0" w:type="auto"/>
        <w:tblLook w:val="04A0" w:firstRow="1" w:lastRow="0" w:firstColumn="1" w:lastColumn="0" w:noHBand="0" w:noVBand="1"/>
      </w:tblPr>
      <w:tblGrid>
        <w:gridCol w:w="9062"/>
      </w:tblGrid>
      <w:tr w:rsidR="0000459C" w14:paraId="40FC1926" w14:textId="77777777" w:rsidTr="0000459C">
        <w:tc>
          <w:tcPr>
            <w:tcW w:w="9062" w:type="dxa"/>
          </w:tcPr>
          <w:p w14:paraId="274EBD56" w14:textId="77777777" w:rsidR="0000459C" w:rsidRDefault="0000459C" w:rsidP="00112190">
            <w:r>
              <w:t xml:space="preserve">Die Europäische Wasserstoffbank European Hydrogen Bank (EHB) ist keine Bank, sondern eine Auktionsplattform. Es wird ein festes Angebot eingereicht, Euro / kg Wasserstoff, die günstigsten Angebote gewinnen, das Budget ist begrenzt. </w:t>
            </w:r>
            <w:r w:rsidR="00F3477B">
              <w:t xml:space="preserve">In der ersten Auktion wurden 7 Projekte von 132 Angeboten ausgewählt, verteilt wurden an diese 7 Projekte 720 Mill. Euro. Deutschland hat für 350 Mill. Euro seine am höchsten eingestuften Projekte gefördert, die den Kriterien der EHB entsprachen, aber keine </w:t>
            </w:r>
            <w:proofErr w:type="gramStart"/>
            <w:r w:rsidR="00F3477B">
              <w:t>EU Unterstützung</w:t>
            </w:r>
            <w:proofErr w:type="gramEnd"/>
            <w:r w:rsidR="00F3477B">
              <w:t xml:space="preserve"> bekommen hatten, dies nennt sich ‚</w:t>
            </w:r>
            <w:proofErr w:type="spellStart"/>
            <w:r w:rsidR="00F3477B">
              <w:t>auction</w:t>
            </w:r>
            <w:proofErr w:type="spellEnd"/>
            <w:r w:rsidR="00F3477B">
              <w:t xml:space="preserve"> </w:t>
            </w:r>
            <w:proofErr w:type="spellStart"/>
            <w:r w:rsidR="00F3477B">
              <w:t>as</w:t>
            </w:r>
            <w:proofErr w:type="spellEnd"/>
            <w:r w:rsidR="00F3477B">
              <w:t xml:space="preserve"> a </w:t>
            </w:r>
            <w:proofErr w:type="spellStart"/>
            <w:r w:rsidR="00F3477B">
              <w:t>service</w:t>
            </w:r>
            <w:proofErr w:type="spellEnd"/>
            <w:r w:rsidR="00F3477B">
              <w:t>‘.</w:t>
            </w:r>
            <w:r>
              <w:rPr>
                <w:rStyle w:val="Funotenzeichen"/>
              </w:rPr>
              <w:footnoteReference w:id="1413"/>
            </w:r>
          </w:p>
          <w:p w14:paraId="41F37D6E" w14:textId="77777777" w:rsidR="006457FE" w:rsidRDefault="006457FE" w:rsidP="00112190"/>
          <w:p w14:paraId="797C6B70" w14:textId="77777777" w:rsidR="006457FE" w:rsidRDefault="006457FE" w:rsidP="00112190">
            <w:r>
              <w:t xml:space="preserve">Die Europäische Wasserstoffbank stellt ab 2025 nun einen Hydrogen </w:t>
            </w:r>
            <w:proofErr w:type="spellStart"/>
            <w:r>
              <w:t>Mechanism</w:t>
            </w:r>
            <w:proofErr w:type="spellEnd"/>
            <w:r>
              <w:t xml:space="preserve"> zur Verfügung (zuvor genannt Pilot </w:t>
            </w:r>
            <w:proofErr w:type="spellStart"/>
            <w:r>
              <w:t>Mechanism</w:t>
            </w:r>
            <w:proofErr w:type="spellEnd"/>
            <w:r>
              <w:t xml:space="preserve">), bei dem sich Produzenten und Käufer treffen können und </w:t>
            </w:r>
            <w:proofErr w:type="gramStart"/>
            <w:r>
              <w:t>ihren Bedürfnisse</w:t>
            </w:r>
            <w:proofErr w:type="gramEnd"/>
            <w:r>
              <w:t xml:space="preserve"> anmelden können.</w:t>
            </w:r>
            <w:r>
              <w:rPr>
                <w:rStyle w:val="Funotenzeichen"/>
              </w:rPr>
              <w:footnoteReference w:id="1414"/>
            </w:r>
          </w:p>
          <w:p w14:paraId="3223ACE7" w14:textId="77777777" w:rsidR="006457FE" w:rsidRDefault="006457FE" w:rsidP="00112190"/>
          <w:p w14:paraId="23375003" w14:textId="77777777" w:rsidR="006457FE" w:rsidRDefault="00E20373" w:rsidP="00112190">
            <w:r>
              <w:t xml:space="preserve">Einen </w:t>
            </w:r>
            <w:r w:rsidR="00A01EB3">
              <w:t>Wasserstoffmarkt gibt</w:t>
            </w:r>
            <w:r>
              <w:t xml:space="preserve"> es noch nicht, es gibt z.B. keinen Wasserstoffpreis, der sich an einer Börse entwickelt hat</w:t>
            </w:r>
            <w:r w:rsidR="00A01EB3">
              <w:t>.</w:t>
            </w:r>
            <w:r>
              <w:t xml:space="preserve"> Einen ersten Hinweis ergeben die Auktionen bei der H2GlobalStiftung. Wasserstoff wird über zweiseitige Verträge geliefert, hier muss man dann auch zusichern, dass man liefern kann. </w:t>
            </w:r>
            <w:r w:rsidR="00A01EB3">
              <w:t>Derzeit wird Wasserstoff z.B. noch per Tanklastwagen transportiert</w:t>
            </w:r>
            <w:r>
              <w:t>, dies lohnt sich aber nur für 100 bis 150 km.</w:t>
            </w:r>
            <w:r>
              <w:rPr>
                <w:rStyle w:val="Funotenzeichen"/>
              </w:rPr>
              <w:footnoteReference w:id="1415"/>
            </w:r>
            <w:r w:rsidR="00A01EB3">
              <w:t xml:space="preserve"> Auf der nächsten Stufe werden erste Pipelineabschnitte fertig sind, die Teilmärkte bilden, z.B. der Green Octopus Mitteldeutschland</w:t>
            </w:r>
            <w:r w:rsidR="00CD7673">
              <w:rPr>
                <w:rStyle w:val="Funotenzeichen"/>
              </w:rPr>
              <w:footnoteReference w:id="1416"/>
            </w:r>
            <w:r>
              <w:t xml:space="preserve"> oder von Lingen in das Ruhrgebiet, dort gibt es bereits eine Wasserstoffpipeline, von dort aus kann man nach Ludwigshafen erweitern an bestehenden Erdgasleitungen entlang.</w:t>
            </w:r>
            <w:r>
              <w:rPr>
                <w:rStyle w:val="Funotenzeichen"/>
              </w:rPr>
              <w:footnoteReference w:id="1417"/>
            </w:r>
            <w:r w:rsidR="00A01EB3">
              <w:t xml:space="preserve"> Dabei gibt es auch das Problem, dass </w:t>
            </w:r>
            <w:r w:rsidR="00CD7673">
              <w:t xml:space="preserve">aufgrund der schwankenden Leistung von erneuerbaren Energien und </w:t>
            </w:r>
            <w:r w:rsidR="00A01EB3">
              <w:t>bei PEM Elektro</w:t>
            </w:r>
            <w:r w:rsidR="00CD7673">
              <w:t>l</w:t>
            </w:r>
            <w:r w:rsidR="00A01EB3">
              <w:t xml:space="preserve">yseuren Wasserstoff nicht gleichzeitig eingespeist wird, die Abnehmer aber womöglich </w:t>
            </w:r>
            <w:r w:rsidR="00A01EB3">
              <w:lastRenderedPageBreak/>
              <w:t>kontinuierliche Wasserstoff nutzen wollen, um dies Problem zu lösen, sind Speicherlösungen nötig, wobei Druckkesselspeicher recht teuer sein können und größere Kavernenspeicher günstiger.</w:t>
            </w:r>
            <w:r w:rsidR="00A01EB3">
              <w:rPr>
                <w:rStyle w:val="Funotenzeichen"/>
              </w:rPr>
              <w:footnoteReference w:id="1418"/>
            </w:r>
            <w:r w:rsidR="00A01EB3">
              <w:t xml:space="preserve"> </w:t>
            </w:r>
          </w:p>
          <w:p w14:paraId="13B6F48D" w14:textId="77777777" w:rsidR="00E20373" w:rsidRDefault="00E20373" w:rsidP="00112190"/>
          <w:p w14:paraId="7442C7E9" w14:textId="3E4FEC29" w:rsidR="00E20373" w:rsidRDefault="00E20373" w:rsidP="00112190">
            <w:r>
              <w:t>Oben beim Punkt Deutschland wurde schon erwähnt, dass es bisher auch keine Regelung gibt, inwieweit abgeregelter Strom zum Preis von ‚Null‘ abgegeben werden muss oder ggf. man noch etwas verdienen darf, wenn man lokal doch einen Elektrolyseur vor der Haustür hat, der diesen Strom abnehmen könnte</w:t>
            </w:r>
            <w:r w:rsidR="00151613">
              <w:t>. Es kommt auch stark darauf an, wo und wann abgeregelt wird, es gibt z.B. Standorte, wo Sonne und Wind zusammenkommen und dort dann im März bis Mai viel abgeregelt werden muss, aber im weiteren Verlauf des Jahres viel weniger.</w:t>
            </w:r>
            <w:r w:rsidR="00151613">
              <w:rPr>
                <w:rStyle w:val="Funotenzeichen"/>
              </w:rPr>
              <w:footnoteReference w:id="1419"/>
            </w:r>
            <w:r w:rsidR="00151613">
              <w:t xml:space="preserve"> Kurz: damit man den Wasserstoffpreis deutlich herunterbekommt, müsste man in bestimmten Gegenden, in denen auch Elektrolyseure angesiedelt werden, bewusst Überschussstrom zulassen, also zu viel Solar und zu viel Windkraft und dann hoffen, dass abgeregelt wird … das ist aber Blödsinn … und wer investiert in </w:t>
            </w:r>
            <w:proofErr w:type="spellStart"/>
            <w:r w:rsidR="00151613">
              <w:t>Überschusstrom</w:t>
            </w:r>
            <w:proofErr w:type="spellEnd"/>
            <w:r w:rsidR="00151613">
              <w:t xml:space="preserve">? Und es muss weiterhin Überschussstrom vorhanden sind und nebenan ein größeres Wasserstoffgaskraftwerke stehen, welches in der Lage ist, auch mal 4 500 MW Elektrolyseure weiterzubetreiben, damit dies ein ernstzunehmendes Konzept wird. </w:t>
            </w:r>
            <w:r>
              <w:t xml:space="preserve"> </w:t>
            </w:r>
          </w:p>
        </w:tc>
      </w:tr>
    </w:tbl>
    <w:p w14:paraId="79AF4768" w14:textId="77777777" w:rsidR="0000459C" w:rsidRDefault="0000459C" w:rsidP="00112190"/>
    <w:p w14:paraId="4F25CE85" w14:textId="18CAD8A6" w:rsidR="00112190" w:rsidRDefault="00112190" w:rsidP="00112190">
      <w:r>
        <w:t xml:space="preserve">Derzeit gibt es in der EU zwei weitere Kategorien: Projects </w:t>
      </w:r>
      <w:proofErr w:type="spellStart"/>
      <w:r>
        <w:t>of</w:t>
      </w:r>
      <w:proofErr w:type="spellEnd"/>
      <w:r>
        <w:t xml:space="preserve"> Common Interest (PCIs) und Projects </w:t>
      </w:r>
      <w:proofErr w:type="spellStart"/>
      <w:r>
        <w:t>of</w:t>
      </w:r>
      <w:proofErr w:type="spellEnd"/>
      <w:r>
        <w:t xml:space="preserve"> Mutual Interest (PMIs) – d</w:t>
      </w:r>
      <w:r w:rsidR="0030146D">
        <w:t xml:space="preserve">ie </w:t>
      </w:r>
      <w:r>
        <w:t xml:space="preserve">EU rechtliche </w:t>
      </w:r>
      <w:r w:rsidR="0030146D">
        <w:t>Basis dafür ist die TEN-E-Verordnung, Verordnung (EU) 2022/86</w:t>
      </w:r>
      <w:r w:rsidR="00923E49">
        <w:t>9</w:t>
      </w:r>
      <w:r w:rsidR="0030146D">
        <w:t xml:space="preserve"> des Europäischen Parlaments und Rates vom 30. Mai 2022 zu Leitlinien für die transeuropäische Energieinfrastruktur.</w:t>
      </w:r>
      <w:r w:rsidR="00923E49">
        <w:rPr>
          <w:rStyle w:val="Funotenzeichen"/>
        </w:rPr>
        <w:footnoteReference w:id="1420"/>
      </w:r>
      <w:r>
        <w:t xml:space="preserve"> </w:t>
      </w:r>
      <w:r w:rsidR="0030146D">
        <w:t>Diese Verordnung ermöglicht del</w:t>
      </w:r>
      <w:r w:rsidR="00923E49">
        <w:t>e</w:t>
      </w:r>
      <w:r w:rsidR="0030146D">
        <w:t xml:space="preserve">gierte Rechtsakte, z.B. </w:t>
      </w:r>
      <w:r w:rsidR="00923E49">
        <w:t>hier.</w:t>
      </w:r>
      <w:r w:rsidR="00923E49">
        <w:rPr>
          <w:rStyle w:val="Funotenzeichen"/>
        </w:rPr>
        <w:footnoteReference w:id="1421"/>
      </w:r>
      <w:r w:rsidR="00923E49">
        <w:t xml:space="preserve"> </w:t>
      </w:r>
      <w:r>
        <w:t>Eine aktuelle Liste der mittlerweile 166 Projekte findet sich hier</w:t>
      </w:r>
      <w:r>
        <w:rPr>
          <w:rStyle w:val="Funotenzeichen"/>
        </w:rPr>
        <w:footnoteReference w:id="1422"/>
      </w:r>
      <w:r>
        <w:t>, bzw. als Direktlink hier.</w:t>
      </w:r>
      <w:r>
        <w:rPr>
          <w:rStyle w:val="Funotenzeichen"/>
        </w:rPr>
        <w:footnoteReference w:id="1423"/>
      </w:r>
      <w:r>
        <w:t xml:space="preserve"> Eine Reihe dieser Projekte sind Elektrizitätsverbindungsleitungen, darunter zehn Offshore Verbindungsnetze, sechs vor Frankreich, zwei in der Nordsee, zwei in der Ostsee, dann viele Wasserstoffverbindungsleitungen bzw. auch Ammoniakleitungen, darunter auch eine Wasserstofffernleitung Deutschland Norwegen, weiterhin: 6 Pumpspeicherkraftwerke (</w:t>
      </w:r>
      <w:proofErr w:type="spellStart"/>
      <w:r>
        <w:t>Silvermines</w:t>
      </w:r>
      <w:proofErr w:type="spellEnd"/>
      <w:r>
        <w:t xml:space="preserve">, IE, Riedl, DE, Los </w:t>
      </w:r>
      <w:proofErr w:type="spellStart"/>
      <w:r>
        <w:t>Guajares</w:t>
      </w:r>
      <w:proofErr w:type="spellEnd"/>
      <w:r>
        <w:t>, ES, WSK Puls, DE, Aguayo II, ES), weiterhin 17 Elektrolyseure, auch in Spanien, Frankreich und Dänemark, siehe Fußnote</w:t>
      </w:r>
      <w:r>
        <w:rPr>
          <w:rStyle w:val="Funotenzeichen"/>
        </w:rPr>
        <w:footnoteReference w:id="1424"/>
      </w:r>
      <w:r>
        <w:t xml:space="preserve">, 7 Wasserstoffspeicher,  14 größer angelegte CSS Projekte, darunter recht spektakulär eine Sammelleitung, um aus Deutschland, Belgien, </w:t>
      </w:r>
      <w:r>
        <w:lastRenderedPageBreak/>
        <w:t>Dänemark, Frankreich, Lettland, Niederlande, Polen und Schweden Kohlendioxid nach Norwegen zu pumpen, um es dort im Meer zu verpressen (EU2NSEA) und schließlich noch zwei Gasnetze.</w:t>
      </w:r>
      <w:r>
        <w:rPr>
          <w:rStyle w:val="Funotenzeichen"/>
        </w:rPr>
        <w:footnoteReference w:id="1425"/>
      </w:r>
      <w:r>
        <w:t xml:space="preserve"> Eine Vielzahl konkreter Wasserstoffprojekte, darunter auch kleinere, aber interessante Forschungsprojekte, zum Thema Schiffstransport, Luftfahrt, Wasserstoffturbinen, Methan zu Wasserstoff Anlagen, etc. werden gezeigt in der folgenden Präsentation</w:t>
      </w:r>
      <w:r>
        <w:rPr>
          <w:rStyle w:val="Funotenzeichen"/>
        </w:rPr>
        <w:footnoteReference w:id="1426"/>
      </w:r>
      <w:r>
        <w:t>, erstellt zum Anlass der jährlichen European Hydrogen Week.</w:t>
      </w:r>
      <w:r>
        <w:rPr>
          <w:rStyle w:val="Funotenzeichen"/>
        </w:rPr>
        <w:footnoteReference w:id="1427"/>
      </w:r>
      <w:r w:rsidR="00466CD7">
        <w:t xml:space="preserve"> </w:t>
      </w:r>
      <w:r w:rsidR="005F58A6">
        <w:t>Eine offenbar ultimative Liste mit PCIs und PMIs findet sich hier, Stand: 28.11.2023</w:t>
      </w:r>
      <w:r w:rsidR="00466CD7">
        <w:t>: Unionsvorhaben Wasserstoff.</w:t>
      </w:r>
      <w:r w:rsidR="00466CD7">
        <w:rPr>
          <w:rStyle w:val="Funotenzeichen"/>
        </w:rPr>
        <w:footnoteReference w:id="1428"/>
      </w:r>
      <w:r w:rsidR="00466CD7">
        <w:t xml:space="preserve"> </w:t>
      </w:r>
    </w:p>
    <w:p w14:paraId="78709503" w14:textId="77777777" w:rsidR="00112190" w:rsidRDefault="00112190" w:rsidP="00112190"/>
    <w:p w14:paraId="2D0F9B03" w14:textId="69092317" w:rsidR="00B963C1" w:rsidRPr="00B963C1" w:rsidRDefault="00B963C1" w:rsidP="00112190">
      <w:r w:rsidRPr="00B963C1">
        <w:t xml:space="preserve">Der Projects </w:t>
      </w:r>
      <w:proofErr w:type="spellStart"/>
      <w:r w:rsidRPr="00B963C1">
        <w:t>of</w:t>
      </w:r>
      <w:proofErr w:type="spellEnd"/>
      <w:r w:rsidRPr="00B963C1">
        <w:t xml:space="preserve"> Common Interest (PCI) Status bedeutet offenkundig eine mö</w:t>
      </w:r>
      <w:r>
        <w:t xml:space="preserve">gliche schnellere Genehmigung </w:t>
      </w:r>
      <w:proofErr w:type="gramStart"/>
      <w:r>
        <w:t>des Projekte</w:t>
      </w:r>
      <w:proofErr w:type="gramEnd"/>
      <w:r>
        <w:t xml:space="preserve"> und eine mögliche Finanzierung durch die </w:t>
      </w:r>
      <w:proofErr w:type="spellStart"/>
      <w:r>
        <w:t>Connecting</w:t>
      </w:r>
      <w:proofErr w:type="spellEnd"/>
      <w:r>
        <w:t xml:space="preserve"> Europe Facility, siehe z.B. so die Beschreibung beim Projekt Baltic Hydrogen </w:t>
      </w:r>
      <w:proofErr w:type="spellStart"/>
      <w:r>
        <w:t>Corridor</w:t>
      </w:r>
      <w:proofErr w:type="spellEnd"/>
      <w:r>
        <w:t>.</w:t>
      </w:r>
      <w:r>
        <w:rPr>
          <w:rStyle w:val="Funotenzeichen"/>
        </w:rPr>
        <w:footnoteReference w:id="1429"/>
      </w:r>
    </w:p>
    <w:p w14:paraId="728CDBAF" w14:textId="77777777" w:rsidR="00B963C1" w:rsidRPr="00B963C1" w:rsidRDefault="00B963C1" w:rsidP="00112190"/>
    <w:p w14:paraId="454DCB9F" w14:textId="53159347" w:rsidR="00112190" w:rsidRDefault="00112190" w:rsidP="00112190">
      <w:r>
        <w:t xml:space="preserve">Einige dieser Projekte werden auch über die </w:t>
      </w:r>
      <w:proofErr w:type="spellStart"/>
      <w:r>
        <w:t>Connecting</w:t>
      </w:r>
      <w:proofErr w:type="spellEnd"/>
      <w:r>
        <w:t xml:space="preserve"> Europa Facility (CEF) in Form von Subventionen / Zuschüssen gefördert. Die </w:t>
      </w:r>
      <w:proofErr w:type="spellStart"/>
      <w:r>
        <w:t>Connecting</w:t>
      </w:r>
      <w:proofErr w:type="spellEnd"/>
      <w:r>
        <w:t xml:space="preserve"> Europe Facility ist aufgeteilt in: CEF Energy, </w:t>
      </w:r>
      <w:proofErr w:type="gramStart"/>
      <w:r>
        <w:t>CEF Transport</w:t>
      </w:r>
      <w:proofErr w:type="gramEnd"/>
      <w:r>
        <w:t xml:space="preserve"> und CEF Digital, siehe die Webseite der Kommission.</w:t>
      </w:r>
      <w:r>
        <w:rPr>
          <w:rStyle w:val="Funotenzeichen"/>
        </w:rPr>
        <w:footnoteReference w:id="1430"/>
      </w:r>
      <w:r>
        <w:t xml:space="preserve"> Etwas tiefer in der Webseite finden sich auch Berichte zu </w:t>
      </w:r>
      <w:proofErr w:type="gramStart"/>
      <w:r>
        <w:t>CEF Projekten</w:t>
      </w:r>
      <w:proofErr w:type="gramEnd"/>
      <w:r>
        <w:t xml:space="preserve"> mit Bildern.</w:t>
      </w:r>
      <w:r>
        <w:rPr>
          <w:rStyle w:val="Funotenzeichen"/>
        </w:rPr>
        <w:footnoteReference w:id="1431"/>
      </w:r>
      <w:r>
        <w:t xml:space="preserve"> </w:t>
      </w:r>
    </w:p>
    <w:p w14:paraId="46C6E01C" w14:textId="77777777" w:rsidR="00B41C74" w:rsidRDefault="00B41C74" w:rsidP="00112190">
      <w:pPr>
        <w:rPr>
          <w:u w:val="single"/>
        </w:rPr>
      </w:pPr>
    </w:p>
    <w:p w14:paraId="548959A5" w14:textId="1826D364" w:rsidR="00112190" w:rsidRPr="000A5DE6" w:rsidRDefault="00112190" w:rsidP="00112190">
      <w:r w:rsidRPr="00FF322B">
        <w:rPr>
          <w:u w:val="single"/>
        </w:rPr>
        <w:t>17. September 2020</w:t>
      </w:r>
      <w:r w:rsidRPr="007D61EE">
        <w:t xml:space="preserve">. </w:t>
      </w:r>
      <w:r w:rsidRPr="000A5DE6">
        <w:t>Ein 2030 Climate Target Plan w</w:t>
      </w:r>
      <w:r>
        <w:t>urde</w:t>
      </w:r>
      <w:r w:rsidRPr="000A5DE6">
        <w:t xml:space="preserve"> prä</w:t>
      </w:r>
      <w:r>
        <w:t>sentiert.</w:t>
      </w:r>
      <w:r>
        <w:rPr>
          <w:rStyle w:val="Funotenzeichen"/>
        </w:rPr>
        <w:footnoteReference w:id="1432"/>
      </w:r>
      <w:r>
        <w:t xml:space="preserve"> Hier wird festgestellt, dass geltende Rechtsvorschriften nur eine 60 % Absenkung der Emissionen bis 2050 erreichen würden und dass mehr nötig ist. Nun wird </w:t>
      </w:r>
      <w:r w:rsidR="00AC777D">
        <w:t xml:space="preserve">(ebenfalls) </w:t>
      </w:r>
      <w:r>
        <w:t>als neues Ziel vorgegeben</w:t>
      </w:r>
      <w:r w:rsidRPr="002C21D4">
        <w:t xml:space="preserve">, </w:t>
      </w:r>
      <w:r w:rsidRPr="00FC70DF">
        <w:rPr>
          <w:u w:val="single"/>
        </w:rPr>
        <w:t>dass die EU bis 2030 ihre Emissionen um 55 % senken muss.</w:t>
      </w:r>
      <w:r w:rsidRPr="00FC70DF">
        <w:rPr>
          <w:rStyle w:val="Funotenzeichen"/>
          <w:u w:val="single"/>
        </w:rPr>
        <w:t xml:space="preserve"> </w:t>
      </w:r>
      <w:r w:rsidRPr="00FC70DF">
        <w:rPr>
          <w:rStyle w:val="Funotenzeichen"/>
          <w:u w:val="single"/>
        </w:rPr>
        <w:footnoteReference w:id="1433"/>
      </w:r>
      <w:r w:rsidRPr="00FC70DF">
        <w:rPr>
          <w:u w:val="single"/>
        </w:rPr>
        <w:t xml:space="preserve"> Eben: Fit </w:t>
      </w:r>
      <w:proofErr w:type="spellStart"/>
      <w:r w:rsidRPr="00FC70DF">
        <w:rPr>
          <w:u w:val="single"/>
        </w:rPr>
        <w:t>for</w:t>
      </w:r>
      <w:proofErr w:type="spellEnd"/>
      <w:r w:rsidRPr="00FC70DF">
        <w:rPr>
          <w:u w:val="single"/>
        </w:rPr>
        <w:t xml:space="preserve"> 55!</w:t>
      </w:r>
      <w:r>
        <w:t xml:space="preserve">  </w:t>
      </w:r>
    </w:p>
    <w:p w14:paraId="3440E256" w14:textId="77777777" w:rsidR="00112190" w:rsidRPr="000A5DE6" w:rsidRDefault="00112190" w:rsidP="00112190"/>
    <w:p w14:paraId="3837DD73" w14:textId="77777777" w:rsidR="00112190" w:rsidRDefault="00112190" w:rsidP="00112190">
      <w:r w:rsidRPr="00FF322B">
        <w:rPr>
          <w:u w:val="single"/>
        </w:rPr>
        <w:t>14. Oktober 2020</w:t>
      </w:r>
      <w:r>
        <w:t xml:space="preserve">. Eine Renovierungs- bzw. Dämmungsinitiative bzw.  A Renovation Wave </w:t>
      </w:r>
      <w:proofErr w:type="spellStart"/>
      <w:r>
        <w:t>for</w:t>
      </w:r>
      <w:proofErr w:type="spellEnd"/>
      <w:r>
        <w:t xml:space="preserve"> Europe wurde vorgeschlagen, in der auch Gelder zur Verfügung gestellt werden, die Rede ist von 90 Mrd. Euro, siehe hier auch konkrete Beispiele</w:t>
      </w:r>
      <w:r>
        <w:rPr>
          <w:rStyle w:val="Funotenzeichen"/>
        </w:rPr>
        <w:footnoteReference w:id="1434"/>
      </w:r>
      <w:r>
        <w:t>, für die Renovierung und Dämmung von Gebäuden.</w:t>
      </w:r>
      <w:r>
        <w:rPr>
          <w:rStyle w:val="Funotenzeichen"/>
        </w:rPr>
        <w:footnoteReference w:id="1435"/>
      </w:r>
      <w:r>
        <w:t xml:space="preserve"> Hierzu kann man auch die Initiative vom 18. Januar 2021 zählen, das Neue Europäische Bauhaus, in </w:t>
      </w:r>
      <w:r>
        <w:lastRenderedPageBreak/>
        <w:t>dem klimafreundliche, energiesparende, kreislauforientierte Baukonzepte entwickelt werden sollen.</w:t>
      </w:r>
      <w:r>
        <w:rPr>
          <w:rStyle w:val="Funotenzeichen"/>
        </w:rPr>
        <w:footnoteReference w:id="1436"/>
      </w:r>
      <w:r>
        <w:t xml:space="preserve"> Ebenso wurde am 14. Oktober 2020 eine Methan-Strategie, u.a. in Landwirtschaft und Abfallwirtschaft</w:t>
      </w:r>
      <w:r>
        <w:rPr>
          <w:rStyle w:val="Funotenzeichen"/>
        </w:rPr>
        <w:footnoteReference w:id="1437"/>
      </w:r>
      <w:r>
        <w:t xml:space="preserve"> und eine Chemie-Strategie</w:t>
      </w:r>
      <w:r>
        <w:rPr>
          <w:rStyle w:val="Funotenzeichen"/>
        </w:rPr>
        <w:footnoteReference w:id="1438"/>
      </w:r>
      <w:r>
        <w:t>, bei der es um gefährliche Chemikalien u.a. in Produkten geht</w:t>
      </w:r>
      <w:r>
        <w:rPr>
          <w:rStyle w:val="Funotenzeichen"/>
        </w:rPr>
        <w:footnoteReference w:id="1439"/>
      </w:r>
      <w:r>
        <w:t xml:space="preserve"> vorgestellt.</w:t>
      </w:r>
    </w:p>
    <w:p w14:paraId="5237674F" w14:textId="77777777" w:rsidR="00112190" w:rsidRDefault="00112190" w:rsidP="00112190"/>
    <w:p w14:paraId="32831612" w14:textId="77777777" w:rsidR="00112190" w:rsidRDefault="00112190" w:rsidP="00112190">
      <w:r w:rsidRPr="00FF322B">
        <w:rPr>
          <w:u w:val="single"/>
        </w:rPr>
        <w:t>19. November 2020</w:t>
      </w:r>
      <w:r>
        <w:t xml:space="preserve">. Eine Offshore </w:t>
      </w:r>
      <w:proofErr w:type="spellStart"/>
      <w:r>
        <w:t>renewable</w:t>
      </w:r>
      <w:proofErr w:type="spellEnd"/>
      <w:r>
        <w:t xml:space="preserve"> </w:t>
      </w:r>
      <w:proofErr w:type="spellStart"/>
      <w:r>
        <w:t>energy</w:t>
      </w:r>
      <w:proofErr w:type="spellEnd"/>
      <w:r>
        <w:t xml:space="preserve"> Strategie wurde vorgeschlagen, </w:t>
      </w:r>
      <w:r w:rsidRPr="00152332">
        <w:rPr>
          <w:u w:val="single"/>
        </w:rPr>
        <w:t xml:space="preserve">hier wird </w:t>
      </w:r>
      <w:r>
        <w:rPr>
          <w:u w:val="single"/>
        </w:rPr>
        <w:t xml:space="preserve">als nicht verbindliches Ziel </w:t>
      </w:r>
      <w:r w:rsidRPr="00152332">
        <w:rPr>
          <w:u w:val="single"/>
        </w:rPr>
        <w:t>für das Jahr 2050 300 GW Offshore Leistung für Europa genannt</w:t>
      </w:r>
      <w:r>
        <w:t xml:space="preserve"> und gesagt, dass eine Investitionssumme von 800 Mrd. Euro benötigt wird.</w:t>
      </w:r>
      <w:r>
        <w:rPr>
          <w:rStyle w:val="Funotenzeichen"/>
        </w:rPr>
        <w:footnoteReference w:id="1440"/>
      </w:r>
      <w:r>
        <w:t xml:space="preserve"> </w:t>
      </w:r>
    </w:p>
    <w:p w14:paraId="69F2783E" w14:textId="77777777" w:rsidR="00112190" w:rsidRDefault="00112190" w:rsidP="00112190"/>
    <w:p w14:paraId="15FBDC36" w14:textId="77777777" w:rsidR="00112190" w:rsidRDefault="00112190" w:rsidP="00112190">
      <w:r w:rsidRPr="00FF322B">
        <w:rPr>
          <w:u w:val="single"/>
        </w:rPr>
        <w:t>9. Dezember 2020</w:t>
      </w:r>
      <w:r>
        <w:t>. In einem Klimapakt soll die Zivilgesellschaft zusammenkommen.</w:t>
      </w:r>
      <w:r>
        <w:rPr>
          <w:rStyle w:val="Funotenzeichen"/>
        </w:rPr>
        <w:footnoteReference w:id="1441"/>
      </w:r>
      <w:r>
        <w:t xml:space="preserve"> Siehe die Webseite dazu.</w:t>
      </w:r>
      <w:r>
        <w:rPr>
          <w:rStyle w:val="Funotenzeichen"/>
        </w:rPr>
        <w:footnoteReference w:id="1442"/>
      </w:r>
    </w:p>
    <w:p w14:paraId="7A3BB67E" w14:textId="77777777" w:rsidR="00112190" w:rsidRDefault="00112190" w:rsidP="00112190"/>
    <w:p w14:paraId="5FD4E66C" w14:textId="77777777" w:rsidR="00112190" w:rsidRDefault="00112190" w:rsidP="00112190">
      <w:r w:rsidRPr="00FF322B">
        <w:rPr>
          <w:u w:val="single"/>
        </w:rPr>
        <w:t>24. Februar 2021</w:t>
      </w:r>
      <w:r>
        <w:t xml:space="preserve">. Eine Strategie für die bessere Anpassung, mit der Climate </w:t>
      </w:r>
      <w:proofErr w:type="spellStart"/>
      <w:r>
        <w:t>Adapt</w:t>
      </w:r>
      <w:proofErr w:type="spellEnd"/>
      <w:r>
        <w:t xml:space="preserve"> Webseite, wurde vorgeschlagen.</w:t>
      </w:r>
      <w:r>
        <w:rPr>
          <w:rStyle w:val="Funotenzeichen"/>
        </w:rPr>
        <w:footnoteReference w:id="1443"/>
      </w:r>
      <w:r>
        <w:t xml:space="preserve"> </w:t>
      </w:r>
    </w:p>
    <w:p w14:paraId="0598B7BF" w14:textId="77777777" w:rsidR="00112190" w:rsidRDefault="00112190" w:rsidP="00112190"/>
    <w:p w14:paraId="4ECDCD30" w14:textId="77777777" w:rsidR="00112190" w:rsidRDefault="00112190" w:rsidP="00112190">
      <w:pPr>
        <w:rPr>
          <w:lang w:val="en-GB"/>
        </w:rPr>
      </w:pPr>
      <w:r w:rsidRPr="00FF322B">
        <w:rPr>
          <w:u w:val="single"/>
        </w:rPr>
        <w:t>12. Mai 2021</w:t>
      </w:r>
      <w:r w:rsidRPr="00C33020">
        <w:t xml:space="preserve">. </w:t>
      </w:r>
      <w:r w:rsidRPr="00EA2D19">
        <w:t>Zero Pollution Action Plan</w:t>
      </w:r>
      <w:r w:rsidRPr="00E214FF">
        <w:t xml:space="preserve">, hier geht es um eine </w:t>
      </w:r>
      <w:r>
        <w:t>v</w:t>
      </w:r>
      <w:r w:rsidRPr="00E214FF">
        <w:t>erbess</w:t>
      </w:r>
      <w:r>
        <w:t>erte Luft-, Wasser-, und Bodenqualität.</w:t>
      </w:r>
      <w:r>
        <w:rPr>
          <w:rStyle w:val="Funotenzeichen"/>
          <w:lang w:val="en-GB"/>
        </w:rPr>
        <w:footnoteReference w:id="1444"/>
      </w:r>
      <w:r w:rsidRPr="00EA2D19">
        <w:t xml:space="preserve"> 17. </w:t>
      </w:r>
      <w:r w:rsidRPr="00E214FF">
        <w:t>Mai 2021</w:t>
      </w:r>
      <w:r>
        <w:t xml:space="preserve">. </w:t>
      </w:r>
      <w:proofErr w:type="spellStart"/>
      <w:r w:rsidRPr="00EA2D19">
        <w:t>Sustainable</w:t>
      </w:r>
      <w:proofErr w:type="spellEnd"/>
      <w:r w:rsidRPr="00EA2D19">
        <w:t xml:space="preserve"> </w:t>
      </w:r>
      <w:proofErr w:type="spellStart"/>
      <w:r w:rsidRPr="00EA2D19">
        <w:t>blue</w:t>
      </w:r>
      <w:proofErr w:type="spellEnd"/>
      <w:r w:rsidRPr="00EA2D19">
        <w:t xml:space="preserve"> </w:t>
      </w:r>
      <w:proofErr w:type="spellStart"/>
      <w:r w:rsidRPr="00EA2D19">
        <w:t>economy</w:t>
      </w:r>
      <w:proofErr w:type="spellEnd"/>
      <w:r w:rsidRPr="00EA2D19">
        <w:t>, hier geht es um Meer und Küste, u.a. um den Aufbau von A</w:t>
      </w:r>
      <w:r>
        <w:t>quakultur</w:t>
      </w:r>
      <w:r w:rsidRPr="00EA2D19">
        <w:t>.</w:t>
      </w:r>
      <w:r>
        <w:rPr>
          <w:rStyle w:val="Funotenzeichen"/>
          <w:lang w:val="en-GB"/>
        </w:rPr>
        <w:footnoteReference w:id="1445"/>
      </w:r>
      <w:r w:rsidRPr="00EA2D19">
        <w:t xml:space="preserve"> </w:t>
      </w:r>
      <w:r w:rsidRPr="00EA2D19">
        <w:rPr>
          <w:lang w:val="en-GB"/>
        </w:rPr>
        <w:t>14. Juli 2021, Delivering the European Green Deal.</w:t>
      </w:r>
      <w:r>
        <w:rPr>
          <w:rStyle w:val="Funotenzeichen"/>
        </w:rPr>
        <w:footnoteReference w:id="1446"/>
      </w:r>
      <w:r w:rsidRPr="00EA2D19">
        <w:rPr>
          <w:lang w:val="en-GB"/>
        </w:rPr>
        <w:t xml:space="preserve"> 15. </w:t>
      </w:r>
      <w:r>
        <w:rPr>
          <w:lang w:val="en-GB"/>
        </w:rPr>
        <w:t>September 2021. New European Bauhaus: new actions and funding.</w:t>
      </w:r>
      <w:r>
        <w:rPr>
          <w:rStyle w:val="Funotenzeichen"/>
          <w:lang w:val="en-GB"/>
        </w:rPr>
        <w:footnoteReference w:id="1447"/>
      </w:r>
      <w:r>
        <w:rPr>
          <w:lang w:val="en-GB"/>
        </w:rPr>
        <w:t xml:space="preserve"> 17. November 2012. </w:t>
      </w:r>
      <w:r w:rsidRPr="003F0224">
        <w:rPr>
          <w:lang w:val="en-GB"/>
        </w:rPr>
        <w:t>Proposals to stop deforestation, innovate sustainable waste management and make soils healthy</w:t>
      </w:r>
      <w:r>
        <w:rPr>
          <w:lang w:val="en-GB"/>
        </w:rPr>
        <w:t>.</w:t>
      </w:r>
      <w:r>
        <w:rPr>
          <w:rStyle w:val="Funotenzeichen"/>
          <w:lang w:val="en-GB"/>
        </w:rPr>
        <w:footnoteReference w:id="1448"/>
      </w:r>
      <w:r>
        <w:rPr>
          <w:lang w:val="en-GB"/>
        </w:rPr>
        <w:t xml:space="preserve"> 14. Dezember 2012. </w:t>
      </w:r>
      <w:r w:rsidRPr="003F0224">
        <w:rPr>
          <w:lang w:val="en-GB"/>
        </w:rPr>
        <w:t>New transport proposals target greater efficiency and more sustainable travel</w:t>
      </w:r>
      <w:r>
        <w:rPr>
          <w:lang w:val="en-GB"/>
        </w:rPr>
        <w:t>.</w:t>
      </w:r>
      <w:r>
        <w:rPr>
          <w:rStyle w:val="Funotenzeichen"/>
          <w:lang w:val="en-GB"/>
        </w:rPr>
        <w:footnoteReference w:id="1449"/>
      </w:r>
    </w:p>
    <w:p w14:paraId="48458A1F" w14:textId="77777777" w:rsidR="00112190" w:rsidRDefault="00112190" w:rsidP="00112190">
      <w:pPr>
        <w:rPr>
          <w:lang w:val="en-GB"/>
        </w:rPr>
      </w:pPr>
    </w:p>
    <w:p w14:paraId="2ED09F61" w14:textId="33711D33" w:rsidR="00112190" w:rsidRDefault="00112190" w:rsidP="00112190">
      <w:r w:rsidRPr="00FF322B">
        <w:rPr>
          <w:u w:val="single"/>
          <w:lang w:val="en-GB"/>
        </w:rPr>
        <w:t>15. Dezember 2021</w:t>
      </w:r>
      <w:r>
        <w:rPr>
          <w:lang w:val="en-GB"/>
        </w:rPr>
        <w:t xml:space="preserve">. </w:t>
      </w:r>
      <w:r w:rsidRPr="003F0224">
        <w:rPr>
          <w:lang w:val="en-GB"/>
        </w:rPr>
        <w:t xml:space="preserve">Commission proposals to remove, </w:t>
      </w:r>
      <w:proofErr w:type="gramStart"/>
      <w:r w:rsidRPr="003F0224">
        <w:rPr>
          <w:lang w:val="en-GB"/>
        </w:rPr>
        <w:t>recycle</w:t>
      </w:r>
      <w:proofErr w:type="gramEnd"/>
      <w:r w:rsidRPr="003F0224">
        <w:rPr>
          <w:lang w:val="en-GB"/>
        </w:rPr>
        <w:t xml:space="preserve"> and sustainably store carbon</w:t>
      </w:r>
      <w:r>
        <w:rPr>
          <w:lang w:val="en-GB"/>
        </w:rPr>
        <w:t xml:space="preserve">. </w:t>
      </w:r>
      <w:r w:rsidRPr="003F0224">
        <w:t xml:space="preserve">Hier geht es um </w:t>
      </w:r>
      <w:proofErr w:type="gramStart"/>
      <w:r w:rsidRPr="003F0224">
        <w:t>CCS Techniken</w:t>
      </w:r>
      <w:proofErr w:type="gramEnd"/>
      <w:r w:rsidRPr="003F0224">
        <w:t xml:space="preserve">, </w:t>
      </w:r>
      <w:r>
        <w:t>darum, dass bis 2023 20 % des Kohlendioxids in Plastik aus erneuerbaren Quellen stammen soll, dass dazu Kohlendioxid</w:t>
      </w:r>
      <w:r w:rsidR="004C354A">
        <w:t>-</w:t>
      </w:r>
      <w:r>
        <w:t xml:space="preserve">Speicher und </w:t>
      </w:r>
      <w:r w:rsidR="004C354A">
        <w:t>-</w:t>
      </w:r>
      <w:r>
        <w:t xml:space="preserve">Pipelines gebaut werden sollen (auch für den Transport von Kohlendioxid für </w:t>
      </w:r>
      <w:proofErr w:type="gramStart"/>
      <w:r>
        <w:t>CSS Techniken</w:t>
      </w:r>
      <w:proofErr w:type="gramEnd"/>
      <w:r>
        <w:t xml:space="preserve"> für die </w:t>
      </w:r>
      <w:proofErr w:type="spellStart"/>
      <w:r>
        <w:t>Verpressung</w:t>
      </w:r>
      <w:proofErr w:type="spellEnd"/>
      <w:r>
        <w:t xml:space="preserve"> unter dem Meeresboden), schließlich geht es </w:t>
      </w:r>
      <w:r w:rsidRPr="003F0224">
        <w:t xml:space="preserve">auch um </w:t>
      </w:r>
      <w:r>
        <w:t xml:space="preserve">die </w:t>
      </w:r>
      <w:r w:rsidRPr="003F0224">
        <w:t>L</w:t>
      </w:r>
      <w:r>
        <w:t>andwirtschaft, die CO2 bindet (‚</w:t>
      </w:r>
      <w:proofErr w:type="spellStart"/>
      <w:r>
        <w:t>carbon</w:t>
      </w:r>
      <w:proofErr w:type="spellEnd"/>
      <w:r>
        <w:t xml:space="preserve"> </w:t>
      </w:r>
      <w:proofErr w:type="spellStart"/>
      <w:r>
        <w:t>farming</w:t>
      </w:r>
      <w:proofErr w:type="spellEnd"/>
      <w:r>
        <w:t>‘).</w:t>
      </w:r>
      <w:r>
        <w:rPr>
          <w:rStyle w:val="Funotenzeichen"/>
        </w:rPr>
        <w:footnoteReference w:id="1450"/>
      </w:r>
    </w:p>
    <w:p w14:paraId="147F1718" w14:textId="77777777" w:rsidR="00112190" w:rsidRDefault="00112190" w:rsidP="00112190"/>
    <w:p w14:paraId="6AA5B8CD" w14:textId="0133D837" w:rsidR="00112190" w:rsidRPr="003F0224" w:rsidRDefault="00112190" w:rsidP="00112190">
      <w:r w:rsidRPr="00FF322B">
        <w:rPr>
          <w:u w:val="single"/>
        </w:rPr>
        <w:t>15. Dezember 2021</w:t>
      </w:r>
      <w:r w:rsidRPr="00EA2D19">
        <w:t xml:space="preserve"> (am selben Datum, s.o.). </w:t>
      </w:r>
      <w:r w:rsidRPr="00B175EA">
        <w:rPr>
          <w:lang w:val="en-GB"/>
        </w:rPr>
        <w:t>Commission proposes new EU framework to decarbonise gas markets, promote hydrogen and reduce methane emissions.</w:t>
      </w:r>
      <w:r>
        <w:rPr>
          <w:rStyle w:val="Funotenzeichen"/>
          <w:lang w:val="en-GB"/>
        </w:rPr>
        <w:footnoteReference w:id="1451"/>
      </w:r>
      <w:r w:rsidRPr="00B175EA">
        <w:rPr>
          <w:lang w:val="en-GB"/>
        </w:rPr>
        <w:t xml:space="preserve"> </w:t>
      </w:r>
      <w:r w:rsidRPr="003F0224">
        <w:t>Die Kommission schlägt</w:t>
      </w:r>
      <w:r>
        <w:t xml:space="preserve"> eine Verordnung und Richtlinie vor, die den Aufbau eines europäischen Wasserstoffmarktes anstoßen soll und schlägt vor, dass in den Nationalen Klima und Energieplänen diese Aufbau eines strombasierten Wasserstoffnetzwerkes einbezogen werden muss. Es wird zudem eine Zertifizierung </w:t>
      </w:r>
      <w:r>
        <w:lastRenderedPageBreak/>
        <w:t>für ‚</w:t>
      </w:r>
      <w:proofErr w:type="spellStart"/>
      <w:r>
        <w:t>low</w:t>
      </w:r>
      <w:proofErr w:type="spellEnd"/>
      <w:r>
        <w:t xml:space="preserve"> </w:t>
      </w:r>
      <w:proofErr w:type="spellStart"/>
      <w:r>
        <w:t>carbon</w:t>
      </w:r>
      <w:proofErr w:type="spellEnd"/>
      <w:r>
        <w:t xml:space="preserve"> </w:t>
      </w:r>
      <w:proofErr w:type="spellStart"/>
      <w:r>
        <w:t>gas‘</w:t>
      </w:r>
      <w:proofErr w:type="spellEnd"/>
      <w:r>
        <w:t xml:space="preserve"> vorgeschlagen. Eine Verordnung soll bezüglich ‚</w:t>
      </w:r>
      <w:proofErr w:type="spellStart"/>
      <w:r>
        <w:t>flaring</w:t>
      </w:r>
      <w:proofErr w:type="spellEnd"/>
      <w:r>
        <w:t xml:space="preserve">‘ entwickelt werden (gegen Methan-Lecks und Abfackeln von Öl und Gas. Zudem wird eine Revision für die Energy Performance </w:t>
      </w:r>
      <w:proofErr w:type="spellStart"/>
      <w:r>
        <w:t>of</w:t>
      </w:r>
      <w:proofErr w:type="spellEnd"/>
      <w:r>
        <w:t xml:space="preserve"> Buildings vorgelegt. Die EU tritt der Global </w:t>
      </w:r>
      <w:proofErr w:type="spellStart"/>
      <w:r>
        <w:t>Methane</w:t>
      </w:r>
      <w:proofErr w:type="spellEnd"/>
      <w:r>
        <w:t xml:space="preserve"> Pledge der Klimakonferenz COP 26 bei.</w:t>
      </w:r>
      <w:r>
        <w:rPr>
          <w:rStyle w:val="Funotenzeichen"/>
        </w:rPr>
        <w:footnoteReference w:id="1452"/>
      </w:r>
      <w:r w:rsidR="00B74407">
        <w:t xml:space="preserve"> Die Definition was ‚</w:t>
      </w:r>
      <w:proofErr w:type="spellStart"/>
      <w:r w:rsidR="00B74407">
        <w:t>low</w:t>
      </w:r>
      <w:proofErr w:type="spellEnd"/>
      <w:r w:rsidR="00B74407">
        <w:t xml:space="preserve"> </w:t>
      </w:r>
      <w:proofErr w:type="spellStart"/>
      <w:r w:rsidR="00B74407">
        <w:t>carbon</w:t>
      </w:r>
      <w:proofErr w:type="spellEnd"/>
      <w:r w:rsidR="00B74407">
        <w:t>‘ ist, wird später noch von der Kommission im Detail verfolgt, als delegierter Rechtsakt, bei der die Kommission allerdings auch nach Feedback fragt</w:t>
      </w:r>
      <w:r w:rsidR="00B74407">
        <w:rPr>
          <w:rStyle w:val="Funotenzeichen"/>
        </w:rPr>
        <w:footnoteReference w:id="1453"/>
      </w:r>
      <w:r w:rsidR="004C354A">
        <w:t xml:space="preserve">, dies </w:t>
      </w:r>
      <w:r w:rsidR="00B74407">
        <w:t>ist wichtig z.B. für Standards und für das CBAM Klimazoll System.</w:t>
      </w:r>
    </w:p>
    <w:p w14:paraId="72AF7C71" w14:textId="77777777" w:rsidR="00112190" w:rsidRDefault="00112190" w:rsidP="00112190"/>
    <w:p w14:paraId="5145F170" w14:textId="52B860E1" w:rsidR="00112190" w:rsidRPr="003042FA" w:rsidRDefault="00112190" w:rsidP="00112190">
      <w:pPr>
        <w:rPr>
          <w:lang w:val="en-GB"/>
        </w:rPr>
      </w:pPr>
      <w:r w:rsidRPr="00FF322B">
        <w:rPr>
          <w:u w:val="single"/>
          <w:lang w:val="en-GB"/>
        </w:rPr>
        <w:t>23. März 2022</w:t>
      </w:r>
      <w:r w:rsidRPr="00FE11F2">
        <w:rPr>
          <w:lang w:val="en-GB"/>
        </w:rPr>
        <w:t>. Options to mitigate high energy prices with common gas purchases and minimum gas storage obligations</w:t>
      </w:r>
      <w:r>
        <w:rPr>
          <w:lang w:val="en-GB"/>
        </w:rPr>
        <w:t>.</w:t>
      </w:r>
      <w:r>
        <w:rPr>
          <w:rStyle w:val="Funotenzeichen"/>
          <w:lang w:val="en-GB"/>
        </w:rPr>
        <w:footnoteReference w:id="1454"/>
      </w:r>
      <w:r>
        <w:rPr>
          <w:lang w:val="en-GB"/>
        </w:rPr>
        <w:t xml:space="preserve"> 30. März 2022. </w:t>
      </w:r>
      <w:r w:rsidRPr="00FE11F2">
        <w:rPr>
          <w:lang w:val="en-GB"/>
        </w:rPr>
        <w:t>Proposals to make sustainable products the norm in the EU, boost circular business models and empower consumers for the green transition</w:t>
      </w:r>
      <w:r>
        <w:rPr>
          <w:lang w:val="en-GB"/>
        </w:rPr>
        <w:t>.</w:t>
      </w:r>
      <w:r>
        <w:rPr>
          <w:rStyle w:val="Funotenzeichen"/>
          <w:lang w:val="en-GB"/>
        </w:rPr>
        <w:footnoteReference w:id="1455"/>
      </w:r>
      <w:r>
        <w:rPr>
          <w:lang w:val="en-GB"/>
        </w:rPr>
        <w:t xml:space="preserve"> </w:t>
      </w:r>
    </w:p>
    <w:p w14:paraId="034C2F3B" w14:textId="77777777" w:rsidR="00112190" w:rsidRPr="003042FA" w:rsidRDefault="00112190" w:rsidP="00112190">
      <w:pPr>
        <w:rPr>
          <w:lang w:val="en-GB"/>
        </w:rPr>
      </w:pPr>
    </w:p>
    <w:p w14:paraId="42A0C165" w14:textId="1EF32679" w:rsidR="004C354A" w:rsidRPr="00FE11F2" w:rsidRDefault="00112190" w:rsidP="004C354A">
      <w:r w:rsidRPr="00FF322B">
        <w:rPr>
          <w:u w:val="single"/>
        </w:rPr>
        <w:t>5. April 2022</w:t>
      </w:r>
      <w:r>
        <w:t xml:space="preserve">. </w:t>
      </w:r>
      <w:r w:rsidR="00AC777D">
        <w:t xml:space="preserve">Emissionsrichtlinie. </w:t>
      </w:r>
      <w:r>
        <w:t xml:space="preserve">Interessant ist, dass für die EU auch ein direkter Eingriff auf Anlagen von Firmen denkbar ist, dies findet sich in einem Vorschlag vom 5. April 2022 für </w:t>
      </w:r>
      <w:proofErr w:type="gramStart"/>
      <w:r>
        <w:t>EU Industrieemissionen</w:t>
      </w:r>
      <w:proofErr w:type="gramEnd"/>
      <w:r>
        <w:t xml:space="preserve"> (eingeschlossen Tierhaltung), um die Emissionsrichtlinie zu modernisieren.</w:t>
      </w:r>
      <w:r>
        <w:rPr>
          <w:rStyle w:val="Funotenzeichen"/>
        </w:rPr>
        <w:footnoteReference w:id="1456"/>
      </w:r>
      <w:r>
        <w:t xml:space="preserve"> Die Kommission fordert hier die Kompetenz delegierte Rechtakte zu erlassen und die Mitgliedstaaten sollen verpflichtet werden bei Nichteinhaltung, abschreckende Sanktionen zu verhängen, u.a. Geldstrafen.</w:t>
      </w:r>
      <w:r>
        <w:rPr>
          <w:rStyle w:val="Funotenzeichen"/>
        </w:rPr>
        <w:footnoteReference w:id="1457"/>
      </w:r>
      <w:r>
        <w:t xml:space="preserve"> Mal sehen ob sie damit durchkommt? Hier muss dann von der Industrie die beste verfügbare Technik eingesetzt werden, um Emissionen zu vermindern, es geht auch um Treibhausgasemissionen. Die Technologie wird durch Tests bei ‚</w:t>
      </w:r>
      <w:proofErr w:type="spellStart"/>
      <w:r>
        <w:t>innovation</w:t>
      </w:r>
      <w:proofErr w:type="spellEnd"/>
      <w:r>
        <w:t xml:space="preserve"> </w:t>
      </w:r>
      <w:proofErr w:type="spellStart"/>
      <w:r>
        <w:t>frontrunners</w:t>
      </w:r>
      <w:proofErr w:type="spellEnd"/>
      <w:r>
        <w:t xml:space="preserve">‘ ausprobiert, die Erfahrung wird dann gesammelt auf der Webseite: </w:t>
      </w:r>
      <w:r w:rsidRPr="000D10E3">
        <w:t xml:space="preserve">Innovation </w:t>
      </w:r>
      <w:proofErr w:type="spellStart"/>
      <w:r w:rsidRPr="000D10E3">
        <w:t>Centre</w:t>
      </w:r>
      <w:proofErr w:type="spellEnd"/>
      <w:r w:rsidRPr="000D10E3">
        <w:t xml:space="preserve"> </w:t>
      </w:r>
      <w:proofErr w:type="spellStart"/>
      <w:r w:rsidRPr="000D10E3">
        <w:t>for</w:t>
      </w:r>
      <w:proofErr w:type="spellEnd"/>
      <w:r w:rsidRPr="000D10E3">
        <w:t xml:space="preserve"> Industrial Transformation and </w:t>
      </w:r>
      <w:proofErr w:type="spellStart"/>
      <w:r w:rsidRPr="000D10E3">
        <w:t>Emissions</w:t>
      </w:r>
      <w:proofErr w:type="spellEnd"/>
      <w:r w:rsidRPr="000D10E3">
        <w:t xml:space="preserve"> (INCITE)</w:t>
      </w:r>
      <w:r>
        <w:rPr>
          <w:rStyle w:val="Funotenzeichen"/>
        </w:rPr>
        <w:footnoteReference w:id="1458"/>
      </w:r>
      <w:r>
        <w:t>, die derzeit nur für die Chemieindustrie ausgelegt ist. Ab 2030 oder 2034 muss, so die Richtlinie, die Industrie dann Transformationspläne vorliegen, aus denen hervorgeht, wie sie 2050 Nullemissionen erreichen will.</w:t>
      </w:r>
      <w:r>
        <w:rPr>
          <w:rStyle w:val="Funotenzeichen"/>
        </w:rPr>
        <w:footnoteReference w:id="1459"/>
      </w:r>
      <w:r>
        <w:t xml:space="preserve"> Hierzu wird ein EU Industrial </w:t>
      </w:r>
      <w:proofErr w:type="spellStart"/>
      <w:r>
        <w:t>Emissions</w:t>
      </w:r>
      <w:proofErr w:type="spellEnd"/>
      <w:r>
        <w:t xml:space="preserve"> Portal (einen Vorläufer gibt es schon)</w:t>
      </w:r>
      <w:r>
        <w:rPr>
          <w:rStyle w:val="Funotenzeichen"/>
        </w:rPr>
        <w:footnoteReference w:id="1460"/>
      </w:r>
      <w:r>
        <w:t xml:space="preserve"> aufgebaut, auf dem jeder sehen kann, wie viel Firmen emittieren.</w:t>
      </w:r>
      <w:r>
        <w:rPr>
          <w:rStyle w:val="Funotenzeichen"/>
        </w:rPr>
        <w:footnoteReference w:id="1461"/>
      </w:r>
      <w:r>
        <w:t xml:space="preserve"> Beste verfügbare Technik (‚</w:t>
      </w:r>
      <w:proofErr w:type="spellStart"/>
      <w:r>
        <w:t>best</w:t>
      </w:r>
      <w:proofErr w:type="spellEnd"/>
      <w:r>
        <w:t xml:space="preserve"> </w:t>
      </w:r>
      <w:proofErr w:type="spellStart"/>
      <w:r>
        <w:t>available</w:t>
      </w:r>
      <w:proofErr w:type="spellEnd"/>
      <w:r>
        <w:t xml:space="preserve"> </w:t>
      </w:r>
      <w:proofErr w:type="spellStart"/>
      <w:r>
        <w:t>technique</w:t>
      </w:r>
      <w:proofErr w:type="spellEnd"/>
      <w:r>
        <w:t>‘ BAT Referenzdokumente finden sich auf dieser Webseite.</w:t>
      </w:r>
      <w:r>
        <w:rPr>
          <w:rStyle w:val="Funotenzeichen"/>
        </w:rPr>
        <w:footnoteReference w:id="1462"/>
      </w:r>
      <w:r>
        <w:t xml:space="preserve"> Dieses Richtlinie ist auf Widerstand gestoßen und hat zu Diskussionen geführt</w:t>
      </w:r>
      <w:r>
        <w:rPr>
          <w:rStyle w:val="Funotenzeichen"/>
        </w:rPr>
        <w:footnoteReference w:id="1463"/>
      </w:r>
      <w:r>
        <w:t xml:space="preserve">, sie wird aber weiterverfolgt. </w:t>
      </w:r>
      <w:proofErr w:type="spellStart"/>
      <w:r w:rsidR="004C354A" w:rsidRPr="003042FA">
        <w:rPr>
          <w:lang w:val="en-GB"/>
        </w:rPr>
        <w:t>Weiterhin</w:t>
      </w:r>
      <w:proofErr w:type="spellEnd"/>
      <w:r w:rsidR="004C354A" w:rsidRPr="003042FA">
        <w:rPr>
          <w:lang w:val="en-GB"/>
        </w:rPr>
        <w:t xml:space="preserve">: </w:t>
      </w:r>
      <w:r w:rsidR="004C354A">
        <w:rPr>
          <w:lang w:val="en-GB"/>
        </w:rPr>
        <w:t xml:space="preserve">5. April 2022. </w:t>
      </w:r>
      <w:r w:rsidR="004C354A" w:rsidRPr="00FE11F2">
        <w:rPr>
          <w:lang w:val="en-GB"/>
        </w:rPr>
        <w:t>Proposals to modernise EU industrial emissions rules to steer large industry in long-term green transition</w:t>
      </w:r>
      <w:r w:rsidR="004C354A">
        <w:rPr>
          <w:lang w:val="en-GB"/>
        </w:rPr>
        <w:t>.</w:t>
      </w:r>
      <w:r w:rsidR="004C354A">
        <w:rPr>
          <w:rStyle w:val="Funotenzeichen"/>
          <w:lang w:val="en-GB"/>
        </w:rPr>
        <w:footnoteReference w:id="1464"/>
      </w:r>
      <w:r w:rsidR="004C354A">
        <w:rPr>
          <w:lang w:val="en-GB"/>
        </w:rPr>
        <w:t xml:space="preserve"> 5. April 2022. </w:t>
      </w:r>
      <w:r w:rsidR="004C354A" w:rsidRPr="00FE11F2">
        <w:rPr>
          <w:lang w:val="en-GB"/>
        </w:rPr>
        <w:t>Proposals to phase down fluorinated greenhouse gases and ozone depleting substances</w:t>
      </w:r>
      <w:r w:rsidR="004C354A">
        <w:rPr>
          <w:lang w:val="en-GB"/>
        </w:rPr>
        <w:t>.</w:t>
      </w:r>
      <w:r w:rsidR="004C354A">
        <w:rPr>
          <w:rStyle w:val="Funotenzeichen"/>
        </w:rPr>
        <w:footnoteReference w:id="1465"/>
      </w:r>
      <w:r w:rsidR="004C354A">
        <w:rPr>
          <w:lang w:val="en-GB"/>
        </w:rPr>
        <w:t xml:space="preserve"> </w:t>
      </w:r>
      <w:r w:rsidR="004C354A" w:rsidRPr="00FE11F2">
        <w:t>22. April 2022. Die EU verspricht ihre Aktivitäten bis 2030 Klimaneutral zu machen.</w:t>
      </w:r>
    </w:p>
    <w:p w14:paraId="0B5BE150" w14:textId="77777777" w:rsidR="00112190" w:rsidRDefault="00112190" w:rsidP="00112190"/>
    <w:p w14:paraId="63ECD09F" w14:textId="77777777" w:rsidR="00AC777D" w:rsidRDefault="00112190" w:rsidP="00112190">
      <w:r w:rsidRPr="00FF322B">
        <w:rPr>
          <w:u w:val="single"/>
        </w:rPr>
        <w:t>8. Mai 2022</w:t>
      </w:r>
      <w:r>
        <w:t xml:space="preserve">. Nach dem russischen Angriff auf die Ukraine, wurde </w:t>
      </w:r>
      <w:proofErr w:type="spellStart"/>
      <w:r>
        <w:t>REPowerEU</w:t>
      </w:r>
      <w:proofErr w:type="spellEnd"/>
      <w:r>
        <w:t xml:space="preserve"> vorgestellt, ein Mix von Maßnahmen.</w:t>
      </w:r>
      <w:r>
        <w:rPr>
          <w:rStyle w:val="Funotenzeichen"/>
        </w:rPr>
        <w:footnoteReference w:id="1466"/>
      </w:r>
      <w:r>
        <w:t xml:space="preserve"> Siehe dazu die erzählerische Darstellung der Kommission in </w:t>
      </w:r>
      <w:r w:rsidRPr="00B175EA">
        <w:t>COM (2022) 230 final</w:t>
      </w:r>
      <w:r>
        <w:t xml:space="preserve">, die sichtbar macht, dass </w:t>
      </w:r>
      <w:proofErr w:type="spellStart"/>
      <w:r>
        <w:t>REPowerEU</w:t>
      </w:r>
      <w:proofErr w:type="spellEnd"/>
      <w:r>
        <w:t xml:space="preserve"> auf den schon bestehenden Maßnahmen zum Ausbau erneuerbarer Energien aufbauen soll und, siehe unten, auch mit den Fit </w:t>
      </w:r>
      <w:proofErr w:type="spellStart"/>
      <w:r>
        <w:t>for</w:t>
      </w:r>
      <w:proofErr w:type="spellEnd"/>
      <w:r>
        <w:t xml:space="preserve"> 55 Maßnahmen abgestimmt sein soll.</w:t>
      </w:r>
      <w:r>
        <w:rPr>
          <w:rStyle w:val="Funotenzeichen"/>
        </w:rPr>
        <w:footnoteReference w:id="1467"/>
      </w:r>
      <w:r>
        <w:t xml:space="preserve"> Siehe auch die Informationen hier, mitsamt Timeline.</w:t>
      </w:r>
      <w:r>
        <w:rPr>
          <w:rStyle w:val="Funotenzeichen"/>
        </w:rPr>
        <w:footnoteReference w:id="1468"/>
      </w:r>
      <w:r w:rsidRPr="005E3FD4">
        <w:t xml:space="preserve"> </w:t>
      </w:r>
    </w:p>
    <w:p w14:paraId="63CF2CAD" w14:textId="77777777" w:rsidR="00AC777D" w:rsidRDefault="00AC777D" w:rsidP="00112190"/>
    <w:p w14:paraId="5EDF776D" w14:textId="0F0C3EBA" w:rsidR="00112190" w:rsidRDefault="00112190" w:rsidP="00112190">
      <w:bookmarkStart w:id="70" w:name="_Hlk195911149"/>
      <w:proofErr w:type="spellStart"/>
      <w:r>
        <w:t>REPowerEU</w:t>
      </w:r>
      <w:proofErr w:type="spellEnd"/>
      <w:r>
        <w:t xml:space="preserve"> hat zu hohen Kosten und einer hohen Kreditaufnahme geführt. 300 Mrd. Euro wurden mobilisiert, 72 Mrd. in Form von Zuschüssen, 225 Mrd. in Form von Darlehen, davon fließen 10 Mrd. in fehlende Gas- und Flüssiggasverbindungen, 2 Mrd. fließen in die Ölinfrastruktur, um die Lieferung von russischem Öl einzustellen, der Rest bzw. 95 % fließt in die Beschleunigung der Energiewende</w:t>
      </w:r>
      <w:r>
        <w:rPr>
          <w:rStyle w:val="Funotenzeichen"/>
        </w:rPr>
        <w:footnoteReference w:id="1469"/>
      </w:r>
      <w:r>
        <w:t>, diese Kosten wurden auf viele Töpfe der EU verteilt und teils durch den Emissionshandel gedeckt.</w:t>
      </w:r>
      <w:r>
        <w:rPr>
          <w:rStyle w:val="Funotenzeichen"/>
        </w:rPr>
        <w:footnoteReference w:id="1470"/>
      </w:r>
      <w:r>
        <w:t xml:space="preserve"> </w:t>
      </w:r>
      <w:bookmarkEnd w:id="70"/>
      <w:r>
        <w:t>Ernst and Young schreiben, dass deshalb teils die Versteigerung von EU-Emissionszertifikaten vorgezogen wurde.</w:t>
      </w:r>
      <w:r>
        <w:rPr>
          <w:rStyle w:val="Funotenzeichen"/>
        </w:rPr>
        <w:footnoteReference w:id="1471"/>
      </w:r>
      <w:r>
        <w:t xml:space="preserve"> Dies ist hier zu finden: Die Entnahme von 20 Mrd. findet sich in Art. 21a in Verordnung (EU) 2023/453, 27. Februar 2023, wobei die Mitgliedstaaten diese Gelder per Projektantrag zurückerhalten können.</w:t>
      </w:r>
      <w:r>
        <w:rPr>
          <w:rStyle w:val="Funotenzeichen"/>
        </w:rPr>
        <w:footnoteReference w:id="1472"/>
      </w:r>
      <w:r>
        <w:t xml:space="preserve"> Siehe oben, auch Wasserstoffprojekte wurden von </w:t>
      </w:r>
      <w:proofErr w:type="spellStart"/>
      <w:r>
        <w:t>REPowerEU</w:t>
      </w:r>
      <w:proofErr w:type="spellEnd"/>
      <w:r>
        <w:t xml:space="preserve"> angestoßen.</w:t>
      </w:r>
      <w:r w:rsidRPr="00211F50">
        <w:rPr>
          <w:rStyle w:val="Funotenzeichen"/>
        </w:rPr>
        <w:t xml:space="preserve"> </w:t>
      </w:r>
      <w:r>
        <w:rPr>
          <w:rStyle w:val="Funotenzeichen"/>
        </w:rPr>
        <w:footnoteReference w:id="1473"/>
      </w:r>
    </w:p>
    <w:p w14:paraId="3DF587BC" w14:textId="77777777" w:rsidR="00112190" w:rsidRDefault="00112190" w:rsidP="00112190"/>
    <w:p w14:paraId="357BB2F3" w14:textId="11263ADF" w:rsidR="006B132B" w:rsidRDefault="00112190" w:rsidP="00112190">
      <w:bookmarkStart w:id="71" w:name="_Hlk198233665"/>
      <w:r>
        <w:t xml:space="preserve">Die Kommission schlägt in COM (2022) 230 final vor, dass </w:t>
      </w:r>
      <w:r w:rsidRPr="00BF1097">
        <w:rPr>
          <w:u w:val="single"/>
        </w:rPr>
        <w:t xml:space="preserve">in </w:t>
      </w:r>
      <w:r w:rsidR="00B3080D">
        <w:rPr>
          <w:u w:val="single"/>
        </w:rPr>
        <w:t>der neuen</w:t>
      </w:r>
      <w:r w:rsidRPr="00BF1097">
        <w:rPr>
          <w:u w:val="single"/>
        </w:rPr>
        <w:t xml:space="preserve"> </w:t>
      </w:r>
      <w:r w:rsidR="00AC777D">
        <w:rPr>
          <w:u w:val="single"/>
        </w:rPr>
        <w:t>E</w:t>
      </w:r>
      <w:r w:rsidRPr="00BF1097">
        <w:rPr>
          <w:u w:val="single"/>
        </w:rPr>
        <w:t>rneuerbaren</w:t>
      </w:r>
      <w:r w:rsidR="00AC777D">
        <w:rPr>
          <w:u w:val="single"/>
        </w:rPr>
        <w:t>-</w:t>
      </w:r>
      <w:r w:rsidRPr="00BF1097">
        <w:rPr>
          <w:u w:val="single"/>
        </w:rPr>
        <w:t>Energien</w:t>
      </w:r>
      <w:r w:rsidR="00AC777D">
        <w:rPr>
          <w:u w:val="single"/>
        </w:rPr>
        <w:t>-</w:t>
      </w:r>
      <w:r w:rsidRPr="00BF1097">
        <w:rPr>
          <w:u w:val="single"/>
        </w:rPr>
        <w:t xml:space="preserve">Richtlinie </w:t>
      </w:r>
      <w:r w:rsidR="005C4480">
        <w:rPr>
          <w:u w:val="single"/>
        </w:rPr>
        <w:t xml:space="preserve">(RED II) </w:t>
      </w:r>
      <w:r w:rsidRPr="00BF1097">
        <w:rPr>
          <w:u w:val="single"/>
        </w:rPr>
        <w:t>nun 45 % 2030 zu erreichen sind,</w:t>
      </w:r>
      <w:r>
        <w:t xml:space="preserve"> </w:t>
      </w:r>
      <w:r w:rsidRPr="008B0EB8">
        <w:rPr>
          <w:u w:val="single"/>
        </w:rPr>
        <w:t>wobei 1236 GW Kapazität im Bereich erneuerbare Energien bis 2030 erreichen werden muss</w:t>
      </w:r>
      <w:r>
        <w:t xml:space="preserve"> (Fit </w:t>
      </w:r>
      <w:proofErr w:type="spellStart"/>
      <w:r>
        <w:t>for</w:t>
      </w:r>
      <w:proofErr w:type="spellEnd"/>
      <w:r>
        <w:t xml:space="preserve"> 55 war von 1067 GW bis 2030 ausgegangen). </w:t>
      </w:r>
      <w:r w:rsidRPr="00BF1097">
        <w:rPr>
          <w:u w:val="single"/>
        </w:rPr>
        <w:t>Bis 2025 sollten 320 GW Solar installiert werden und 600 GW bis 2030.</w:t>
      </w:r>
      <w:r>
        <w:t xml:space="preserve"> Dazu wird eine Solarstrategie entwickelt und eine European Solar </w:t>
      </w:r>
      <w:proofErr w:type="spellStart"/>
      <w:r>
        <w:t>Rooftop</w:t>
      </w:r>
      <w:proofErr w:type="spellEnd"/>
      <w:r>
        <w:t xml:space="preserve"> Initiative gestartet. Investitionen des Horizon Europe Programms in ‚Hydrogen Valleys‘ von 200 Mill. Euro soll erhöht werden. Angeregt wird, dass 10 Millionen Wärmepumpen in den nächsten 5 Jahren installiert werden sollen, also bis 2027. 2023 sollen Ökodesign-Regeln für Solar entwickelt werden und für Wärmepumpen überarbeitet. </w:t>
      </w:r>
      <w:r w:rsidRPr="0065666F">
        <w:t>Bis 2030 solle 20 Millionen Tonnen Wasserstoff in der EU verfügbar sein und in Pipelines transportiert werden können, davon könnten bis zu 10 Millionen importiert werden</w:t>
      </w:r>
      <w:r>
        <w:t>.</w:t>
      </w:r>
      <w:r>
        <w:rPr>
          <w:rStyle w:val="Funotenzeichen"/>
        </w:rPr>
        <w:footnoteReference w:id="1474"/>
      </w:r>
      <w:r w:rsidR="00412A3E">
        <w:t xml:space="preserve"> </w:t>
      </w:r>
      <w:r w:rsidR="0065666F">
        <w:t xml:space="preserve">(siehe schon oben zur </w:t>
      </w:r>
      <w:proofErr w:type="spellStart"/>
      <w:r w:rsidR="0065666F">
        <w:t>RePowerEU</w:t>
      </w:r>
      <w:proofErr w:type="spellEnd"/>
      <w:r w:rsidR="0065666F">
        <w:t xml:space="preserve"> </w:t>
      </w:r>
      <w:r w:rsidR="0065666F">
        <w:lastRenderedPageBreak/>
        <w:t xml:space="preserve">und zur </w:t>
      </w:r>
      <w:proofErr w:type="gramStart"/>
      <w:r w:rsidR="0065666F">
        <w:t>EU Wasserstoffstrategie</w:t>
      </w:r>
      <w:proofErr w:type="gramEnd"/>
      <w:r w:rsidR="0065666F">
        <w:rPr>
          <w:rStyle w:val="Funotenzeichen"/>
        </w:rPr>
        <w:footnoteReference w:id="1475"/>
      </w:r>
      <w:r w:rsidR="0065666F">
        <w:t>).</w:t>
      </w:r>
      <w:r w:rsidR="00C406E5">
        <w:t xml:space="preserve"> Horizon Europe ist der Forschungs- und Innovationsfond der EU und ist von 2021-2027 mit 93,5 Mill. Euro ausgestattet worden.</w:t>
      </w:r>
      <w:r w:rsidR="00C406E5">
        <w:rPr>
          <w:rStyle w:val="Funotenzeichen"/>
        </w:rPr>
        <w:footnoteReference w:id="1476"/>
      </w:r>
      <w:r w:rsidR="00C406E5">
        <w:t xml:space="preserve"> </w:t>
      </w:r>
    </w:p>
    <w:p w14:paraId="665C1753" w14:textId="77777777" w:rsidR="006B132B" w:rsidRDefault="006B132B" w:rsidP="00112190"/>
    <w:p w14:paraId="0F6509CC" w14:textId="7D5D0584" w:rsidR="00112190" w:rsidRDefault="00412A3E" w:rsidP="00112190">
      <w:r>
        <w:t xml:space="preserve">Die </w:t>
      </w:r>
      <w:r w:rsidR="007B64FD">
        <w:t xml:space="preserve">aktuelle </w:t>
      </w:r>
      <w:r>
        <w:t xml:space="preserve">Erneuerbare Energien Richtlinie </w:t>
      </w:r>
      <w:r w:rsidR="007B64FD">
        <w:t xml:space="preserve">(EU) 2018/2001 </w:t>
      </w:r>
      <w:r>
        <w:t>(keine Verordnung, muss als nicht 1/1 in die nationale Gesetzgebung umgesetzt werden) wurde am 18. Oktober 2023 verabschiedet (</w:t>
      </w:r>
      <w:proofErr w:type="spellStart"/>
      <w:r>
        <w:t>renewable</w:t>
      </w:r>
      <w:proofErr w:type="spellEnd"/>
      <w:r>
        <w:t xml:space="preserve"> </w:t>
      </w:r>
      <w:proofErr w:type="spellStart"/>
      <w:r>
        <w:t>energy</w:t>
      </w:r>
      <w:proofErr w:type="spellEnd"/>
      <w:r>
        <w:t xml:space="preserve"> </w:t>
      </w:r>
      <w:proofErr w:type="spellStart"/>
      <w:r>
        <w:t>directive</w:t>
      </w:r>
      <w:proofErr w:type="spellEnd"/>
      <w:r>
        <w:t>, RED III)</w:t>
      </w:r>
      <w:r w:rsidR="006B132B">
        <w:t xml:space="preserve">, in dieser Richtlinie geht es darum, dass 2030 42,5 % des </w:t>
      </w:r>
      <w:r w:rsidR="00C46ED4">
        <w:t>Bruttoenergieverbrauch von Strom, Wärme/Kälte und Verkehr</w:t>
      </w:r>
      <w:r w:rsidR="00B3080D">
        <w:t>, wenn möglich 45 %,</w:t>
      </w:r>
      <w:r w:rsidR="006B132B">
        <w:t xml:space="preserve"> in der EU aus erneuerbaren Energien besteht</w:t>
      </w:r>
      <w:r w:rsidR="00B3080D">
        <w:t>, es gibt dort detaillierte Regeln</w:t>
      </w:r>
      <w:r w:rsidR="00E75DA5">
        <w:t xml:space="preserve"> </w:t>
      </w:r>
      <w:r w:rsidR="00B3080D">
        <w:t xml:space="preserve">für Industrie, Wärme etc., </w:t>
      </w:r>
      <w:r w:rsidR="00E75DA5">
        <w:t>bei denen unter bestimmten Bedingungen geringere Werte eingehalten werden müssen.</w:t>
      </w:r>
      <w:r>
        <w:rPr>
          <w:rStyle w:val="Funotenzeichen"/>
        </w:rPr>
        <w:footnoteReference w:id="1477"/>
      </w:r>
      <w:r>
        <w:t xml:space="preserve"> </w:t>
      </w:r>
      <w:r w:rsidR="00E75DA5">
        <w:t>Bis 2030 soll in der Industrie 42 % grüner Wasserstoff verbraucht werden, dies kann aber unter bestimmten Bedingungen um 20 % reduziert werden, siehe Art. 22b Abs. 1 (b).</w:t>
      </w:r>
      <w:r w:rsidR="00E75DA5" w:rsidRPr="00E75DA5">
        <w:rPr>
          <w:rStyle w:val="Funotenzeichen"/>
        </w:rPr>
        <w:t xml:space="preserve"> </w:t>
      </w:r>
      <w:r w:rsidR="00E75DA5">
        <w:rPr>
          <w:rStyle w:val="Funotenzeichen"/>
        </w:rPr>
        <w:footnoteReference w:id="1478"/>
      </w:r>
      <w:r w:rsidR="00E75DA5">
        <w:t xml:space="preserve"> Eine gewisse Verpflichtung in der Industrie grünen Wasserstoff einzusetzen bleibt aber bestehen, die die damit verbundenen Probleme, etwa dass es gut wären, wenn Wasserstoffpipelines fertig sein sollten</w:t>
      </w:r>
      <w:r w:rsidR="00E75DA5">
        <w:rPr>
          <w:rStyle w:val="Funotenzeichen"/>
        </w:rPr>
        <w:footnoteReference w:id="1479"/>
      </w:r>
      <w:r w:rsidR="00E75DA5">
        <w:t xml:space="preserve"> (es muss aber sicher nicht alles fertig sein!!!). </w:t>
      </w:r>
      <w:r w:rsidR="00215B0F">
        <w:t>Siehe hier die</w:t>
      </w:r>
      <w:r w:rsidR="006B132B">
        <w:t xml:space="preserve"> Vorgänger-Richtlinie RED II 2018/2001 der EU.</w:t>
      </w:r>
      <w:r w:rsidR="006B132B">
        <w:rPr>
          <w:rStyle w:val="Funotenzeichen"/>
        </w:rPr>
        <w:footnoteReference w:id="1480"/>
      </w:r>
      <w:r w:rsidR="006B132B">
        <w:t xml:space="preserve"> </w:t>
      </w:r>
      <w:r w:rsidR="00B07432">
        <w:t>RED III ist</w:t>
      </w:r>
      <w:r w:rsidR="00C46ED4">
        <w:t xml:space="preserve"> </w:t>
      </w:r>
      <w:r w:rsidR="00B07432">
        <w:t>umstritten</w:t>
      </w:r>
      <w:r w:rsidR="00215B0F">
        <w:t>:</w:t>
      </w:r>
      <w:r w:rsidR="00B07432">
        <w:t xml:space="preserve"> Im Rat der Europäischen Union haben 5 Mitgliedsländer erklärt haben (Belgien, Irland, Lettland, Polen, Rumänien, Slowakei) dass das 45 % erneuerbare Energie Ziel bis 2030 unrealistisch oder schwer zu erreichen sei, Polen merkt an, dass es RED III gar nicht unterstützt und hält eine „ablehnender Haltung gegenüber dem gesamten Paket ‚Fit für 55‘“ fest, siehe </w:t>
      </w:r>
      <w:r w:rsidR="00B07432" w:rsidRPr="000A7FA6">
        <w:t>Vermerk 13188/23 ADD 1 REV 3 (Oktober 2023)</w:t>
      </w:r>
      <w:r w:rsidR="00B07432">
        <w:t>, hier das Dokument.</w:t>
      </w:r>
      <w:r w:rsidR="00B07432">
        <w:rPr>
          <w:rStyle w:val="Funotenzeichen"/>
        </w:rPr>
        <w:footnoteReference w:id="1481"/>
      </w:r>
      <w:r w:rsidR="00B07432">
        <w:t xml:space="preserve"> </w:t>
      </w:r>
      <w:r>
        <w:t>Die Bundesregierung hat ein Entwurf zu einem Gesetz zur Umsetzung vorgelegt, 20/11226, siehe hier.</w:t>
      </w:r>
      <w:r>
        <w:rPr>
          <w:rStyle w:val="Funotenzeichen"/>
        </w:rPr>
        <w:footnoteReference w:id="1482"/>
      </w:r>
      <w:r w:rsidR="00B3080D">
        <w:t xml:space="preserve"> </w:t>
      </w:r>
      <w:r w:rsidR="00BC453E">
        <w:t xml:space="preserve">RED III ist sicher eine </w:t>
      </w:r>
      <w:r w:rsidR="00BC4408">
        <w:t xml:space="preserve">der </w:t>
      </w:r>
      <w:proofErr w:type="spellStart"/>
      <w:r w:rsidR="00BC453E">
        <w:t>schillern</w:t>
      </w:r>
      <w:r w:rsidR="00BC4408">
        <w:t>sten</w:t>
      </w:r>
      <w:proofErr w:type="spellEnd"/>
      <w:r w:rsidR="00BC453E">
        <w:t xml:space="preserve"> EU Gesetzgebun</w:t>
      </w:r>
      <w:r w:rsidR="005F2D68">
        <w:t>g</w:t>
      </w:r>
      <w:r w:rsidR="00BC4408">
        <w:t>en, mit 128 Seiten und vielen Berechnungen</w:t>
      </w:r>
      <w:r w:rsidR="005F2D68">
        <w:t>:</w:t>
      </w:r>
      <w:r w:rsidR="00BC453E">
        <w:t xml:space="preserve"> </w:t>
      </w:r>
      <w:r w:rsidR="005F2D68">
        <w:t>N</w:t>
      </w:r>
      <w:r w:rsidR="00BC453E">
        <w:t>eben dem E</w:t>
      </w:r>
      <w:r w:rsidR="00AF611E">
        <w:t>uropäischen Emissionshandel</w:t>
      </w:r>
      <w:r w:rsidR="00BC453E">
        <w:t xml:space="preserve">, welcher aber vielleicht erst später wirkt, wird </w:t>
      </w:r>
      <w:r w:rsidR="00BC4408">
        <w:t>auf das</w:t>
      </w:r>
      <w:r w:rsidR="00BC453E">
        <w:t xml:space="preserve"> RED III Hoffnung gesetzt, dass es den Umbau in CO2-sparende Technologien anstoßen kann, </w:t>
      </w:r>
      <w:r w:rsidR="00215B0F">
        <w:t>z.B. den Wasserstoffeinsatz in der</w:t>
      </w:r>
      <w:r w:rsidR="00BC453E">
        <w:t xml:space="preserve"> Stahlindustrie.</w:t>
      </w:r>
      <w:r w:rsidR="00BC453E">
        <w:rPr>
          <w:rStyle w:val="Funotenzeichen"/>
        </w:rPr>
        <w:footnoteReference w:id="1483"/>
      </w:r>
      <w:r w:rsidR="00BC453E">
        <w:t xml:space="preserve"> </w:t>
      </w:r>
      <w:r w:rsidR="00AB6B90">
        <w:t>RED III enthält auch einen Genehmigungsvereinfachung für erneuerbare Energieprojekte, die an einer EU-Notfallverordnung anknüpft, die nur noch bis zum 30. Juni 2025 gilt, hier wird gefordert, dass RED III in Deutschland schneller umgesetzt werden sollte.</w:t>
      </w:r>
      <w:r w:rsidR="00AB6B90">
        <w:rPr>
          <w:rStyle w:val="Funotenzeichen"/>
        </w:rPr>
        <w:footnoteReference w:id="1484"/>
      </w:r>
      <w:r w:rsidR="00AB6B90">
        <w:t xml:space="preserve"> </w:t>
      </w:r>
      <w:r w:rsidR="00E75DA5">
        <w:t xml:space="preserve">Zum Thema der erneuerbaren Kraftstoffe wurden am 27.05.2025 weitere klärende Leitlinien veröffentlicht, diese beziehen sich auf eine </w:t>
      </w:r>
      <w:proofErr w:type="spellStart"/>
      <w:r w:rsidR="00E75DA5">
        <w:t>Revised</w:t>
      </w:r>
      <w:proofErr w:type="spellEnd"/>
      <w:r w:rsidR="00E75DA5">
        <w:t xml:space="preserve"> RED Version, es kann somit sein, dass es eine weitere Revision </w:t>
      </w:r>
      <w:r w:rsidR="00E75DA5">
        <w:lastRenderedPageBreak/>
        <w:t>gegeben hat</w:t>
      </w:r>
      <w:r w:rsidR="00E75DA5">
        <w:rPr>
          <w:rStyle w:val="Funotenzeichen"/>
        </w:rPr>
        <w:t>.</w:t>
      </w:r>
      <w:r w:rsidR="00E75DA5">
        <w:rPr>
          <w:rStyle w:val="Funotenzeichen"/>
        </w:rPr>
        <w:footnoteReference w:id="1485"/>
      </w:r>
      <w:r w:rsidR="00E75DA5">
        <w:t xml:space="preserve"> Siehe für einen Beschreibung der Regulierungen mit Bezug zu Wasserstoff, auch die Antworten der Europäischen Kommission hier.</w:t>
      </w:r>
      <w:r w:rsidR="00E75DA5">
        <w:rPr>
          <w:rStyle w:val="Funotenzeichen"/>
        </w:rPr>
        <w:footnoteReference w:id="1486"/>
      </w:r>
      <w:r w:rsidR="00215B0F">
        <w:t xml:space="preserve"> </w:t>
      </w:r>
      <w:r w:rsidR="00B07432">
        <w:t xml:space="preserve">Siehe </w:t>
      </w:r>
      <w:r w:rsidR="005F2D68">
        <w:t>auch</w:t>
      </w:r>
      <w:r w:rsidR="00B07432">
        <w:t xml:space="preserve"> Teil 2 und weiter unten hier.</w:t>
      </w:r>
    </w:p>
    <w:bookmarkEnd w:id="71"/>
    <w:p w14:paraId="32358A10" w14:textId="77777777" w:rsidR="00112190" w:rsidRDefault="00112190" w:rsidP="00112190"/>
    <w:tbl>
      <w:tblPr>
        <w:tblStyle w:val="Tabellenraster"/>
        <w:tblW w:w="0" w:type="auto"/>
        <w:tblLook w:val="04A0" w:firstRow="1" w:lastRow="0" w:firstColumn="1" w:lastColumn="0" w:noHBand="0" w:noVBand="1"/>
      </w:tblPr>
      <w:tblGrid>
        <w:gridCol w:w="9062"/>
      </w:tblGrid>
      <w:tr w:rsidR="009820DC" w14:paraId="0779ACB5" w14:textId="77777777" w:rsidTr="009820DC">
        <w:tc>
          <w:tcPr>
            <w:tcW w:w="9062" w:type="dxa"/>
          </w:tcPr>
          <w:p w14:paraId="253F7DF3" w14:textId="7E4C9CDE" w:rsidR="009820DC" w:rsidRDefault="009820DC" w:rsidP="00112190">
            <w:r>
              <w:t>RED II</w:t>
            </w:r>
            <w:r w:rsidR="007B64FD">
              <w:t>I (und auch RED II)</w:t>
            </w:r>
            <w:r>
              <w:t xml:space="preserve"> ermöglicht</w:t>
            </w:r>
            <w:r w:rsidR="007B64FD">
              <w:t>e</w:t>
            </w:r>
            <w:r>
              <w:t xml:space="preserve"> in Art. 8 den Verkauf von erreichten Prozentanteilen erneuerbarer Energien an andere </w:t>
            </w:r>
            <w:proofErr w:type="gramStart"/>
            <w:r>
              <w:t>EU Staaten</w:t>
            </w:r>
            <w:proofErr w:type="gramEnd"/>
            <w:r>
              <w:t>, dies wird als ‚statistische Transfers‘ bezeichnet.</w:t>
            </w:r>
            <w:r w:rsidR="007B64FD">
              <w:rPr>
                <w:rStyle w:val="Funotenzeichen"/>
              </w:rPr>
              <w:footnoteReference w:id="1487"/>
            </w:r>
            <w:r>
              <w:t xml:space="preserve"> </w:t>
            </w:r>
            <w:r w:rsidR="007B64FD">
              <w:t>Die Infos zur Zieler</w:t>
            </w:r>
            <w:r w:rsidR="00E277D2">
              <w:t>r</w:t>
            </w:r>
            <w:r w:rsidR="007B64FD">
              <w:t xml:space="preserve">eichung, damit man sehen kann, ob es einen Verkauf geben kann, werden auf der URDP Union </w:t>
            </w:r>
            <w:proofErr w:type="spellStart"/>
            <w:r w:rsidR="007B64FD">
              <w:t>Renewable</w:t>
            </w:r>
            <w:proofErr w:type="spellEnd"/>
            <w:r w:rsidR="007B64FD">
              <w:t xml:space="preserve"> Development </w:t>
            </w:r>
            <w:proofErr w:type="spellStart"/>
            <w:r w:rsidR="007B64FD">
              <w:t>Platform</w:t>
            </w:r>
            <w:proofErr w:type="spellEnd"/>
            <w:r w:rsidR="007B64FD">
              <w:rPr>
                <w:rStyle w:val="Funotenzeichen"/>
              </w:rPr>
              <w:footnoteReference w:id="1488"/>
            </w:r>
            <w:r w:rsidR="002B4E77">
              <w:t xml:space="preserve"> zur Verfügung gestellt, hier haben nur die EU Staaten Zugang.</w:t>
            </w:r>
          </w:p>
          <w:p w14:paraId="283D829B" w14:textId="77777777" w:rsidR="002B4E77" w:rsidRDefault="002B4E77" w:rsidP="00112190"/>
          <w:p w14:paraId="6AE8FE89" w14:textId="6F7F4993" w:rsidR="002B4E77" w:rsidRDefault="002B4E77" w:rsidP="00112190">
            <w:r>
              <w:t>Beispiel: Finnland hat 2020 44,6 % erneuerbare Energien-Anteil erreicht, damit hat es das Ziel für 2020 überschritten. Es was dadurch möglich, dass Finnland 2021 1376 GWh erneuerbare Energie für 18,6 Mill. Euro hat an Belgien verkauft hat. Danach hat Finnland immer noch sein Ziel einhalten können, es stand bei 43,8 %, immer noch über dem von der EU vorgegebenen Ziel von 38 %.</w:t>
            </w:r>
            <w:r>
              <w:rPr>
                <w:rStyle w:val="Funotenzeichen"/>
              </w:rPr>
              <w:footnoteReference w:id="1489"/>
            </w:r>
          </w:p>
        </w:tc>
      </w:tr>
    </w:tbl>
    <w:p w14:paraId="57369E72" w14:textId="77777777" w:rsidR="009820DC" w:rsidRDefault="009820DC" w:rsidP="00112190"/>
    <w:p w14:paraId="4AFE4F12" w14:textId="07C976C4" w:rsidR="00112190" w:rsidRDefault="00112190" w:rsidP="00112190">
      <w:r>
        <w:t xml:space="preserve">Zur EU Solarstrategie und der </w:t>
      </w:r>
      <w:proofErr w:type="spellStart"/>
      <w:r>
        <w:t>Rooftop</w:t>
      </w:r>
      <w:proofErr w:type="spellEnd"/>
      <w:r>
        <w:t xml:space="preserve"> Initiative wurde eine eigenständige Mitteilung der Kommission herausgegeben, die EU-Strategie für Solarenergie, COM (2022) 221 final, 18.05.2022, siehe hier.</w:t>
      </w:r>
      <w:r>
        <w:rPr>
          <w:rStyle w:val="Funotenzeichen"/>
        </w:rPr>
        <w:footnoteReference w:id="1490"/>
      </w:r>
      <w:r>
        <w:t xml:space="preserve"> In diesem Zusammenhang wurde eine europäische Industrieallianz für die </w:t>
      </w:r>
      <w:r w:rsidR="00E277D2">
        <w:t>Ph</w:t>
      </w:r>
      <w:r>
        <w:t>otovoltaikindustrie initiiert und gegründet, die European Solar PV Industry Alliance, ESIA.</w:t>
      </w:r>
      <w:r>
        <w:rPr>
          <w:rStyle w:val="Funotenzeichen"/>
        </w:rPr>
        <w:footnoteReference w:id="1491"/>
      </w:r>
      <w:r>
        <w:t xml:space="preserve"> Ziel ist es, bis 2025 eine europäische Produktion von 30 GW Solaranlagen aufzubauen, wodurch 400.000 Jobs ermöglicht werden können, siehe die Projektseite.</w:t>
      </w:r>
      <w:r>
        <w:rPr>
          <w:rStyle w:val="Funotenzeichen"/>
        </w:rPr>
        <w:footnoteReference w:id="1492"/>
      </w:r>
      <w:r>
        <w:t xml:space="preserve"> </w:t>
      </w:r>
    </w:p>
    <w:p w14:paraId="192C356A" w14:textId="77777777" w:rsidR="00112190" w:rsidRDefault="00112190" w:rsidP="00112190"/>
    <w:p w14:paraId="5009EF1C" w14:textId="77777777" w:rsidR="00112190" w:rsidRDefault="00112190" w:rsidP="00112190">
      <w:r>
        <w:t>Ab hier bricht nun die chronologische Darstellung ab, es werden nur noch mir wichtig erscheinende Vorhaben erwähnt:</w:t>
      </w:r>
    </w:p>
    <w:p w14:paraId="2826E994" w14:textId="77777777" w:rsidR="00112190" w:rsidRDefault="00112190" w:rsidP="00112190"/>
    <w:p w14:paraId="77DB9586" w14:textId="77777777" w:rsidR="00112190" w:rsidRDefault="00112190" w:rsidP="00112190">
      <w:r w:rsidRPr="00FF322B">
        <w:rPr>
          <w:u w:val="single"/>
        </w:rPr>
        <w:t>10. November 2022</w:t>
      </w:r>
      <w:r>
        <w:t>. Es wurde ein Vorschlag für eine Euro 7 Norm für Autoabgase vorgelegt.</w:t>
      </w:r>
      <w:r>
        <w:rPr>
          <w:rStyle w:val="Funotenzeichen"/>
        </w:rPr>
        <w:footnoteReference w:id="1493"/>
      </w:r>
      <w:r>
        <w:t xml:space="preserve"> Ein Zertifizierungsvorschlag für CSS vorgelegt.</w:t>
      </w:r>
      <w:r>
        <w:rPr>
          <w:rStyle w:val="Funotenzeichen"/>
        </w:rPr>
        <w:footnoteReference w:id="1494"/>
      </w:r>
      <w:r>
        <w:t xml:space="preserve"> </w:t>
      </w:r>
    </w:p>
    <w:p w14:paraId="3E042FD0" w14:textId="77777777" w:rsidR="00112190" w:rsidRDefault="00112190" w:rsidP="00112190"/>
    <w:p w14:paraId="41AB1B66" w14:textId="0D8A0B30" w:rsidR="00112190" w:rsidRDefault="00112190" w:rsidP="00112190">
      <w:r w:rsidRPr="00615A7B">
        <w:rPr>
          <w:u w:val="single"/>
        </w:rPr>
        <w:t>22. Dezember 2022</w:t>
      </w:r>
      <w:r>
        <w:t xml:space="preserve">. Nicht zu </w:t>
      </w:r>
      <w:proofErr w:type="spellStart"/>
      <w:r>
        <w:t>REPowerEU</w:t>
      </w:r>
      <w:proofErr w:type="spellEnd"/>
      <w:r>
        <w:t xml:space="preserve"> im engen Sinn</w:t>
      </w:r>
      <w:r w:rsidR="005F2D68">
        <w:t xml:space="preserve">, </w:t>
      </w:r>
      <w:r>
        <w:t>aber im weiten Sinn</w:t>
      </w:r>
      <w:r w:rsidR="005F2D68">
        <w:t>,</w:t>
      </w:r>
      <w:r>
        <w:t xml:space="preserve"> gehört eine </w:t>
      </w:r>
      <w:proofErr w:type="gramStart"/>
      <w:r>
        <w:t>EU Verordnung</w:t>
      </w:r>
      <w:proofErr w:type="gramEnd"/>
      <w:r>
        <w:t xml:space="preserve">, die den Ausbau erneuerbarer Energien als im öffentlichen Interesse ansieht und vorsieht, dass diese im Rahmen von Abwägungen, etwa Umweltverträglichkeitsprüfungen, Priorität </w:t>
      </w:r>
      <w:r>
        <w:lastRenderedPageBreak/>
        <w:t>erhalten. Allerdings sollte der Artenschutz dennoch gewährleistet werden, siehe VO (EU) 2022/2577, 22. Dezember 2022.</w:t>
      </w:r>
      <w:r>
        <w:rPr>
          <w:rStyle w:val="Funotenzeichen"/>
        </w:rPr>
        <w:footnoteReference w:id="1495"/>
      </w:r>
      <w:r>
        <w:t xml:space="preserve">  </w:t>
      </w:r>
    </w:p>
    <w:p w14:paraId="5C46F3EA" w14:textId="77777777" w:rsidR="00112190" w:rsidRDefault="00112190" w:rsidP="00112190"/>
    <w:p w14:paraId="684B054A" w14:textId="789214DE" w:rsidR="00391065" w:rsidRDefault="00112190" w:rsidP="00112190">
      <w:r w:rsidRPr="00FF322B">
        <w:rPr>
          <w:u w:val="single"/>
        </w:rPr>
        <w:t>1. Februar 2023</w:t>
      </w:r>
      <w:r>
        <w:t>. Entwickelt wurde ein Green Deal Industrial Plan</w:t>
      </w:r>
      <w:r>
        <w:rPr>
          <w:rStyle w:val="Funotenzeichen"/>
        </w:rPr>
        <w:footnoteReference w:id="1496"/>
      </w:r>
      <w:r>
        <w:t xml:space="preserve"> mit einem Net-Zero Industry Act</w:t>
      </w:r>
      <w:r>
        <w:rPr>
          <w:rStyle w:val="Funotenzeichen"/>
        </w:rPr>
        <w:footnoteReference w:id="1497"/>
      </w:r>
      <w:r>
        <w:t xml:space="preserve"> und einem Critical Raw Materials Act sowie einer Reform des Strommarkts.</w:t>
      </w:r>
      <w:r>
        <w:rPr>
          <w:rStyle w:val="Funotenzeichen"/>
        </w:rPr>
        <w:footnoteReference w:id="1498"/>
      </w:r>
      <w:r>
        <w:t xml:space="preserve"> </w:t>
      </w:r>
    </w:p>
    <w:p w14:paraId="756E2370" w14:textId="77777777" w:rsidR="00391065" w:rsidRDefault="00391065" w:rsidP="00112190"/>
    <w:p w14:paraId="7E691D5F" w14:textId="2A0516EB" w:rsidR="00391065" w:rsidRPr="00391065" w:rsidRDefault="0082736C" w:rsidP="00112190">
      <w:r>
        <w:t xml:space="preserve">Der </w:t>
      </w:r>
      <w:r w:rsidR="00391065" w:rsidRPr="00391065">
        <w:t xml:space="preserve">Critical Raw Material Act </w:t>
      </w:r>
      <w:r>
        <w:t>sieht vor die Produktion in der EU zu erhöhen und Quellen zu diversifizieren</w:t>
      </w:r>
      <w:r w:rsidR="00391065">
        <w:t>. Vorgesehen ist hier bis 2030: 10 % der EU-Konsumption bei der Extraktion, 40 % bei der Weiterverarbeitung, 25 % beim Recycling, nicht mehr als 65 % aus einem einzelnen Land. Hier sind bereits 47 strategische Projekte genehmigt worden.</w:t>
      </w:r>
      <w:r w:rsidR="00391065">
        <w:rPr>
          <w:rStyle w:val="Funotenzeichen"/>
        </w:rPr>
        <w:footnoteReference w:id="1499"/>
      </w:r>
      <w:r w:rsidR="00391065">
        <w:t xml:space="preserve"> Und es gibt </w:t>
      </w:r>
      <w:r>
        <w:t xml:space="preserve">bereits </w:t>
      </w:r>
      <w:r w:rsidR="00391065">
        <w:t xml:space="preserve">14 </w:t>
      </w:r>
      <w:r>
        <w:t>strategische P</w:t>
      </w:r>
      <w:r w:rsidR="00391065">
        <w:t>artnerschaften mit anderen Ländern.</w:t>
      </w:r>
      <w:r>
        <w:rPr>
          <w:rStyle w:val="Funotenzeichen"/>
        </w:rPr>
        <w:footnoteReference w:id="1500"/>
      </w:r>
    </w:p>
    <w:p w14:paraId="7BC37C5C" w14:textId="77777777" w:rsidR="00391065" w:rsidRPr="00391065" w:rsidRDefault="00391065" w:rsidP="00112190"/>
    <w:p w14:paraId="29084C60" w14:textId="2198BE26" w:rsidR="00112190" w:rsidRDefault="00112190" w:rsidP="00112190">
      <w:r>
        <w:t>Im Net-Zero Industry Act wird eine Verordnung (NZIA-</w:t>
      </w:r>
      <w:proofErr w:type="spellStart"/>
      <w:r>
        <w:t>Proposal</w:t>
      </w:r>
      <w:proofErr w:type="spellEnd"/>
      <w:r>
        <w:t xml:space="preserve">) vorgeschlagen, durch die Strategische Projekte für </w:t>
      </w:r>
      <w:r w:rsidR="003F6D2D">
        <w:t xml:space="preserve">sog. </w:t>
      </w:r>
      <w:r>
        <w:t>Netto-Null-Technologien gefördert werden können.</w:t>
      </w:r>
      <w:r w:rsidR="00292598" w:rsidRPr="00292598">
        <w:rPr>
          <w:rStyle w:val="Funotenzeichen"/>
        </w:rPr>
        <w:t xml:space="preserve"> </w:t>
      </w:r>
      <w:r w:rsidR="00292598" w:rsidRPr="00806331">
        <w:rPr>
          <w:rStyle w:val="Funotenzeichen"/>
        </w:rPr>
        <w:footnoteReference w:id="1501"/>
      </w:r>
      <w:r>
        <w:t xml:space="preserve"> Diskutiert wird </w:t>
      </w:r>
      <w:r w:rsidR="000E57DC">
        <w:t xml:space="preserve">von der EU </w:t>
      </w:r>
      <w:r>
        <w:t>in eine</w:t>
      </w:r>
      <w:r w:rsidR="000E57DC">
        <w:t>r</w:t>
      </w:r>
      <w:r>
        <w:t xml:space="preserve"> </w:t>
      </w:r>
      <w:r w:rsidR="000E57DC">
        <w:t xml:space="preserve">Studie </w:t>
      </w:r>
      <w:r>
        <w:t xml:space="preserve">wie stark / wettbewerbsfähig die europäische Industrie ist in den Bereichen: Solar, Offshore Wind, </w:t>
      </w:r>
      <w:proofErr w:type="spellStart"/>
      <w:r>
        <w:t>Onshore</w:t>
      </w:r>
      <w:proofErr w:type="spellEnd"/>
      <w:r>
        <w:t xml:space="preserve"> Wind, Batterie/Speicher, Wärmepumpen, Elektrolyseure </w:t>
      </w:r>
      <w:r w:rsidR="00C23870">
        <w:t>ist, wobei</w:t>
      </w:r>
      <w:r>
        <w:t xml:space="preserve"> </w:t>
      </w:r>
      <w:r>
        <w:lastRenderedPageBreak/>
        <w:t xml:space="preserve">Brennstoffzellen, Biomethan, Stromnetze (Smart </w:t>
      </w:r>
      <w:proofErr w:type="spellStart"/>
      <w:r>
        <w:t>Grid</w:t>
      </w:r>
      <w:proofErr w:type="spellEnd"/>
      <w:r>
        <w:t>)</w:t>
      </w:r>
      <w:r w:rsidR="00C23870">
        <w:t xml:space="preserve"> und</w:t>
      </w:r>
      <w:r>
        <w:t xml:space="preserve"> CSS-Technologien</w:t>
      </w:r>
      <w:r w:rsidR="00C23870">
        <w:t xml:space="preserve"> </w:t>
      </w:r>
      <w:r w:rsidR="00525820">
        <w:t>weniger detailliert einbezogen werden</w:t>
      </w:r>
      <w:r w:rsidRPr="00806331">
        <w:t>.</w:t>
      </w:r>
      <w:bookmarkStart w:id="72" w:name="_Hlk170299453"/>
      <w:r w:rsidR="00292598">
        <w:rPr>
          <w:rStyle w:val="Funotenzeichen"/>
        </w:rPr>
        <w:footnoteReference w:id="1502"/>
      </w:r>
      <w:r w:rsidRPr="00806331">
        <w:t xml:space="preserve"> </w:t>
      </w:r>
      <w:bookmarkStart w:id="73" w:name="_Hlk179672654"/>
      <w:bookmarkEnd w:id="72"/>
      <w:r w:rsidRPr="00806331">
        <w:rPr>
          <w:u w:val="single"/>
        </w:rPr>
        <w:t xml:space="preserve">Es soll </w:t>
      </w:r>
      <w:r w:rsidR="003F6D2D">
        <w:rPr>
          <w:u w:val="single"/>
        </w:rPr>
        <w:t xml:space="preserve">„mindestens annähernd“ </w:t>
      </w:r>
      <w:r w:rsidRPr="00806331">
        <w:rPr>
          <w:u w:val="single"/>
        </w:rPr>
        <w:t>40 % der Kapazität in diesen Bereichen von europäischen Unternehmen bis 2030 produziert werden, auch im Bereich Solar (derzeit 3 %</w:t>
      </w:r>
      <w:r w:rsidRPr="00806331">
        <w:t>)</w:t>
      </w:r>
      <w:r>
        <w:t>.</w:t>
      </w:r>
      <w:r>
        <w:rPr>
          <w:rStyle w:val="Funotenzeichen"/>
        </w:rPr>
        <w:footnoteReference w:id="1503"/>
      </w:r>
      <w:r>
        <w:t xml:space="preserve"> </w:t>
      </w:r>
      <w:r w:rsidR="007265D4">
        <w:t>Dies gilt auch für nicht genannte Elemente der Lieferkette, etwa Wechselrichter für Solarzellen, Wafer und Rohblöcke für Solarzellen und Kathoden und Anoden für Batterien.</w:t>
      </w:r>
      <w:r w:rsidR="007265D4" w:rsidRPr="007265D4">
        <w:rPr>
          <w:rStyle w:val="Funotenzeichen"/>
        </w:rPr>
        <w:t xml:space="preserve"> </w:t>
      </w:r>
      <w:r w:rsidR="007265D4">
        <w:rPr>
          <w:rStyle w:val="Funotenzeichen"/>
        </w:rPr>
        <w:footnoteReference w:id="1504"/>
      </w:r>
      <w:r w:rsidR="007265D4">
        <w:t xml:space="preserve"> </w:t>
      </w:r>
      <w:r>
        <w:t>Dazu wurde bereits, siehe oben, die European Solar PV Industry Alliance, ESIA, gegründet.</w:t>
      </w:r>
      <w:r>
        <w:rPr>
          <w:rStyle w:val="Funotenzeichen"/>
        </w:rPr>
        <w:footnoteReference w:id="1505"/>
      </w:r>
      <w:r>
        <w:t xml:space="preserve"> Ein europäischer Souveränitätsfond wird vorgeschlagen, überprüft werden soll, ob die Finanzmittel erhöht werden können für </w:t>
      </w:r>
      <w:proofErr w:type="spellStart"/>
      <w:r>
        <w:t>InvestEU</w:t>
      </w:r>
      <w:proofErr w:type="spellEnd"/>
      <w:r>
        <w:t>.</w:t>
      </w:r>
      <w:r>
        <w:rPr>
          <w:rStyle w:val="Funotenzeichen"/>
        </w:rPr>
        <w:footnoteReference w:id="1506"/>
      </w:r>
      <w:r>
        <w:t xml:space="preserve"> Diskutiert werden in einem eigenständigen Text die Investitionsbedürfnisse der Industrie, die bestehen, wenn man die NIZA Ziele erreichen möchte.</w:t>
      </w:r>
      <w:r>
        <w:rPr>
          <w:rStyle w:val="Funotenzeichen"/>
        </w:rPr>
        <w:footnoteReference w:id="1507"/>
      </w:r>
      <w:r>
        <w:t xml:space="preserve"> </w:t>
      </w:r>
    </w:p>
    <w:p w14:paraId="3E66B5B9" w14:textId="77777777" w:rsidR="00112190" w:rsidRDefault="00112190" w:rsidP="00112190"/>
    <w:p w14:paraId="4C8D64BA" w14:textId="71AE16E1" w:rsidR="00292598" w:rsidRDefault="007265D4" w:rsidP="00112190">
      <w:bookmarkStart w:id="75" w:name="_Hlk198233779"/>
      <w:r>
        <w:t xml:space="preserve">Geschätzt werden, dass zum Erreichen der </w:t>
      </w:r>
      <w:proofErr w:type="gramStart"/>
      <w:r>
        <w:t>NZIA Ziele</w:t>
      </w:r>
      <w:proofErr w:type="gramEnd"/>
      <w:r>
        <w:t xml:space="preserve"> 92 Mrd. Euro </w:t>
      </w:r>
      <w:r w:rsidR="00196DAB">
        <w:t xml:space="preserve">Investitionen durch die Industrie </w:t>
      </w:r>
      <w:r>
        <w:t>nötig sind.</w:t>
      </w:r>
      <w:r w:rsidRPr="007265D4">
        <w:rPr>
          <w:rStyle w:val="Funotenzeichen"/>
        </w:rPr>
        <w:t xml:space="preserve"> </w:t>
      </w:r>
      <w:r w:rsidR="00196DAB">
        <w:t xml:space="preserve"> Ein NZIA + Szenario, bei dem die </w:t>
      </w:r>
      <w:proofErr w:type="gramStart"/>
      <w:r w:rsidR="00196DAB">
        <w:t>EU Industrie</w:t>
      </w:r>
      <w:proofErr w:type="gramEnd"/>
      <w:r w:rsidR="00196DAB">
        <w:t xml:space="preserve"> überall 100 % erreicht, würde 116 Mrd. benötigen. Ein großer Teil davon, etwa beim </w:t>
      </w:r>
      <w:proofErr w:type="gramStart"/>
      <w:r w:rsidR="00196DAB">
        <w:t>NZIA Szenario</w:t>
      </w:r>
      <w:proofErr w:type="gramEnd"/>
      <w:r w:rsidR="00196DAB">
        <w:t>, sind Kosten für die Batterieindustrie (hier 68 Mrd.).</w:t>
      </w:r>
      <w:r>
        <w:rPr>
          <w:rStyle w:val="Funotenzeichen"/>
        </w:rPr>
        <w:footnoteReference w:id="1508"/>
      </w:r>
      <w:r w:rsidR="00196DAB">
        <w:t xml:space="preserve"> Derzeit kostet die Herstellung von Solarzellen ca. 25 bis 35 % mehr als in China und 15 % teurer als in den USA. Elektrolyseure kosten 25 % mehr. Dies kann sich aber durch Technologieveränderungen bzw. Innovationen ändern.</w:t>
      </w:r>
      <w:r w:rsidR="00196DAB">
        <w:rPr>
          <w:rStyle w:val="Funotenzeichen"/>
        </w:rPr>
        <w:footnoteReference w:id="1509"/>
      </w:r>
      <w:r w:rsidR="00196DAB">
        <w:t xml:space="preserve"> </w:t>
      </w:r>
      <w:bookmarkEnd w:id="75"/>
      <w:r w:rsidR="00196DAB">
        <w:t>Derzeit gibt es allerdings keinen vertikal integrierten Hersteller von Solarzellen in der EU, der Polysilizium</w:t>
      </w:r>
      <w:r w:rsidR="00420FEF">
        <w:t xml:space="preserve"> als Grundstoff</w:t>
      </w:r>
      <w:r w:rsidR="00196DAB">
        <w:t>, Ingots</w:t>
      </w:r>
      <w:r w:rsidR="00420FEF">
        <w:t xml:space="preserve"> (</w:t>
      </w:r>
      <w:proofErr w:type="gramStart"/>
      <w:r w:rsidR="00420FEF">
        <w:t>gegossene  Silizium</w:t>
      </w:r>
      <w:proofErr w:type="gramEnd"/>
      <w:r w:rsidR="00420FEF">
        <w:t>-Blöcke)</w:t>
      </w:r>
      <w:r w:rsidR="00196DAB">
        <w:t>, Wafers</w:t>
      </w:r>
      <w:r w:rsidR="00420FEF">
        <w:t xml:space="preserve"> (aus den Blöcken herausgesägte Platten)</w:t>
      </w:r>
      <w:r w:rsidR="00196DAB">
        <w:t>, Zellbeschichtung und Solarpanels in einem Haus herstellt.</w:t>
      </w:r>
      <w:r w:rsidR="00196DAB">
        <w:rPr>
          <w:rStyle w:val="Funotenzeichen"/>
        </w:rPr>
        <w:footnoteReference w:id="1510"/>
      </w:r>
      <w:r w:rsidR="00196DAB">
        <w:t xml:space="preserve"> </w:t>
      </w:r>
    </w:p>
    <w:p w14:paraId="25E12F6D" w14:textId="77777777" w:rsidR="00AF1BE7" w:rsidRDefault="00AF1BE7" w:rsidP="00112190"/>
    <w:p w14:paraId="52DD31CA" w14:textId="1016E8B9" w:rsidR="00AF1BE7" w:rsidRDefault="00AF1BE7" w:rsidP="00112190">
      <w:r>
        <w:t>Einen sehr guten</w:t>
      </w:r>
      <w:r w:rsidR="00126E56">
        <w:t xml:space="preserve"> </w:t>
      </w:r>
      <w:r>
        <w:t>Überblick</w:t>
      </w:r>
      <w:r w:rsidR="000E57DC">
        <w:t xml:space="preserve">, mit Infos über alle Produktionsschritte, </w:t>
      </w:r>
      <w:r>
        <w:t xml:space="preserve">im Bereich der erneuerbaren Energien gibt </w:t>
      </w:r>
      <w:r w:rsidR="000E57DC">
        <w:t xml:space="preserve">es </w:t>
      </w:r>
      <w:r w:rsidR="00126E56">
        <w:t xml:space="preserve">als </w:t>
      </w:r>
      <w:r>
        <w:t>Serie von 13 Berichten</w:t>
      </w:r>
      <w:r w:rsidR="00126E56">
        <w:t xml:space="preserve"> </w:t>
      </w:r>
      <w:r>
        <w:t xml:space="preserve">vom U.S. Department </w:t>
      </w:r>
      <w:proofErr w:type="spellStart"/>
      <w:r>
        <w:t>of</w:t>
      </w:r>
      <w:proofErr w:type="spellEnd"/>
      <w:r>
        <w:t xml:space="preserve"> Energy abgefasst wurden, im </w:t>
      </w:r>
      <w:r w:rsidR="000E57DC">
        <w:t xml:space="preserve">offiziellen </w:t>
      </w:r>
      <w:r>
        <w:t>Auftrag der U.S. Regierung</w:t>
      </w:r>
      <w:r w:rsidR="000E57DC">
        <w:t xml:space="preserve"> abgefa</w:t>
      </w:r>
      <w:r w:rsidR="00126E56">
        <w:t>ss</w:t>
      </w:r>
      <w:r w:rsidR="000E57DC">
        <w:t>t</w:t>
      </w:r>
      <w:r>
        <w:t>.</w:t>
      </w:r>
      <w:r>
        <w:rPr>
          <w:rStyle w:val="Funotenzeichen"/>
        </w:rPr>
        <w:footnoteReference w:id="1511"/>
      </w:r>
      <w:r>
        <w:t xml:space="preserve"> </w:t>
      </w:r>
      <w:r w:rsidR="00126E56">
        <w:t>In der EU gibt es sehr gute Berichte über erneuerbare Energien vom Clean Energy Technology Observatory (CETO).</w:t>
      </w:r>
      <w:r w:rsidR="00126E56">
        <w:rPr>
          <w:rStyle w:val="Funotenzeichen"/>
        </w:rPr>
        <w:footnoteReference w:id="1512"/>
      </w:r>
      <w:r w:rsidR="00126E56">
        <w:t xml:space="preserve"> </w:t>
      </w:r>
      <w:r>
        <w:t xml:space="preserve">Einen guten Überblick über die Situation der Industrie im Bereich erneuerbare Energien gibt auch die IEA, mit ihrem Bericht Energy Technology </w:t>
      </w:r>
      <w:proofErr w:type="spellStart"/>
      <w:r>
        <w:t>Perspectives</w:t>
      </w:r>
      <w:proofErr w:type="spellEnd"/>
      <w:r>
        <w:t>.</w:t>
      </w:r>
      <w:r>
        <w:rPr>
          <w:rStyle w:val="Funotenzeichen"/>
        </w:rPr>
        <w:footnoteReference w:id="1513"/>
      </w:r>
    </w:p>
    <w:p w14:paraId="1DA58D49" w14:textId="77777777" w:rsidR="00292598" w:rsidRDefault="00292598" w:rsidP="00112190"/>
    <w:p w14:paraId="0C6AC0FC" w14:textId="24CDA6EA" w:rsidR="00DF7A61" w:rsidRDefault="00DF7A61" w:rsidP="00DF7A61">
      <w:bookmarkStart w:id="76" w:name="_Hlk197018133"/>
      <w:r>
        <w:t>Übersichtstabelle</w:t>
      </w:r>
      <w:r w:rsidR="00412A3E">
        <w:t xml:space="preserve"> NZIA EU China Produktionskapazitäten</w:t>
      </w:r>
      <w:r w:rsidR="00525820">
        <w:rPr>
          <w:rStyle w:val="Funotenzeichen"/>
        </w:rPr>
        <w:footnoteReference w:id="1514"/>
      </w:r>
    </w:p>
    <w:p w14:paraId="767A4974" w14:textId="77777777" w:rsidR="00DF7A61" w:rsidRDefault="00DF7A61" w:rsidP="00DF7A61"/>
    <w:tbl>
      <w:tblPr>
        <w:tblStyle w:val="Tabellenraster"/>
        <w:tblW w:w="0" w:type="auto"/>
        <w:tblLook w:val="04A0" w:firstRow="1" w:lastRow="0" w:firstColumn="1" w:lastColumn="0" w:noHBand="0" w:noVBand="1"/>
      </w:tblPr>
      <w:tblGrid>
        <w:gridCol w:w="1665"/>
        <w:gridCol w:w="3453"/>
        <w:gridCol w:w="3944"/>
      </w:tblGrid>
      <w:tr w:rsidR="00783EEF" w14:paraId="588D995E" w14:textId="77777777" w:rsidTr="006D7A89">
        <w:tc>
          <w:tcPr>
            <w:tcW w:w="1413" w:type="dxa"/>
          </w:tcPr>
          <w:p w14:paraId="4C60D309" w14:textId="6B790774" w:rsidR="00DF7A61" w:rsidRDefault="00DF7A61" w:rsidP="00CD5089">
            <w:r>
              <w:lastRenderedPageBreak/>
              <w:t>Industrie</w:t>
            </w:r>
            <w:r w:rsidR="006D7A89">
              <w:t>-</w:t>
            </w:r>
            <w:r>
              <w:t>bereich</w:t>
            </w:r>
          </w:p>
        </w:tc>
        <w:tc>
          <w:tcPr>
            <w:tcW w:w="3544" w:type="dxa"/>
          </w:tcPr>
          <w:p w14:paraId="398CEFB0" w14:textId="77777777" w:rsidR="00DF7A61" w:rsidRDefault="00DF7A61" w:rsidP="00CD5089">
            <w:r>
              <w:t>EU</w:t>
            </w:r>
          </w:p>
        </w:tc>
        <w:tc>
          <w:tcPr>
            <w:tcW w:w="4105" w:type="dxa"/>
          </w:tcPr>
          <w:p w14:paraId="6ED41098" w14:textId="77777777" w:rsidR="00DF7A61" w:rsidRDefault="00DF7A61" w:rsidP="00CD5089">
            <w:r>
              <w:t>China</w:t>
            </w:r>
          </w:p>
        </w:tc>
      </w:tr>
      <w:tr w:rsidR="00783EEF" w14:paraId="56FB91AA" w14:textId="77777777" w:rsidTr="006D7A89">
        <w:tc>
          <w:tcPr>
            <w:tcW w:w="1413" w:type="dxa"/>
          </w:tcPr>
          <w:p w14:paraId="4B41989E" w14:textId="77777777" w:rsidR="00DF7A61" w:rsidRDefault="00DF7A61" w:rsidP="00CD5089">
            <w:r>
              <w:t>Solar</w:t>
            </w:r>
          </w:p>
        </w:tc>
        <w:tc>
          <w:tcPr>
            <w:tcW w:w="3544" w:type="dxa"/>
          </w:tcPr>
          <w:p w14:paraId="710F3BAB" w14:textId="6B0A7F57" w:rsidR="00DF7A61" w:rsidRDefault="00FB1957" w:rsidP="00CD5089">
            <w:r>
              <w:t xml:space="preserve">Anteil der </w:t>
            </w:r>
            <w:proofErr w:type="gramStart"/>
            <w:r>
              <w:t>EU Produktion</w:t>
            </w:r>
            <w:proofErr w:type="gramEnd"/>
            <w:r>
              <w:t xml:space="preserve"> am heimischen Bedarf (2022): 3 %</w:t>
            </w:r>
            <w:r>
              <w:rPr>
                <w:rStyle w:val="Funotenzeichen"/>
              </w:rPr>
              <w:footnoteReference w:id="1515"/>
            </w:r>
            <w:r w:rsidR="003F6D2D">
              <w:t xml:space="preserve">, </w:t>
            </w:r>
            <w:bookmarkStart w:id="77" w:name="_Hlk195129644"/>
            <w:proofErr w:type="gramStart"/>
            <w:r w:rsidR="00311E23">
              <w:t xml:space="preserve">NZIA </w:t>
            </w:r>
            <w:r w:rsidR="003F6D2D">
              <w:t>Ziel</w:t>
            </w:r>
            <w:proofErr w:type="gramEnd"/>
            <w:r w:rsidR="003F6D2D">
              <w:t xml:space="preserve"> </w:t>
            </w:r>
            <w:r w:rsidR="00311E23">
              <w:t xml:space="preserve">ist es </w:t>
            </w:r>
            <w:r w:rsidR="003F6D2D">
              <w:t>40 % erreichen, auch bei Ingots und Wafern, bis 2030 mindestens 30 Gigawatt Fertigungskapazität.</w:t>
            </w:r>
            <w:r w:rsidR="003F6D2D">
              <w:rPr>
                <w:rStyle w:val="Funotenzeichen"/>
              </w:rPr>
              <w:footnoteReference w:id="1516"/>
            </w:r>
            <w:bookmarkEnd w:id="77"/>
          </w:p>
          <w:p w14:paraId="5017B17A" w14:textId="77777777" w:rsidR="00627A77" w:rsidRDefault="00627A77" w:rsidP="00CD5089">
            <w:pPr>
              <w:rPr>
                <w:lang w:val="en-GB"/>
              </w:rPr>
            </w:pPr>
            <w:r>
              <w:t xml:space="preserve">Weltweit </w:t>
            </w:r>
            <w:r w:rsidR="00311E23">
              <w:t xml:space="preserve">gibt es </w:t>
            </w:r>
            <w:r>
              <w:t>140 GW Zell- und Modulproduktion, EU davon 14 % (2020).</w:t>
            </w:r>
            <w:r>
              <w:rPr>
                <w:rStyle w:val="Funotenzeichen"/>
              </w:rPr>
              <w:footnoteReference w:id="1517"/>
            </w:r>
            <w:r w:rsidR="00420FEF">
              <w:t xml:space="preserve"> </w:t>
            </w:r>
            <w:bookmarkStart w:id="78" w:name="_Hlk195129553"/>
            <w:r w:rsidR="00420FEF">
              <w:t>Die EU hat eine erfolgreiche Polysiliziumindustrie mit 21 % Weltmarktanteil (Wacker Chemie</w:t>
            </w:r>
            <w:r w:rsidR="00B77DBF">
              <w:t>, die auch in den USA produziert</w:t>
            </w:r>
            <w:r w:rsidR="00B77DBF">
              <w:rPr>
                <w:rStyle w:val="Funotenzeichen"/>
              </w:rPr>
              <w:footnoteReference w:id="1518"/>
            </w:r>
            <w:r w:rsidR="00420FEF">
              <w:t>), und auch eine spezialisierte Maschinenbauindustrie.</w:t>
            </w:r>
            <w:r w:rsidR="00311E23">
              <w:t xml:space="preserve"> aber wenig Herstellung von Ingots und Wafers.</w:t>
            </w:r>
            <w:r w:rsidR="00420FEF">
              <w:rPr>
                <w:rStyle w:val="Funotenzeichen"/>
              </w:rPr>
              <w:footnoteReference w:id="1519"/>
            </w:r>
            <w:bookmarkEnd w:id="78"/>
            <w:r w:rsidR="00346978">
              <w:t xml:space="preserve"> </w:t>
            </w:r>
            <w:proofErr w:type="spellStart"/>
            <w:r w:rsidR="00346978" w:rsidRPr="00311E23">
              <w:rPr>
                <w:lang w:val="en-GB"/>
              </w:rPr>
              <w:t>Infos</w:t>
            </w:r>
            <w:proofErr w:type="spellEnd"/>
            <w:r w:rsidR="00346978" w:rsidRPr="00311E23">
              <w:rPr>
                <w:lang w:val="en-GB"/>
              </w:rPr>
              <w:t xml:space="preserve"> </w:t>
            </w:r>
            <w:proofErr w:type="spellStart"/>
            <w:proofErr w:type="gramStart"/>
            <w:r w:rsidR="00346978" w:rsidRPr="00311E23">
              <w:rPr>
                <w:lang w:val="en-GB"/>
              </w:rPr>
              <w:t>zur</w:t>
            </w:r>
            <w:proofErr w:type="spellEnd"/>
            <w:r w:rsidR="00346978" w:rsidRPr="00311E23">
              <w:rPr>
                <w:lang w:val="en-GB"/>
              </w:rPr>
              <w:t xml:space="preserve"> USA</w:t>
            </w:r>
            <w:proofErr w:type="gramEnd"/>
            <w:r w:rsidR="00346978" w:rsidRPr="00311E23">
              <w:rPr>
                <w:lang w:val="en-GB"/>
              </w:rPr>
              <w:t xml:space="preserve"> </w:t>
            </w:r>
            <w:proofErr w:type="spellStart"/>
            <w:r w:rsidR="00346978" w:rsidRPr="00311E23">
              <w:rPr>
                <w:lang w:val="en-GB"/>
              </w:rPr>
              <w:t>siehe</w:t>
            </w:r>
            <w:proofErr w:type="spellEnd"/>
            <w:r w:rsidR="00346978" w:rsidRPr="00311E23">
              <w:rPr>
                <w:lang w:val="en-GB"/>
              </w:rPr>
              <w:t xml:space="preserve"> </w:t>
            </w:r>
            <w:proofErr w:type="spellStart"/>
            <w:r w:rsidR="00346978" w:rsidRPr="00311E23">
              <w:rPr>
                <w:lang w:val="en-GB"/>
              </w:rPr>
              <w:t>hier</w:t>
            </w:r>
            <w:proofErr w:type="spellEnd"/>
            <w:r w:rsidR="00346978" w:rsidRPr="00311E23">
              <w:rPr>
                <w:lang w:val="en-GB"/>
              </w:rPr>
              <w:t>, US Department of Energy.</w:t>
            </w:r>
            <w:r w:rsidR="00346978">
              <w:rPr>
                <w:rStyle w:val="Funotenzeichen"/>
              </w:rPr>
              <w:footnoteReference w:id="1520"/>
            </w:r>
            <w:r w:rsidR="00346978" w:rsidRPr="00311E23">
              <w:rPr>
                <w:lang w:val="en-GB"/>
              </w:rPr>
              <w:t xml:space="preserve"> </w:t>
            </w:r>
            <w:proofErr w:type="spellStart"/>
            <w:r w:rsidR="00346978" w:rsidRPr="00346978">
              <w:rPr>
                <w:lang w:val="en-GB"/>
              </w:rPr>
              <w:t>Detailliert</w:t>
            </w:r>
            <w:proofErr w:type="spellEnd"/>
            <w:r w:rsidR="00346978" w:rsidRPr="00346978">
              <w:rPr>
                <w:lang w:val="en-GB"/>
              </w:rPr>
              <w:t>, Solar Energy Supply Chain Report, 2022</w:t>
            </w:r>
            <w:r w:rsidR="00346978">
              <w:rPr>
                <w:lang w:val="en-GB"/>
              </w:rPr>
              <w:t>.</w:t>
            </w:r>
            <w:r w:rsidR="00346978">
              <w:rPr>
                <w:rStyle w:val="Funotenzeichen"/>
                <w:lang w:val="en-GB"/>
              </w:rPr>
              <w:footnoteReference w:id="1521"/>
            </w:r>
          </w:p>
          <w:p w14:paraId="06D185BF" w14:textId="77777777" w:rsidR="000B05A3" w:rsidRDefault="000B05A3" w:rsidP="00CD5089">
            <w:pPr>
              <w:rPr>
                <w:lang w:val="en-GB"/>
              </w:rPr>
            </w:pPr>
          </w:p>
          <w:p w14:paraId="7057B864" w14:textId="14F467F6" w:rsidR="00E12BF7" w:rsidRPr="00E12BF7" w:rsidRDefault="00E12BF7" w:rsidP="00CD5089">
            <w:r w:rsidRPr="00E12BF7">
              <w:t xml:space="preserve">2010 </w:t>
            </w:r>
            <w:r w:rsidR="00025CD2">
              <w:t>gab es in den USA eine Wafer Produktion, die stoppte</w:t>
            </w:r>
            <w:r w:rsidRPr="00E12BF7">
              <w:t xml:space="preserve"> </w:t>
            </w:r>
            <w:r>
              <w:t>201</w:t>
            </w:r>
            <w:r w:rsidR="00025CD2">
              <w:t>6.</w:t>
            </w:r>
            <w:r w:rsidR="00025CD2">
              <w:rPr>
                <w:rStyle w:val="Funotenzeichen"/>
              </w:rPr>
              <w:footnoteReference w:id="1522"/>
            </w:r>
            <w:r w:rsidR="00025CD2">
              <w:t xml:space="preserve"> Auch die Zellenproduktion brach zusammen, trotz einer </w:t>
            </w:r>
            <w:proofErr w:type="spellStart"/>
            <w:r w:rsidR="00025CD2">
              <w:t>Section</w:t>
            </w:r>
            <w:proofErr w:type="spellEnd"/>
            <w:r w:rsidR="00025CD2">
              <w:t xml:space="preserve"> 201 Safeguard Maßnahme</w:t>
            </w:r>
            <w:r w:rsidR="00965EB0">
              <w:t xml:space="preserve"> 2012 und 2015</w:t>
            </w:r>
            <w:r w:rsidR="00025CD2">
              <w:t>, weil Zellen aus anderen Ländern kamen.</w:t>
            </w:r>
            <w:r w:rsidR="00025CD2">
              <w:rPr>
                <w:rStyle w:val="Funotenzeichen"/>
              </w:rPr>
              <w:footnoteReference w:id="1523"/>
            </w:r>
          </w:p>
          <w:p w14:paraId="5A18066A" w14:textId="77777777" w:rsidR="00E12BF7" w:rsidRPr="00E12BF7" w:rsidRDefault="00E12BF7" w:rsidP="00CD5089"/>
          <w:p w14:paraId="692C7F74" w14:textId="6F60A0A6" w:rsidR="000B05A3" w:rsidRDefault="000B05A3" w:rsidP="00CD5089">
            <w:r w:rsidRPr="000B05A3">
              <w:t xml:space="preserve">In den USA steigt allein die Herstellung von Solarmodulen </w:t>
            </w:r>
            <w:r>
              <w:t xml:space="preserve">an (2020: 14 %), durch Zölle auf chinesische Module, die sonstigen Module kommen aus </w:t>
            </w:r>
            <w:r w:rsidR="00E12BF7">
              <w:t>Malaysia, Vietnam, Thailand, Zellen kommen aus Südkorea, Malaysia, China, Vietnam, Thailand</w:t>
            </w:r>
            <w:r>
              <w:t>.</w:t>
            </w:r>
            <w:r>
              <w:rPr>
                <w:rStyle w:val="Funotenzeichen"/>
              </w:rPr>
              <w:footnoteReference w:id="1524"/>
            </w:r>
            <w:r>
              <w:t xml:space="preserve"> </w:t>
            </w:r>
          </w:p>
          <w:p w14:paraId="22D5FB82" w14:textId="77777777" w:rsidR="000B05A3" w:rsidRDefault="000B05A3" w:rsidP="00CD5089"/>
          <w:p w14:paraId="383A69A5" w14:textId="77777777" w:rsidR="000B05A3" w:rsidRDefault="000B05A3" w:rsidP="00CD5089">
            <w:r>
              <w:t>Außerhalb von China gab es 2021 ca. 60 GW Zellherstellung, China 250 GW. Außerhalb 100 GW Modulherstellung (die Zellen werden zusammengefasst, Glasscheibe davor, Aluminiumkasten drum, Anschlüsse), China 300 GW.</w:t>
            </w:r>
            <w:r>
              <w:rPr>
                <w:rStyle w:val="Funotenzeichen"/>
              </w:rPr>
              <w:footnoteReference w:id="1525"/>
            </w:r>
          </w:p>
          <w:p w14:paraId="2874BD49" w14:textId="77777777" w:rsidR="00E12BF7" w:rsidRDefault="00E12BF7" w:rsidP="00CD5089"/>
          <w:p w14:paraId="05CA0A94" w14:textId="77777777" w:rsidR="00E12BF7" w:rsidRDefault="00635E0D" w:rsidP="00CD5089">
            <w:r>
              <w:t xml:space="preserve">China hat einen bei allen Produktionsstufen einen Kostenvorteil </w:t>
            </w:r>
            <w:proofErr w:type="gramStart"/>
            <w:r>
              <w:t>gegenüber der USA</w:t>
            </w:r>
            <w:proofErr w:type="gramEnd"/>
            <w:r>
              <w:t>, außer bei Cadmium Telluride Zellen, hier sind die Kosten gleich.</w:t>
            </w:r>
            <w:r>
              <w:rPr>
                <w:rStyle w:val="Funotenzeichen"/>
              </w:rPr>
              <w:footnoteReference w:id="1526"/>
            </w:r>
          </w:p>
          <w:p w14:paraId="4FE3AAEB" w14:textId="77777777" w:rsidR="00635E0D" w:rsidRDefault="00635E0D" w:rsidP="00CD5089"/>
          <w:p w14:paraId="2E88CDB3" w14:textId="4F7C511E" w:rsidR="00635E0D" w:rsidRPr="000B05A3" w:rsidRDefault="00635E0D" w:rsidP="00CD5089">
            <w:r>
              <w:t>2023 lagen die Preise bei 24 Cent je Watt, nun bei 10 Cent pro Watt. Die Produktionskosten in Europa liegen bei 30 bis 40 Cent pro Watt.</w:t>
            </w:r>
            <w:r w:rsidR="00987CEC">
              <w:rPr>
                <w:rStyle w:val="Funotenzeichen"/>
              </w:rPr>
              <w:t xml:space="preserve"> </w:t>
            </w:r>
            <w:r w:rsidR="00987CEC">
              <w:rPr>
                <w:rStyle w:val="Funotenzeichen"/>
              </w:rPr>
              <w:footnoteReference w:id="1527"/>
            </w:r>
          </w:p>
        </w:tc>
        <w:tc>
          <w:tcPr>
            <w:tcW w:w="4105" w:type="dxa"/>
          </w:tcPr>
          <w:p w14:paraId="17D8AB86" w14:textId="19983EE2" w:rsidR="008462D6" w:rsidRDefault="00B56739" w:rsidP="00CD5089">
            <w:r>
              <w:lastRenderedPageBreak/>
              <w:t>China verfügt über eine große</w:t>
            </w:r>
            <w:r w:rsidR="00C40217">
              <w:t>, vom Staat subventioniert aufgebaute</w:t>
            </w:r>
            <w:r w:rsidR="008462D6">
              <w:t xml:space="preserve"> Polysilizium</w:t>
            </w:r>
            <w:r w:rsidR="00420FEF">
              <w:t xml:space="preserve"> Produktion.</w:t>
            </w:r>
            <w:r w:rsidR="00A8257C">
              <w:rPr>
                <w:rStyle w:val="Funotenzeichen"/>
              </w:rPr>
              <w:footnoteReference w:id="1528"/>
            </w:r>
            <w:r w:rsidR="00420FEF">
              <w:t xml:space="preserve"> </w:t>
            </w:r>
            <w:r w:rsidR="00337325">
              <w:t xml:space="preserve">Die Produktion des Ausgangsmaterials </w:t>
            </w:r>
            <w:r w:rsidR="007409F5">
              <w:t xml:space="preserve">Polysilizium </w:t>
            </w:r>
            <w:r w:rsidR="00337325">
              <w:t>aus Quarzsand benötig</w:t>
            </w:r>
            <w:r w:rsidR="00797DE3">
              <w:t>t einen Lichtbogenofen und</w:t>
            </w:r>
            <w:r w:rsidR="00337325">
              <w:t xml:space="preserve"> billigen Strom, </w:t>
            </w:r>
            <w:r w:rsidR="00797DE3">
              <w:t xml:space="preserve">für </w:t>
            </w:r>
            <w:r w:rsidR="00337325">
              <w:t>1 Tonne 10-15 MWh</w:t>
            </w:r>
            <w:r w:rsidR="00797DE3">
              <w:t xml:space="preserve">, dazu </w:t>
            </w:r>
            <w:r w:rsidR="00337325">
              <w:t>Holzkohl</w:t>
            </w:r>
            <w:r w:rsidR="00797DE3">
              <w:t>e</w:t>
            </w:r>
            <w:r w:rsidR="00B77DBF">
              <w:t>.</w:t>
            </w:r>
            <w:r w:rsidR="00337325">
              <w:t xml:space="preserve"> 70 % dieser Produktion findet in China, meist in </w:t>
            </w:r>
            <w:proofErr w:type="spellStart"/>
            <w:r w:rsidR="00337325">
              <w:t>Xingjiang</w:t>
            </w:r>
            <w:proofErr w:type="spellEnd"/>
            <w:r w:rsidR="00337325">
              <w:t xml:space="preserve">, statt, es gibt </w:t>
            </w:r>
            <w:r w:rsidR="00797DE3">
              <w:t>auch</w:t>
            </w:r>
            <w:r w:rsidR="00B77DBF">
              <w:t xml:space="preserve"> </w:t>
            </w:r>
            <w:proofErr w:type="gramStart"/>
            <w:r w:rsidR="00B77DBF">
              <w:t>in anderen Länder</w:t>
            </w:r>
            <w:proofErr w:type="gramEnd"/>
            <w:r w:rsidR="00797DE3">
              <w:t xml:space="preserve"> anderswo die</w:t>
            </w:r>
            <w:r w:rsidR="00B77DBF">
              <w:t>se</w:t>
            </w:r>
            <w:r w:rsidR="00797DE3">
              <w:t xml:space="preserve"> Rohstoffe und </w:t>
            </w:r>
            <w:r w:rsidR="00B77DBF">
              <w:t xml:space="preserve">eine </w:t>
            </w:r>
            <w:r w:rsidR="00797DE3">
              <w:t>Produktion</w:t>
            </w:r>
            <w:r w:rsidR="00337325">
              <w:t>.</w:t>
            </w:r>
            <w:r w:rsidR="00337325">
              <w:rPr>
                <w:rStyle w:val="Funotenzeichen"/>
              </w:rPr>
              <w:footnoteReference w:id="1529"/>
            </w:r>
            <w:r w:rsidR="00337325">
              <w:t xml:space="preserve"> </w:t>
            </w:r>
            <w:r w:rsidR="00B77DBF">
              <w:t xml:space="preserve">Aber: </w:t>
            </w:r>
            <w:r w:rsidR="008462D6">
              <w:t xml:space="preserve">90 % </w:t>
            </w:r>
            <w:r w:rsidR="00C40217">
              <w:t xml:space="preserve">Marktanteil hält China </w:t>
            </w:r>
            <w:r w:rsidR="008462D6">
              <w:t>bei Ingots und Wafers (noch nicht beschichtet)</w:t>
            </w:r>
            <w:r w:rsidR="00311E23">
              <w:t>.</w:t>
            </w:r>
            <w:r w:rsidR="008462D6">
              <w:rPr>
                <w:rStyle w:val="Funotenzeichen"/>
              </w:rPr>
              <w:footnoteReference w:id="1530"/>
            </w:r>
            <w:r w:rsidR="00797DE3">
              <w:t xml:space="preserve"> Warum? Weil auch das</w:t>
            </w:r>
          </w:p>
          <w:p w14:paraId="43DE0375" w14:textId="7E42FDCC" w:rsidR="00E12BF7" w:rsidRDefault="00311E23" w:rsidP="00CD5089">
            <w:r>
              <w:t>Gießen von Ingots (</w:t>
            </w:r>
            <w:r w:rsidR="00797DE3">
              <w:t>Spindel bzw. Blöcken</w:t>
            </w:r>
            <w:r>
              <w:t xml:space="preserve">) </w:t>
            </w:r>
            <w:r w:rsidR="007409F5">
              <w:t>bei 1410 Grad energieintensiv ist. Beim</w:t>
            </w:r>
            <w:r>
              <w:t xml:space="preserve"> Sägen der Ingots in </w:t>
            </w:r>
            <w:r w:rsidR="00161314">
              <w:t>Wafer (</w:t>
            </w:r>
            <w:r>
              <w:t>Scheiben</w:t>
            </w:r>
            <w:r w:rsidR="00161314">
              <w:t>)</w:t>
            </w:r>
            <w:r w:rsidR="007409F5">
              <w:t xml:space="preserve"> mit Diamantfäden entsteht 1/3 Ausschu</w:t>
            </w:r>
            <w:r w:rsidR="00B77DBF">
              <w:t>s</w:t>
            </w:r>
            <w:r w:rsidR="007409F5">
              <w:t>s</w:t>
            </w:r>
            <w:r w:rsidR="00797DE3">
              <w:t>, siehe</w:t>
            </w:r>
            <w:r>
              <w:t xml:space="preserve"> </w:t>
            </w:r>
            <w:r w:rsidR="00797DE3">
              <w:t xml:space="preserve">U.S. DOE. </w:t>
            </w:r>
            <w:r w:rsidRPr="00797DE3">
              <w:t>Solar Energy Supply Chain Report, 2022.</w:t>
            </w:r>
            <w:r>
              <w:rPr>
                <w:rStyle w:val="Funotenzeichen"/>
                <w:lang w:val="en-GB"/>
              </w:rPr>
              <w:footnoteReference w:id="1531"/>
            </w:r>
            <w:r w:rsidR="0048693F">
              <w:t xml:space="preserve"> Auch die Zellherstellung, die mit Maschinen gemacht wird, befindet sich zu 80 % in China und in anderen asiatischen Ländern.</w:t>
            </w:r>
            <w:r w:rsidR="0048693F">
              <w:rPr>
                <w:rStyle w:val="Funotenzeichen"/>
              </w:rPr>
              <w:footnoteReference w:id="1532"/>
            </w:r>
            <w:r w:rsidR="0048693F">
              <w:t xml:space="preserve"> </w:t>
            </w:r>
          </w:p>
          <w:p w14:paraId="49039FF3" w14:textId="77777777" w:rsidR="00E12BF7" w:rsidRDefault="00E12BF7" w:rsidP="00CD5089"/>
          <w:p w14:paraId="1C5330A1" w14:textId="2518B397" w:rsidR="0048693F" w:rsidRDefault="0048693F" w:rsidP="00CD5089">
            <w:r>
              <w:t xml:space="preserve">Die U.S. Zölle </w:t>
            </w:r>
            <w:r w:rsidR="003863F6">
              <w:t>2</w:t>
            </w:r>
            <w:r w:rsidR="000B05A3">
              <w:t>01</w:t>
            </w:r>
            <w:r w:rsidR="00965EB0">
              <w:t xml:space="preserve"> auf importierte </w:t>
            </w:r>
            <w:r w:rsidR="003863F6">
              <w:t xml:space="preserve">Zellen und </w:t>
            </w:r>
            <w:r w:rsidR="00965EB0">
              <w:t xml:space="preserve">Module 2015 </w:t>
            </w:r>
            <w:r w:rsidR="003863F6">
              <w:t xml:space="preserve">aus China </w:t>
            </w:r>
            <w:r w:rsidR="00965EB0">
              <w:t>kam</w:t>
            </w:r>
            <w:r w:rsidR="003863F6">
              <w:t>en</w:t>
            </w:r>
            <w:r w:rsidR="00965EB0">
              <w:t xml:space="preserve"> für </w:t>
            </w:r>
            <w:proofErr w:type="spellStart"/>
            <w:r w:rsidR="00965EB0">
              <w:t>Solarworld</w:t>
            </w:r>
            <w:proofErr w:type="spellEnd"/>
            <w:r w:rsidR="00965EB0">
              <w:t xml:space="preserve"> USA zu spät</w:t>
            </w:r>
            <w:r w:rsidR="00965EB0">
              <w:rPr>
                <w:rStyle w:val="Funotenzeichen"/>
              </w:rPr>
              <w:footnoteReference w:id="1533"/>
            </w:r>
            <w:r w:rsidR="00965EB0">
              <w:t xml:space="preserve">, </w:t>
            </w:r>
            <w:r w:rsidR="003863F6">
              <w:t xml:space="preserve">u.a. weil </w:t>
            </w:r>
            <w:r>
              <w:lastRenderedPageBreak/>
              <w:t xml:space="preserve">China Inputs </w:t>
            </w:r>
            <w:r w:rsidR="00E12BF7">
              <w:t>in</w:t>
            </w:r>
            <w:r>
              <w:t xml:space="preserve"> Vietnam und Malaysia weiterverarbeitet wurden bzw. dort </w:t>
            </w:r>
            <w:r w:rsidR="00E12BF7">
              <w:t xml:space="preserve">haben </w:t>
            </w:r>
            <w:r>
              <w:t>chinesische Firmen auch direkt Produktionsstätten für Ingos und Wafer auf</w:t>
            </w:r>
            <w:r w:rsidR="00E12BF7">
              <w:t>ge</w:t>
            </w:r>
            <w:r>
              <w:t>baut.</w:t>
            </w:r>
            <w:r>
              <w:rPr>
                <w:rStyle w:val="Funotenzeichen"/>
              </w:rPr>
              <w:footnoteReference w:id="1534"/>
            </w:r>
            <w:r w:rsidR="003863F6">
              <w:t xml:space="preserve"> Erst 2018 werden die </w:t>
            </w:r>
            <w:proofErr w:type="spellStart"/>
            <w:r w:rsidR="003863F6">
              <w:t>Section</w:t>
            </w:r>
            <w:proofErr w:type="spellEnd"/>
            <w:r w:rsidR="003863F6">
              <w:t xml:space="preserve"> 201 Zölle von 30 % auf alle Länder ausgeweitet.</w:t>
            </w:r>
            <w:r w:rsidR="003863F6">
              <w:rPr>
                <w:rStyle w:val="Funotenzeichen"/>
              </w:rPr>
              <w:footnoteReference w:id="1535"/>
            </w:r>
            <w:r w:rsidR="003863F6">
              <w:t xml:space="preserve"> Daraufhin bauen Hanwha Q Cells, LG Solar, Jinko Solar und andere 5,5 GW Modulfertigung in den USA auf.</w:t>
            </w:r>
            <w:r w:rsidR="003863F6">
              <w:rPr>
                <w:rStyle w:val="Funotenzeichen"/>
              </w:rPr>
              <w:footnoteReference w:id="1536"/>
            </w:r>
            <w:r w:rsidR="00580ED4">
              <w:t xml:space="preserve"> Mid-Term </w:t>
            </w:r>
            <w:proofErr w:type="spellStart"/>
            <w:r w:rsidR="00580ED4">
              <w:t>Rerview</w:t>
            </w:r>
            <w:proofErr w:type="spellEnd"/>
            <w:r w:rsidR="00580ED4">
              <w:t xml:space="preserve"> Sec. 201 ansehen. Eine AD/CV Untersuchung besteht noch.</w:t>
            </w:r>
          </w:p>
          <w:p w14:paraId="6A59C1B9" w14:textId="77777777" w:rsidR="0048693F" w:rsidRPr="00797DE3" w:rsidRDefault="0048693F" w:rsidP="00CD5089"/>
          <w:p w14:paraId="35D268D9" w14:textId="77777777" w:rsidR="00420FEF" w:rsidRDefault="00C40217" w:rsidP="00CD5089">
            <w:r>
              <w:t xml:space="preserve">Chinas Hersteller </w:t>
            </w:r>
            <w:proofErr w:type="spellStart"/>
            <w:r>
              <w:t>Hanergy</w:t>
            </w:r>
            <w:proofErr w:type="spellEnd"/>
            <w:r>
              <w:t xml:space="preserve"> hat </w:t>
            </w:r>
            <w:r w:rsidR="00346978">
              <w:t xml:space="preserve">damals </w:t>
            </w:r>
            <w:r>
              <w:t xml:space="preserve">Maschinen und auch Firmen aus westlichen Ländern gekauft (2013 </w:t>
            </w:r>
            <w:proofErr w:type="spellStart"/>
            <w:r>
              <w:t>Solibro</w:t>
            </w:r>
            <w:proofErr w:type="spellEnd"/>
            <w:r>
              <w:t>, Deutschland, 2014 Solar Energy, Mia Sole, USA, 2015 Alta Devices, USA), mit einer staatlichen Kreditlinie der China Development Bank.</w:t>
            </w:r>
            <w:r>
              <w:rPr>
                <w:rStyle w:val="Funotenzeichen"/>
              </w:rPr>
              <w:footnoteReference w:id="1537"/>
            </w:r>
            <w:r>
              <w:t xml:space="preserve"> </w:t>
            </w:r>
          </w:p>
          <w:p w14:paraId="6743C9A5" w14:textId="77777777" w:rsidR="00025CD2" w:rsidRDefault="00025CD2" w:rsidP="00CD5089"/>
          <w:p w14:paraId="51481FDF" w14:textId="5F678509" w:rsidR="00025CD2" w:rsidRDefault="00635E0D" w:rsidP="00CD5089">
            <w:r>
              <w:t xml:space="preserve">China wird weiter Kapazitäten aufbauen, trotz Überkapazitäten, weil die Lokalregierungen alle ihre Solarfabriken haben wollen und diese stützen. China hat 2023 für 217 GW Solarpanels installiert (so viel wie das </w:t>
            </w:r>
            <w:r w:rsidR="00D63CF8">
              <w:t>d</w:t>
            </w:r>
            <w:r>
              <w:t>eutsche 2030 Ziel), 623 GW Module wurden 2023 produziert, insgesamt könnte China 1100 GW Module produzieren, das zwei bis zweieinhalbfache der Weltnachfrage.</w:t>
            </w:r>
            <w:r>
              <w:rPr>
                <w:rStyle w:val="Funotenzeichen"/>
              </w:rPr>
              <w:footnoteReference w:id="1538"/>
            </w:r>
            <w:r>
              <w:t xml:space="preserve"> </w:t>
            </w:r>
          </w:p>
        </w:tc>
      </w:tr>
      <w:tr w:rsidR="00783EEF" w14:paraId="13E52304" w14:textId="77777777" w:rsidTr="006D7A89">
        <w:tc>
          <w:tcPr>
            <w:tcW w:w="1413" w:type="dxa"/>
          </w:tcPr>
          <w:p w14:paraId="0C1016EE" w14:textId="77777777" w:rsidR="00DF7A61" w:rsidRDefault="00DF7A61" w:rsidP="00CD5089">
            <w:r>
              <w:lastRenderedPageBreak/>
              <w:t>Wind</w:t>
            </w:r>
          </w:p>
        </w:tc>
        <w:tc>
          <w:tcPr>
            <w:tcW w:w="3544" w:type="dxa"/>
          </w:tcPr>
          <w:p w14:paraId="604C58B7" w14:textId="2FF460E6" w:rsidR="00DF7A61" w:rsidRDefault="00FB1957" w:rsidP="00CD5089">
            <w:r>
              <w:t xml:space="preserve">Anteil der </w:t>
            </w:r>
            <w:proofErr w:type="gramStart"/>
            <w:r>
              <w:t>EU Produktion</w:t>
            </w:r>
            <w:proofErr w:type="gramEnd"/>
            <w:r>
              <w:t xml:space="preserve"> am heimischen Bedarf (2022): 85 %</w:t>
            </w:r>
            <w:r>
              <w:rPr>
                <w:rStyle w:val="Funotenzeichen"/>
              </w:rPr>
              <w:footnoteReference w:id="1539"/>
            </w:r>
            <w:r>
              <w:t xml:space="preserve">, </w:t>
            </w:r>
            <w:r w:rsidR="003F6D2D">
              <w:t>dieser Marktanteil soll bewahrt werden, mindestens 36 GW Fertigungskapazität 2030.</w:t>
            </w:r>
            <w:r w:rsidR="003F6D2D">
              <w:rPr>
                <w:rStyle w:val="Funotenzeichen"/>
              </w:rPr>
              <w:t xml:space="preserve"> </w:t>
            </w:r>
            <w:r w:rsidR="003F6D2D">
              <w:rPr>
                <w:rStyle w:val="Funotenzeichen"/>
              </w:rPr>
              <w:footnoteReference w:id="1540"/>
            </w:r>
            <w:r w:rsidR="006D7A89">
              <w:t xml:space="preserve"> </w:t>
            </w:r>
            <w:r w:rsidR="006D7A89" w:rsidRPr="006D7A89">
              <w:t xml:space="preserve">Problem EU interne Produktion von </w:t>
            </w:r>
            <w:r w:rsidR="006D7A89" w:rsidRPr="006D7A89">
              <w:lastRenderedPageBreak/>
              <w:t xml:space="preserve">Glasfaser- und </w:t>
            </w:r>
            <w:r w:rsidR="006D7A89">
              <w:t>K</w:t>
            </w:r>
            <w:r w:rsidR="006D7A89" w:rsidRPr="006D7A89">
              <w:t xml:space="preserve">arbonfaser </w:t>
            </w:r>
            <w:r w:rsidR="006D7A89">
              <w:t xml:space="preserve">für Propeller </w:t>
            </w:r>
            <w:r w:rsidR="006D7A89" w:rsidRPr="006D7A89">
              <w:t xml:space="preserve">deckt nur 65 % des </w:t>
            </w:r>
            <w:proofErr w:type="gramStart"/>
            <w:r w:rsidR="006D7A89" w:rsidRPr="006D7A89">
              <w:t>EU Bedarfs</w:t>
            </w:r>
            <w:proofErr w:type="gramEnd"/>
            <w:r w:rsidR="006D7A89" w:rsidRPr="006D7A89">
              <w:t xml:space="preserve"> ab.</w:t>
            </w:r>
            <w:r w:rsidR="006D7A89" w:rsidRPr="006D7A89">
              <w:rPr>
                <w:rFonts w:ascii="Arial" w:hAnsi="Arial"/>
                <w:sz w:val="20"/>
                <w:vertAlign w:val="superscript"/>
              </w:rPr>
              <w:footnoteReference w:id="1541"/>
            </w:r>
            <w:r w:rsidR="00627A77">
              <w:t xml:space="preserve"> Die EU exportiert Windrotoren, es gibt geringe Importe von Windrotoren vor allem aus China.</w:t>
            </w:r>
            <w:r w:rsidR="00627A77">
              <w:rPr>
                <w:rStyle w:val="Funotenzeichen"/>
              </w:rPr>
              <w:footnoteReference w:id="1542"/>
            </w:r>
          </w:p>
        </w:tc>
        <w:tc>
          <w:tcPr>
            <w:tcW w:w="4105" w:type="dxa"/>
          </w:tcPr>
          <w:p w14:paraId="562B338D" w14:textId="438F04AF" w:rsidR="00DF7A61" w:rsidRDefault="006D7A89" w:rsidP="00CD5089">
            <w:r>
              <w:lastRenderedPageBreak/>
              <w:t>Von weltweit 800 Fabriken befinden sich 45 % in China (360), 31 % in Europa (248) und der Rest in Indien 7 %, Brasilien 5 % und Nordamerika 4,5 %.</w:t>
            </w:r>
            <w:r w:rsidR="00F7040E">
              <w:t xml:space="preserve"> Chinesische Firmen haben einen Marktanteil von 43 % Goldwind, Ming Yang, </w:t>
            </w:r>
            <w:proofErr w:type="spellStart"/>
            <w:r w:rsidR="00F7040E">
              <w:t>SEwind</w:t>
            </w:r>
            <w:proofErr w:type="spellEnd"/>
            <w:r w:rsidR="00F7040E">
              <w:t xml:space="preserve"> und </w:t>
            </w:r>
            <w:r w:rsidR="00F7040E">
              <w:lastRenderedPageBreak/>
              <w:t xml:space="preserve">weitere), Europäische von 34 % (Siemens Gamesa, Vestas, Nordex), USA 9 % (u.a. GE </w:t>
            </w:r>
            <w:proofErr w:type="spellStart"/>
            <w:r w:rsidR="00F7040E">
              <w:t>Renewables</w:t>
            </w:r>
            <w:proofErr w:type="spellEnd"/>
            <w:r w:rsidR="00F7040E">
              <w:t>). Im Offshore Bereich hat China 2021 so</w:t>
            </w:r>
            <w:r w:rsidR="00CB4416">
              <w:t xml:space="preserve"> </w:t>
            </w:r>
            <w:r w:rsidR="00025CD2">
              <w:t>viel</w:t>
            </w:r>
            <w:r w:rsidR="00F7040E">
              <w:t xml:space="preserve"> installiert, wie Europa insgesamt hat, im Bereich Offshore liegen</w:t>
            </w:r>
            <w:r w:rsidR="00627A77">
              <w:t xml:space="preserve"> Ming Yang, Goldwind und </w:t>
            </w:r>
            <w:proofErr w:type="spellStart"/>
            <w:r w:rsidR="00627A77">
              <w:t>SEwind</w:t>
            </w:r>
            <w:proofErr w:type="spellEnd"/>
            <w:r w:rsidR="00627A77">
              <w:t xml:space="preserve"> vorne, dahinter Siemens Gamesa und Vestas.</w:t>
            </w:r>
            <w:r w:rsidR="00627A77">
              <w:rPr>
                <w:rStyle w:val="Funotenzeichen"/>
              </w:rPr>
              <w:footnoteReference w:id="1543"/>
            </w:r>
          </w:p>
          <w:p w14:paraId="19EB209E" w14:textId="77777777" w:rsidR="00346978" w:rsidRDefault="00346978" w:rsidP="00CD5089"/>
          <w:p w14:paraId="6BF43D6B" w14:textId="36DFB7F5" w:rsidR="00346978" w:rsidRDefault="00346978" w:rsidP="00CD5089">
            <w:r>
              <w:t xml:space="preserve">China kontrolliert 58 % des Abbaus der Seltenen Erden und 92 % der Magnetherstellung von </w:t>
            </w:r>
            <w:proofErr w:type="spellStart"/>
            <w:r w:rsidR="00AF1BE7">
              <w:t>Neodymm</w:t>
            </w:r>
            <w:r>
              <w:t>agneten</w:t>
            </w:r>
            <w:proofErr w:type="spellEnd"/>
            <w:r>
              <w:t xml:space="preserve"> </w:t>
            </w:r>
            <w:proofErr w:type="gramStart"/>
            <w:r>
              <w:t>die seltene Erden</w:t>
            </w:r>
            <w:proofErr w:type="gramEnd"/>
            <w:r>
              <w:t xml:space="preserve"> enthalten.</w:t>
            </w:r>
            <w:r w:rsidR="00AF1BE7">
              <w:rPr>
                <w:rStyle w:val="Funotenzeichen"/>
              </w:rPr>
              <w:footnoteReference w:id="1544"/>
            </w:r>
            <w:r w:rsidR="0041305D">
              <w:t xml:space="preserve"> D</w:t>
            </w:r>
            <w:r w:rsidR="00AF1BE7">
              <w:t>iese kauft Siemens Gamesa</w:t>
            </w:r>
            <w:r w:rsidR="00025CD2">
              <w:t xml:space="preserve"> </w:t>
            </w:r>
            <w:r w:rsidR="00AF1BE7">
              <w:t xml:space="preserve">in China für seine </w:t>
            </w:r>
            <w:r w:rsidR="0041305D">
              <w:t xml:space="preserve">direkt angetriebenen Turbinen für die </w:t>
            </w:r>
            <w:r w:rsidR="00AF1BE7">
              <w:t xml:space="preserve">Offshore Windanlagen. </w:t>
            </w:r>
          </w:p>
        </w:tc>
      </w:tr>
      <w:tr w:rsidR="00783EEF" w14:paraId="7BC75C72" w14:textId="77777777" w:rsidTr="006D7A89">
        <w:tc>
          <w:tcPr>
            <w:tcW w:w="1413" w:type="dxa"/>
          </w:tcPr>
          <w:p w14:paraId="587D0EB8" w14:textId="77777777" w:rsidR="00DF7A61" w:rsidRDefault="00DF7A61" w:rsidP="00CD5089">
            <w:r>
              <w:lastRenderedPageBreak/>
              <w:t>Batterien</w:t>
            </w:r>
          </w:p>
        </w:tc>
        <w:tc>
          <w:tcPr>
            <w:tcW w:w="3544" w:type="dxa"/>
          </w:tcPr>
          <w:p w14:paraId="50AA8082" w14:textId="5876F541" w:rsidR="00DF7A61" w:rsidRDefault="00FB1957" w:rsidP="00CD5089">
            <w:r>
              <w:t xml:space="preserve">Anteil der </w:t>
            </w:r>
            <w:proofErr w:type="gramStart"/>
            <w:r>
              <w:t>EU Produktion</w:t>
            </w:r>
            <w:proofErr w:type="gramEnd"/>
            <w:r>
              <w:t xml:space="preserve"> am heimischen Bedarf (2022): 54 %</w:t>
            </w:r>
            <w:r>
              <w:rPr>
                <w:rStyle w:val="Funotenzeichen"/>
              </w:rPr>
              <w:footnoteReference w:id="1545"/>
            </w:r>
            <w:r w:rsidR="007265D4">
              <w:t xml:space="preserve">, </w:t>
            </w:r>
            <w:r w:rsidR="00DC2247">
              <w:t xml:space="preserve">bei </w:t>
            </w:r>
            <w:proofErr w:type="gramStart"/>
            <w:r w:rsidR="00DC2247">
              <w:t>Lithium Ionen Batterien</w:t>
            </w:r>
            <w:proofErr w:type="gramEnd"/>
            <w:r w:rsidR="00DC2247">
              <w:t xml:space="preserve"> hat die EU einen Marktanteil von ca. 7 %</w:t>
            </w:r>
            <w:r w:rsidR="00783EEF">
              <w:t>, die USA 5 % (2022?)</w:t>
            </w:r>
            <w:r w:rsidR="00DC2247">
              <w:rPr>
                <w:rStyle w:val="Funotenzeichen"/>
              </w:rPr>
              <w:footnoteReference w:id="1546"/>
            </w:r>
            <w:r w:rsidR="00DC2247">
              <w:t xml:space="preserve">, </w:t>
            </w:r>
            <w:r w:rsidR="007265D4">
              <w:t>hier soll angestrebt werden fast 90 % des jährlichen Batteriebedarfs alleine zu fertigen, 550 GWh Fertigungskapazität 2030.</w:t>
            </w:r>
            <w:r w:rsidR="007265D4">
              <w:rPr>
                <w:rStyle w:val="Funotenzeichen"/>
              </w:rPr>
              <w:t xml:space="preserve"> </w:t>
            </w:r>
            <w:r w:rsidR="007265D4">
              <w:rPr>
                <w:rStyle w:val="Funotenzeichen"/>
              </w:rPr>
              <w:footnoteReference w:id="1547"/>
            </w:r>
            <w:r w:rsidR="00DC2247">
              <w:t xml:space="preserve"> Siehe die Webseite: </w:t>
            </w:r>
            <w:r w:rsidR="00DC2247" w:rsidRPr="00DC2247">
              <w:t>https://www.eba250.com/</w:t>
            </w:r>
          </w:p>
        </w:tc>
        <w:tc>
          <w:tcPr>
            <w:tcW w:w="4105" w:type="dxa"/>
          </w:tcPr>
          <w:p w14:paraId="63B34164" w14:textId="36889043" w:rsidR="00DF7A61" w:rsidRDefault="00783EEF" w:rsidP="00CD5089">
            <w:r>
              <w:t xml:space="preserve">China hat einen </w:t>
            </w:r>
            <w:r w:rsidR="00D63CF8">
              <w:t>Weltmarkta</w:t>
            </w:r>
            <w:r>
              <w:t xml:space="preserve">nteil von ca. 77 % bei den </w:t>
            </w:r>
            <w:proofErr w:type="gramStart"/>
            <w:r>
              <w:t>Lithium Ionen Batterien</w:t>
            </w:r>
            <w:proofErr w:type="gramEnd"/>
            <w:r>
              <w:t>.</w:t>
            </w:r>
            <w:r>
              <w:rPr>
                <w:rStyle w:val="Funotenzeichen"/>
              </w:rPr>
              <w:footnoteReference w:id="1548"/>
            </w:r>
          </w:p>
          <w:p w14:paraId="24DCD6D8" w14:textId="77777777" w:rsidR="00783EEF" w:rsidRDefault="00783EEF" w:rsidP="00CD5089">
            <w:r>
              <w:t>China ist hat Marktanteile von ca. 70 % bei Kathoden, 80 % bei Anoden, den Rest teilen sich Japan und Südkorea auf.</w:t>
            </w:r>
          </w:p>
          <w:p w14:paraId="228D540A" w14:textId="77777777" w:rsidR="00783EEF" w:rsidRDefault="00783EEF" w:rsidP="00CD5089">
            <w:r>
              <w:t>In der Lithium Weiterverarbeitung hat China einen Marktanteil von ca. 55 % (Australien aber ca. 55 % der Förderung), ca. 60 % bei Kobalt und 70 % bei Graphit. Auch 30 % des Nickels wird von China weiterverarbeitet (hier fördert und verarbeitet Indonesien auch viel).</w:t>
            </w:r>
            <w:r>
              <w:rPr>
                <w:rStyle w:val="Funotenzeichen"/>
              </w:rPr>
              <w:footnoteReference w:id="1549"/>
            </w:r>
          </w:p>
          <w:p w14:paraId="31AEFD59" w14:textId="77777777" w:rsidR="00580ED4" w:rsidRDefault="00580ED4" w:rsidP="00CD5089"/>
          <w:p w14:paraId="3810E8FF" w14:textId="369A5DB6" w:rsidR="00580ED4" w:rsidRDefault="00580ED4" w:rsidP="00CD5089">
            <w:r>
              <w:t xml:space="preserve">Siehe unten, hier </w:t>
            </w:r>
            <w:r w:rsidR="00635E0D">
              <w:t>besteht vor allem die Angst, dass China bei den neuen Feststoffbatterien einen Vorteil hat</w:t>
            </w:r>
            <w:r w:rsidR="00CB4416">
              <w:t>, nun hat CATL aber den Termin auf 2028 zurückgeschoben, es ist wohl schwieriger als gedacht.</w:t>
            </w:r>
            <w:r w:rsidR="00CB4416">
              <w:rPr>
                <w:rStyle w:val="Funotenzeichen"/>
              </w:rPr>
              <w:footnoteReference w:id="1550"/>
            </w:r>
            <w:r w:rsidR="00635E0D">
              <w:t xml:space="preserve"> </w:t>
            </w:r>
          </w:p>
        </w:tc>
      </w:tr>
      <w:tr w:rsidR="00783EEF" w14:paraId="6C7FA0E5" w14:textId="77777777" w:rsidTr="006D7A89">
        <w:tc>
          <w:tcPr>
            <w:tcW w:w="1413" w:type="dxa"/>
          </w:tcPr>
          <w:p w14:paraId="2A326B24" w14:textId="77777777" w:rsidR="00DF7A61" w:rsidRDefault="00DF7A61" w:rsidP="00CD5089">
            <w:r>
              <w:t>Wärmepumpen</w:t>
            </w:r>
          </w:p>
        </w:tc>
        <w:tc>
          <w:tcPr>
            <w:tcW w:w="3544" w:type="dxa"/>
          </w:tcPr>
          <w:p w14:paraId="6B4502F1" w14:textId="27A22CB7" w:rsidR="00DF7A61" w:rsidRDefault="00FB1957" w:rsidP="00CD5089">
            <w:r>
              <w:t xml:space="preserve">Anteil der </w:t>
            </w:r>
            <w:proofErr w:type="gramStart"/>
            <w:r>
              <w:t>EU Produktion</w:t>
            </w:r>
            <w:proofErr w:type="gramEnd"/>
            <w:r>
              <w:t xml:space="preserve"> am heimischen Bedarf (2022): 60 %</w:t>
            </w:r>
            <w:r w:rsidR="00B56739">
              <w:t xml:space="preserve"> / oder 73 %</w:t>
            </w:r>
            <w:r>
              <w:rPr>
                <w:rStyle w:val="Funotenzeichen"/>
              </w:rPr>
              <w:footnoteReference w:id="1551"/>
            </w:r>
            <w:r w:rsidR="003F6D2D">
              <w:t xml:space="preserve">, dieser Anteil soll </w:t>
            </w:r>
            <w:r w:rsidR="003F6D2D">
              <w:lastRenderedPageBreak/>
              <w:t>bewahrt werden, mindestens 31 GW Fertigungskapazität 2030.</w:t>
            </w:r>
            <w:r w:rsidR="003F6D2D">
              <w:rPr>
                <w:rStyle w:val="Funotenzeichen"/>
              </w:rPr>
              <w:t xml:space="preserve"> </w:t>
            </w:r>
            <w:r w:rsidR="003F6D2D">
              <w:rPr>
                <w:rStyle w:val="Funotenzeichen"/>
              </w:rPr>
              <w:footnoteReference w:id="1552"/>
            </w:r>
            <w:r w:rsidR="00B56739">
              <w:t xml:space="preserve"> In 18 </w:t>
            </w:r>
            <w:proofErr w:type="gramStart"/>
            <w:r w:rsidR="00B56739">
              <w:t>EU Mitgliedstaaten</w:t>
            </w:r>
            <w:proofErr w:type="gramEnd"/>
            <w:r w:rsidR="00B56739">
              <w:t xml:space="preserve"> gibt es Fabriken, insgesamt 170.</w:t>
            </w:r>
            <w:r w:rsidR="00B56739">
              <w:rPr>
                <w:rStyle w:val="Funotenzeichen"/>
              </w:rPr>
              <w:footnoteReference w:id="1553"/>
            </w:r>
            <w:r w:rsidR="00B56739">
              <w:t xml:space="preserve"> Europa</w:t>
            </w:r>
            <w:r w:rsidR="001A66FF">
              <w:t>s Wärmepumpen sind technologisch führend und Europa</w:t>
            </w:r>
            <w:r w:rsidR="00B56739">
              <w:t xml:space="preserve"> ist auch stark bei Großwärmepumpen.</w:t>
            </w:r>
            <w:r w:rsidR="00B56739">
              <w:rPr>
                <w:rStyle w:val="Funotenzeichen"/>
              </w:rPr>
              <w:footnoteReference w:id="1554"/>
            </w:r>
          </w:p>
        </w:tc>
        <w:tc>
          <w:tcPr>
            <w:tcW w:w="4105" w:type="dxa"/>
          </w:tcPr>
          <w:p w14:paraId="518EC099" w14:textId="1DABB857" w:rsidR="00DF7A61" w:rsidRDefault="001A66FF" w:rsidP="00CD5089">
            <w:r>
              <w:lastRenderedPageBreak/>
              <w:t xml:space="preserve">Importe aus China steigen an, es ist aber unklar, ob sich dieser Trend fortsetzt. Importe der EU liegen bei 27 % der </w:t>
            </w:r>
            <w:r>
              <w:lastRenderedPageBreak/>
              <w:t>Produktion, die EU hat aber gleichzeitig mit ihren Exporten einen Anteil von 37 % am Weltmarkt.</w:t>
            </w:r>
            <w:r>
              <w:rPr>
                <w:rStyle w:val="Funotenzeichen"/>
              </w:rPr>
              <w:footnoteReference w:id="1555"/>
            </w:r>
          </w:p>
        </w:tc>
      </w:tr>
      <w:tr w:rsidR="00783EEF" w14:paraId="719C0EFA" w14:textId="77777777" w:rsidTr="006D7A89">
        <w:tc>
          <w:tcPr>
            <w:tcW w:w="1413" w:type="dxa"/>
          </w:tcPr>
          <w:p w14:paraId="774C5FEF" w14:textId="77777777" w:rsidR="00DF7A61" w:rsidRDefault="00DF7A61" w:rsidP="00CD5089">
            <w:r>
              <w:lastRenderedPageBreak/>
              <w:t>Elektrolyseure</w:t>
            </w:r>
          </w:p>
        </w:tc>
        <w:tc>
          <w:tcPr>
            <w:tcW w:w="3544" w:type="dxa"/>
          </w:tcPr>
          <w:p w14:paraId="3C8EDEF5" w14:textId="77777777" w:rsidR="00DF7A61" w:rsidRDefault="00FB1957" w:rsidP="00CD5089">
            <w:r>
              <w:t xml:space="preserve">Anteil der </w:t>
            </w:r>
            <w:proofErr w:type="gramStart"/>
            <w:r>
              <w:t>EU Produktion</w:t>
            </w:r>
            <w:proofErr w:type="gramEnd"/>
            <w:r>
              <w:t xml:space="preserve"> am heimischen Bedarf (2022): 10 %</w:t>
            </w:r>
            <w:r>
              <w:rPr>
                <w:rStyle w:val="Funotenzeichen"/>
              </w:rPr>
              <w:footnoteReference w:id="1556"/>
            </w:r>
            <w:r w:rsidR="007265D4">
              <w:t xml:space="preserve">, hier wird vom </w:t>
            </w:r>
            <w:proofErr w:type="spellStart"/>
            <w:r w:rsidR="007265D4">
              <w:t>RePowerEU</w:t>
            </w:r>
            <w:proofErr w:type="spellEnd"/>
            <w:r w:rsidR="007265D4">
              <w:t xml:space="preserve"> Plan 2030 10 Mill. Tonnen Wasserstoff EU Produktion und bis zu 10 Mill. Tonnen Import vorgesehen, die installierten Elektrolyseure sollen 100 GW 2030 betragen.</w:t>
            </w:r>
            <w:r w:rsidR="007265D4">
              <w:rPr>
                <w:rStyle w:val="Funotenzeichen"/>
              </w:rPr>
              <w:t xml:space="preserve"> </w:t>
            </w:r>
            <w:r w:rsidR="007265D4">
              <w:rPr>
                <w:rStyle w:val="Funotenzeichen"/>
              </w:rPr>
              <w:footnoteReference w:id="1557"/>
            </w:r>
            <w:r w:rsidR="001A66FF">
              <w:t xml:space="preserve"> Die europäische Technologie ist gut im Bereich der </w:t>
            </w:r>
            <w:proofErr w:type="gramStart"/>
            <w:r w:rsidR="001A66FF">
              <w:t>PEM Elektrolyseure</w:t>
            </w:r>
            <w:proofErr w:type="gramEnd"/>
            <w:r w:rsidR="001A66FF">
              <w:t xml:space="preserve"> und dominiert im Bereich der Solid Oxide Elektrolyseure</w:t>
            </w:r>
            <w:r w:rsidR="006B2AEF">
              <w:t>.</w:t>
            </w:r>
            <w:r w:rsidR="006B2AEF">
              <w:rPr>
                <w:rStyle w:val="Funotenzeichen"/>
              </w:rPr>
              <w:footnoteReference w:id="1558"/>
            </w:r>
          </w:p>
          <w:p w14:paraId="7DEBE1CB" w14:textId="77777777" w:rsidR="005F004A" w:rsidRDefault="005F004A" w:rsidP="00CD5089"/>
          <w:p w14:paraId="48093FA5" w14:textId="58FEBD71" w:rsidR="005F004A" w:rsidRDefault="005F004A" w:rsidP="00CD5089">
            <w:r>
              <w:t>Da die Elektrolyseure groß und schwer sind, und oft auf lokale Bedingungen hin zugeschnitten werden, scheint dies ein natürliches Handelshindernis zu sein. Teile können aber sehr wohl gehandelt werden, sobald eine Standardisierung eintritt.</w:t>
            </w:r>
            <w:r>
              <w:rPr>
                <w:rStyle w:val="Funotenzeichen"/>
              </w:rPr>
              <w:footnoteReference w:id="1559"/>
            </w:r>
          </w:p>
        </w:tc>
        <w:tc>
          <w:tcPr>
            <w:tcW w:w="4105" w:type="dxa"/>
          </w:tcPr>
          <w:p w14:paraId="25DB8578" w14:textId="5B6B2461" w:rsidR="00DF7A61" w:rsidRDefault="001A66FF" w:rsidP="00CD5089">
            <w:r>
              <w:t>Chinesische Elektrolyseure sind verfügbar und billiger.</w:t>
            </w:r>
            <w:r w:rsidR="006B2AEF">
              <w:t xml:space="preserve"> Es wird geschätzt, dass weltweit Ende 2022 eine Produktionskapazität von 15,2 GW/y vorhanden ist (2/3 Alkali-Wasser / 1/3 PEM). In Europa läuft die Produktion nicht so gut an, wegen regulatorischen Unsicherheiten.</w:t>
            </w:r>
            <w:r w:rsidR="006B2AEF">
              <w:rPr>
                <w:rStyle w:val="Funotenzeichen"/>
              </w:rPr>
              <w:footnoteReference w:id="1560"/>
            </w:r>
            <w:r w:rsidR="006B2AEF">
              <w:t xml:space="preserve"> Es gibt Probleme mit Rohstoffen: Iridium für PEM wird 94 % von Südafrika dominiert. Alkali Wasser </w:t>
            </w:r>
            <w:r w:rsidR="00B428FE">
              <w:t xml:space="preserve">Elektrolyse </w:t>
            </w:r>
            <w:r w:rsidR="006B2AEF">
              <w:t>benötigt Nickel.</w:t>
            </w:r>
            <w:r w:rsidR="005F004A">
              <w:t xml:space="preserve"> Von der weltweiten Produktionskapazität hat Europa einen 20 % Anteil, erreicht aber kaum Skalenökonomien. China verfügt im Bereich der Alkali Wasser Elektrolyse über 50 % der weltweiten Produktionskapazität, komplette System werden bis zu viermal billiger angeboten, als von westlichen Firmen. Die USA verfügt offenbar im </w:t>
            </w:r>
            <w:proofErr w:type="gramStart"/>
            <w:r w:rsidR="005F004A">
              <w:t>PEM Bereich</w:t>
            </w:r>
            <w:proofErr w:type="gramEnd"/>
            <w:r w:rsidR="005F004A">
              <w:t xml:space="preserve"> 50 % </w:t>
            </w:r>
            <w:r w:rsidR="00440BA4">
              <w:t xml:space="preserve">der </w:t>
            </w:r>
            <w:r w:rsidR="005F004A">
              <w:t>Produktionskapazität.</w:t>
            </w:r>
            <w:r w:rsidR="005F004A">
              <w:rPr>
                <w:rStyle w:val="Funotenzeichen"/>
              </w:rPr>
              <w:footnoteReference w:id="1561"/>
            </w:r>
          </w:p>
        </w:tc>
      </w:tr>
      <w:tr w:rsidR="005F004A" w14:paraId="7CF3F38E" w14:textId="77777777" w:rsidTr="006D7A89">
        <w:tc>
          <w:tcPr>
            <w:tcW w:w="1413" w:type="dxa"/>
          </w:tcPr>
          <w:p w14:paraId="2DE404DF" w14:textId="1564D757" w:rsidR="005F004A" w:rsidRDefault="005F004A" w:rsidP="00CD5089">
            <w:r>
              <w:t>Brennstoffzellen</w:t>
            </w:r>
          </w:p>
        </w:tc>
        <w:tc>
          <w:tcPr>
            <w:tcW w:w="3544" w:type="dxa"/>
          </w:tcPr>
          <w:p w14:paraId="1F9BA49F" w14:textId="34DF37F9" w:rsidR="005F004A" w:rsidRDefault="009D3639" w:rsidP="00CD5089">
            <w:r>
              <w:t xml:space="preserve">Hier wird eine Produktionskapazität von 19 GW/y geschätzt, aber nur 2,3 GW </w:t>
            </w:r>
            <w:r w:rsidR="003D0790">
              <w:t xml:space="preserve">tatsächliche </w:t>
            </w:r>
            <w:r>
              <w:t>Produktion. Asien hält davon 65 %, die USA 41 %, Europa 9 %.</w:t>
            </w:r>
            <w:r>
              <w:rPr>
                <w:rStyle w:val="Funotenzeichen"/>
              </w:rPr>
              <w:footnoteReference w:id="1562"/>
            </w:r>
            <w:r>
              <w:t xml:space="preserve"> </w:t>
            </w:r>
          </w:p>
        </w:tc>
        <w:tc>
          <w:tcPr>
            <w:tcW w:w="4105" w:type="dxa"/>
          </w:tcPr>
          <w:p w14:paraId="310737C9" w14:textId="16493F97" w:rsidR="005F004A" w:rsidRDefault="009D3639" w:rsidP="00CD5089">
            <w:r>
              <w:t>China und die USA haben eine ausgeglichene Handelsbilanz bei Brennstoffzellen. Japan ist stark bei Autos mit Brennstoffzellen und verfügt über Exporte.</w:t>
            </w:r>
            <w:r>
              <w:rPr>
                <w:rStyle w:val="Funotenzeichen"/>
              </w:rPr>
              <w:footnoteReference w:id="1563"/>
            </w:r>
            <w:r>
              <w:t xml:space="preserve"> Mehr als 20 % der Brennstoffzellen werden stationär eingesetzt, um Strom zu erzeugen.</w:t>
            </w:r>
            <w:r>
              <w:rPr>
                <w:rStyle w:val="Funotenzeichen"/>
              </w:rPr>
              <w:footnoteReference w:id="1564"/>
            </w:r>
          </w:p>
        </w:tc>
      </w:tr>
    </w:tbl>
    <w:p w14:paraId="0AF78A7B" w14:textId="77777777" w:rsidR="00DF7A61" w:rsidRDefault="00DF7A61" w:rsidP="00DF7A61"/>
    <w:bookmarkEnd w:id="73"/>
    <w:bookmarkEnd w:id="76"/>
    <w:p w14:paraId="2AEB1FAA" w14:textId="21AE1367" w:rsidR="00DF7A61" w:rsidRDefault="00DF7A61" w:rsidP="00DF7A61">
      <w:r>
        <w:t xml:space="preserve">Dies wird mindestens die folgenden Fragen auf: Welche Industrie soll gefördert werden, wie soll die Förderung aussehen (über mehrere Jahre, bis wirklich auch Marktanteile erreicht worden sind, sollten auch </w:t>
      </w:r>
      <w:proofErr w:type="gramStart"/>
      <w:r>
        <w:t>zur teurere Produkte</w:t>
      </w:r>
      <w:proofErr w:type="gramEnd"/>
      <w:r>
        <w:t xml:space="preserve"> heruntersubventioniert werden? Oder eingeschränkter), wann soll mit der Förderung eingestiegen werden, besonders krass stellt sich die Frage bei der Batterietechnologie, die extrem im Wandel ist, hier wäre es</w:t>
      </w:r>
      <w:r w:rsidR="00126E56">
        <w:t xml:space="preserve"> vielleicht</w:t>
      </w:r>
      <w:r>
        <w:t xml:space="preserve"> schlau</w:t>
      </w:r>
      <w:r w:rsidR="00126E56">
        <w:t>er</w:t>
      </w:r>
      <w:r>
        <w:t>, spät</w:t>
      </w:r>
      <w:r w:rsidR="00126E56">
        <w:t>er</w:t>
      </w:r>
      <w:r>
        <w:t xml:space="preserve"> einzusteigen, bis noch einige Innovationen erfolgt sind. Wie teuer wird dies, ist im </w:t>
      </w:r>
      <w:proofErr w:type="gramStart"/>
      <w:r>
        <w:t>EU Haushalt</w:t>
      </w:r>
      <w:proofErr w:type="gramEnd"/>
      <w:r>
        <w:t xml:space="preserve"> genug vorhanden</w:t>
      </w:r>
      <w:r w:rsidR="00CF3F4D">
        <w:t>?</w:t>
      </w:r>
      <w:r>
        <w:t xml:space="preserve"> </w:t>
      </w:r>
    </w:p>
    <w:p w14:paraId="253564DA" w14:textId="77777777" w:rsidR="00DF7A61" w:rsidRDefault="00DF7A61" w:rsidP="00112190"/>
    <w:p w14:paraId="0556528D" w14:textId="77777777" w:rsidR="00112190" w:rsidRDefault="00112190" w:rsidP="00112190">
      <w:r>
        <w:t>Weiterhin: Änderungen gab es beim EU-ETS, siehe dazu gleich, eine Novelle der Erneuerbaren Energien Richtlinien, eine Novelle der Energieeffizienz-Richtlinie, eine Novelle der Gebäude-Effizienz-Richtlinie, eine LULUCF Verordnung.</w:t>
      </w:r>
      <w:r>
        <w:rPr>
          <w:rStyle w:val="Funotenzeichen"/>
        </w:rPr>
        <w:footnoteReference w:id="1565"/>
      </w:r>
      <w:r>
        <w:t xml:space="preserve"> </w:t>
      </w:r>
    </w:p>
    <w:p w14:paraId="5BA9A49E" w14:textId="77777777" w:rsidR="00112190" w:rsidRDefault="00112190" w:rsidP="00112190"/>
    <w:p w14:paraId="161D207C" w14:textId="51092861" w:rsidR="00112190" w:rsidRDefault="00112190" w:rsidP="00112190">
      <w:r>
        <w:t>Durch Änderungen der komplexen Richtlinie 2023/27/EU, 25. Oktober 2012</w:t>
      </w:r>
      <w:r>
        <w:rPr>
          <w:rStyle w:val="Funotenzeichen"/>
        </w:rPr>
        <w:footnoteReference w:id="1566"/>
      </w:r>
      <w:r>
        <w:t xml:space="preserve">, bei der es um Gebäudeeffizienz, Verbraucherinformation etc. geht, </w:t>
      </w:r>
      <w:r w:rsidRPr="00540523">
        <w:rPr>
          <w:u w:val="single"/>
        </w:rPr>
        <w:t>wurde 2012 das Effizienzziel der EU erhöht, auf insgesamt 32,5 % bis 2020, es finden sich dabei ganz konkrete Ziele in der Richtlinie: die EU darf 2020 nicht mehr als 1474 Megatonnen</w:t>
      </w:r>
      <w:r w:rsidR="00706170">
        <w:rPr>
          <w:u w:val="single"/>
        </w:rPr>
        <w:t>-Öläquivalent</w:t>
      </w:r>
      <w:r w:rsidRPr="00540523">
        <w:rPr>
          <w:u w:val="single"/>
        </w:rPr>
        <w:t xml:space="preserve"> </w:t>
      </w:r>
      <w:r w:rsidR="00706170">
        <w:rPr>
          <w:u w:val="single"/>
        </w:rPr>
        <w:t>(</w:t>
      </w:r>
      <w:proofErr w:type="spellStart"/>
      <w:r w:rsidR="00706170">
        <w:rPr>
          <w:u w:val="single"/>
        </w:rPr>
        <w:t>Mtoe</w:t>
      </w:r>
      <w:proofErr w:type="spellEnd"/>
      <w:r w:rsidR="00706170">
        <w:rPr>
          <w:u w:val="single"/>
        </w:rPr>
        <w:t xml:space="preserve">) </w:t>
      </w:r>
      <w:r w:rsidRPr="00540523">
        <w:rPr>
          <w:u w:val="single"/>
        </w:rPr>
        <w:t>Primärenergie verbrauchen</w:t>
      </w:r>
      <w:r>
        <w:t>.</w:t>
      </w:r>
      <w:r>
        <w:rPr>
          <w:rStyle w:val="Funotenzeichen"/>
        </w:rPr>
        <w:footnoteReference w:id="1567"/>
      </w:r>
      <w:r>
        <w:t xml:space="preserve"> Auf der Energieeffizienzrichtlinie, bauen sich z.B. mehrere aktualisierte Richtlinien und Initiativen, auch in Deutschland auf</w:t>
      </w:r>
      <w:r>
        <w:rPr>
          <w:rStyle w:val="Funotenzeichen"/>
        </w:rPr>
        <w:footnoteReference w:id="1568"/>
      </w:r>
      <w:r>
        <w:t>, u.a. die Energieeffizienzstrategie 2050 (</w:t>
      </w:r>
      <w:proofErr w:type="spellStart"/>
      <w:r>
        <w:t>EffSTRA</w:t>
      </w:r>
      <w:proofErr w:type="spellEnd"/>
      <w:r>
        <w:t>), aus dem Jahr 2019.</w:t>
      </w:r>
      <w:r>
        <w:rPr>
          <w:rStyle w:val="Funotenzeichen"/>
        </w:rPr>
        <w:footnoteReference w:id="1569"/>
      </w:r>
      <w:r>
        <w:t xml:space="preserve"> Ein deutscher Fraunhofer / ISI Monitoringbericht zu Energieeffizienzmaßnahmen findet sich hier.</w:t>
      </w:r>
      <w:r>
        <w:rPr>
          <w:rStyle w:val="Funotenzeichen"/>
        </w:rPr>
        <w:footnoteReference w:id="1570"/>
      </w:r>
    </w:p>
    <w:p w14:paraId="7673FBC7" w14:textId="77777777" w:rsidR="00112190" w:rsidRDefault="00112190" w:rsidP="00112190"/>
    <w:p w14:paraId="5A8EED1D" w14:textId="6F0FDA89" w:rsidR="00112190" w:rsidRDefault="005F2D68" w:rsidP="00112190">
      <w:r>
        <w:rPr>
          <w:u w:val="single"/>
        </w:rPr>
        <w:t>Emissionshandel ETS 1 und ETS 2, Marktstabilitätsreserve</w:t>
      </w:r>
      <w:r w:rsidRPr="005F2D68">
        <w:t xml:space="preserve">. </w:t>
      </w:r>
      <w:r w:rsidR="00112190" w:rsidRPr="005F2D68">
        <w:t xml:space="preserve">Nun </w:t>
      </w:r>
      <w:r w:rsidR="00AC777D" w:rsidRPr="005F2D68">
        <w:t xml:space="preserve">noch einmal </w:t>
      </w:r>
      <w:r w:rsidR="00112190" w:rsidRPr="005F2D68">
        <w:t>zum Emissionshandel</w:t>
      </w:r>
      <w:r w:rsidR="00A97CAF" w:rsidRPr="005F2D68">
        <w:t>, diesmal mit der reformierten Marktstabilitätsreserve</w:t>
      </w:r>
      <w:r w:rsidR="00112190" w:rsidRPr="005F2D68">
        <w:t>:</w:t>
      </w:r>
      <w:r w:rsidR="00112190">
        <w:t xml:space="preserve"> Nicht geleistet kann hier die Zertifikate zu ‚zählen‘ und die Reduktionsziele anhand der tatsächlich vorhandenen Zertifikate zu überprüfen und den Erfolg bzw. Misserfolg des Emissionshandels aus dieser Sicht zu bewerten. Dafür gibt es zu viele Detailregeln und Ausnahmen, die man als Außenstehender nicht einschätzen kann.</w:t>
      </w:r>
    </w:p>
    <w:p w14:paraId="382B5A10" w14:textId="77777777" w:rsidR="00112190" w:rsidRDefault="00112190" w:rsidP="00112190"/>
    <w:p w14:paraId="722ADA32" w14:textId="12E777EB" w:rsidR="00112190" w:rsidRDefault="00112190" w:rsidP="00112190">
      <w:r>
        <w:t>Seit 2003, mit der Richtlinie 2003/87/EG, 13. Oktober 2003, gibt es ein Emissionshandelssystem (EU-ETS</w:t>
      </w:r>
      <w:r w:rsidR="00126E56">
        <w:t xml:space="preserve"> bzw. ETS 1</w:t>
      </w:r>
      <w:r>
        <w:t>), siehe hier die Originalrichtlinie</w:t>
      </w:r>
      <w:r>
        <w:rPr>
          <w:rStyle w:val="Funotenzeichen"/>
        </w:rPr>
        <w:footnoteReference w:id="1571"/>
      </w:r>
      <w:r>
        <w:t xml:space="preserve">, das ca. 10.6000 Anlagen der Energiewirtschaft und der energieintensiven Industrie umfasst, seit 2012 die Emissionen des innereuropäischen Luftverkehrs, in Deutschland sind es 1851 Anlagen (es wird deutsch EHS abgekürzt, hier wird ETS </w:t>
      </w:r>
      <w:r>
        <w:lastRenderedPageBreak/>
        <w:t>benutzt).</w:t>
      </w:r>
      <w:r>
        <w:rPr>
          <w:rStyle w:val="Funotenzeichen"/>
        </w:rPr>
        <w:footnoteReference w:id="1572"/>
      </w:r>
      <w:r>
        <w:t xml:space="preserve"> Siehe die aktuelle bzw. konsolidierte Fassung der Emissionshandelsrichtlinie 2003/87/EG hier.</w:t>
      </w:r>
      <w:r w:rsidRPr="00CF4CF5">
        <w:rPr>
          <w:rStyle w:val="Funotenzeichen"/>
        </w:rPr>
        <w:t xml:space="preserve"> </w:t>
      </w:r>
      <w:r>
        <w:rPr>
          <w:rStyle w:val="Funotenzeichen"/>
        </w:rPr>
        <w:footnoteReference w:id="1573"/>
      </w:r>
      <w:r>
        <w:t xml:space="preserve"> </w:t>
      </w:r>
    </w:p>
    <w:p w14:paraId="7101ADD1" w14:textId="77777777" w:rsidR="00112190" w:rsidRDefault="00112190" w:rsidP="00112190"/>
    <w:p w14:paraId="68761C4A" w14:textId="77777777" w:rsidR="00112190" w:rsidRDefault="00112190" w:rsidP="00112190">
      <w:r>
        <w:t>Zentrales Steuerungsinstrument in Europa zum Zweck der Reduzierung von Emissionen wird in Zukunft der Handel mit Emissionszertifikaten werden. Deshalb soll hier kurz auch erwähnt werden, dass es nicht nur um Klimaschutz geht, sondern auch eine Abwägung mit anderen Zielen / Werten enthalten ist: In der Originalrichtlinie 2003 in Erwägungsgrund (5) festgehalten, dass der „effizienten europäischen Markt für Treibhausemissionszertifikate“ dazu beitragen soll, dass der Klimaschutz „effektiver“ und „unter möglichst geringer Beeinträchtigung der wirtschaftlichen Entwicklung und der Beschäftigungslage erfüllt werden“ kann.</w:t>
      </w:r>
      <w:r>
        <w:rPr>
          <w:rStyle w:val="Funotenzeichen"/>
        </w:rPr>
        <w:footnoteReference w:id="1574"/>
      </w:r>
      <w:r>
        <w:t xml:space="preserve"> </w:t>
      </w:r>
    </w:p>
    <w:p w14:paraId="16283C58" w14:textId="77777777" w:rsidR="00112190" w:rsidRDefault="00112190" w:rsidP="00112190"/>
    <w:p w14:paraId="209FC04E" w14:textId="45909C96" w:rsidR="00112190" w:rsidRDefault="00112190" w:rsidP="00112190">
      <w:r>
        <w:t>Im Jahr 2013 sind neue Anlagen und neue Treibhausgase hinzugekommen, siehe Umweltbundesamt (2023), wodurch sich auch die Aussagekraft von Emissionszahlen verkompliziert, siehe das lange Zitat in der Fußnote.</w:t>
      </w:r>
      <w:r>
        <w:rPr>
          <w:rStyle w:val="Funotenzeichen"/>
        </w:rPr>
        <w:footnoteReference w:id="1575"/>
      </w:r>
      <w:r>
        <w:t xml:space="preserve"> Die Geschichte des ETS ist bekannt, am Anfang wurden die Zertifikate kostenlos zugeteilt, bald gab es zu viele Zertifikate auf dem Markt, auch weil die Zertifikate aus der Kyoto-Zeit, von Joint Implementation aus osteuropäischen Ländern und dem Clean Development </w:t>
      </w:r>
      <w:proofErr w:type="spellStart"/>
      <w:r>
        <w:t>Mechanism</w:t>
      </w:r>
      <w:proofErr w:type="spellEnd"/>
      <w:r>
        <w:t>, Projekte in Entwicklungsländern zur Verfügung standen, auch wurde vergessen, siehe unten, Zertifikate stillgelegter Kohlekraftwerke zu löschen, in der Corona-Zeit sanken die Preise wieder</w:t>
      </w:r>
      <w:r w:rsidR="00126E56">
        <w:t xml:space="preserve"> einmal</w:t>
      </w:r>
      <w:r>
        <w:t xml:space="preserve"> stark ab. Problem ist weiterhin, dass durch einen zu hohen Preis eine Abwanderung der Industrie droht, sog. Carbon Leakage und deshalb wurden dafür Regeln entwickelt, kostenlose Zertifikate zugeteilt, die Liste für 2021-2030 ist aber mit 63 statt 175 Sektoren nun kürzer als davor.</w:t>
      </w:r>
      <w:r>
        <w:rPr>
          <w:rStyle w:val="Funotenzeichen"/>
        </w:rPr>
        <w:footnoteReference w:id="1576"/>
      </w:r>
      <w:r>
        <w:t xml:space="preserve"> Diese Liste wurde als delegierter Beschluss der Kommission erstellt, nur mit Kurzüberprüfung durch Europäisches Parlament und Rat, siehe hier.</w:t>
      </w:r>
      <w:r>
        <w:rPr>
          <w:rStyle w:val="Funotenzeichen"/>
        </w:rPr>
        <w:footnoteReference w:id="1577"/>
      </w:r>
      <w:r>
        <w:t xml:space="preserve"> Weiterhin wurde die Möglichkeit für eine Strompreiskompensation eröffnet, wenn ein ‚indirektes Carbon-Leakage-Risiko‘ bestünde, dafür gibt es Leitlinien für Beihilfemaßnahmen.</w:t>
      </w:r>
      <w:r>
        <w:rPr>
          <w:rStyle w:val="Funotenzeichen"/>
        </w:rPr>
        <w:footnoteReference w:id="1578"/>
      </w:r>
      <w:r>
        <w:t xml:space="preserve"> Siehe für Infos über die ETS Geschichte auch Reichert (2009) und Bonn/Reichert (2018). </w:t>
      </w:r>
    </w:p>
    <w:p w14:paraId="2BA13CFD" w14:textId="77777777" w:rsidR="00112190" w:rsidRDefault="00112190" w:rsidP="00112190"/>
    <w:p w14:paraId="63AD88C7" w14:textId="77777777" w:rsidR="00112190" w:rsidRDefault="00112190" w:rsidP="00112190">
      <w:r>
        <w:lastRenderedPageBreak/>
        <w:t>Unter das EU-Emissionshandelssystem fallen Industriezweige, die für 40 % der europäischen Emissionen aufkommen.</w:t>
      </w:r>
      <w:r>
        <w:rPr>
          <w:rStyle w:val="Funotenzeichen"/>
        </w:rPr>
        <w:footnoteReference w:id="1579"/>
      </w:r>
      <w:r>
        <w:t xml:space="preserve"> Die Industrien, die unter das EU-ETS fallen, müssen ihre Emissionen bis 2030 um 43 % senken, alle anderen Sektoren um 30 % (gemessen am Stand 2005).</w:t>
      </w:r>
      <w:r>
        <w:rPr>
          <w:rStyle w:val="Funotenzeichen"/>
        </w:rPr>
        <w:footnoteReference w:id="1580"/>
      </w:r>
      <w:r>
        <w:t xml:space="preserve"> Dies ist am 18. Dezember 2022 verschärft worden, auf 62 % bis 2030 (gemessen am Niveau 2005).</w:t>
      </w:r>
      <w:r>
        <w:rPr>
          <w:rStyle w:val="Funotenzeichen"/>
        </w:rPr>
        <w:footnoteReference w:id="1581"/>
      </w:r>
      <w:r>
        <w:t xml:space="preserve"> </w:t>
      </w:r>
    </w:p>
    <w:p w14:paraId="13653674" w14:textId="77777777" w:rsidR="00112190" w:rsidRDefault="00112190" w:rsidP="00112190"/>
    <w:p w14:paraId="2CE6B2CB" w14:textId="2C7EC2B9" w:rsidR="00112190" w:rsidRDefault="00112190" w:rsidP="00112190">
      <w:r>
        <w:t>Seit 2012 war der Luftverkehr in das EU-ETS einbezogen worden. Am 9. Dezember 2022 sind die Regeln für den Luftverkehr, die seit 2012 bestehen, verändert worden, 2026 wird das CORSIA</w:t>
      </w:r>
      <w:r>
        <w:rPr>
          <w:rStyle w:val="Funotenzeichen"/>
        </w:rPr>
        <w:footnoteReference w:id="1582"/>
      </w:r>
      <w:r>
        <w:t xml:space="preserve"> Emissionsausgleichsprogramm überprüft, das von der International </w:t>
      </w:r>
      <w:proofErr w:type="spellStart"/>
      <w:r>
        <w:t>Civil</w:t>
      </w:r>
      <w:proofErr w:type="spellEnd"/>
      <w:r>
        <w:t xml:space="preserve"> Aviation Organisation </w:t>
      </w:r>
      <w:r w:rsidR="00126E56">
        <w:t>der Vereinten Nationen</w:t>
      </w:r>
      <w:r w:rsidR="00126E56">
        <w:rPr>
          <w:rStyle w:val="Funotenzeichen"/>
        </w:rPr>
        <w:footnoteReference w:id="1583"/>
      </w:r>
      <w:r w:rsidR="00126E56">
        <w:t xml:space="preserve"> </w:t>
      </w:r>
      <w:r>
        <w:t>verwaltet wird.</w:t>
      </w:r>
      <w:r>
        <w:rPr>
          <w:rStyle w:val="Funotenzeichen"/>
        </w:rPr>
        <w:footnoteReference w:id="1584"/>
      </w:r>
      <w:r>
        <w:t xml:space="preserve"> </w:t>
      </w:r>
    </w:p>
    <w:p w14:paraId="2965E77F" w14:textId="77777777" w:rsidR="00112190" w:rsidRDefault="00112190" w:rsidP="00112190"/>
    <w:p w14:paraId="456EAD22" w14:textId="77777777" w:rsidR="00112190" w:rsidRDefault="00112190" w:rsidP="00112190">
      <w:r>
        <w:t>Aktuell ist 2023 ein separates EU-Emissionshandelssystem für Gebäude, Verkehr und sonstige Sektoren gegründet worden. Es wird ETS 2 (oder ETS II) genannt. Dies wurde etabliert durch die Richtlinie (EU) 2023/959, vom 10. Mai 2023.</w:t>
      </w:r>
      <w:r>
        <w:rPr>
          <w:rStyle w:val="Funotenzeichen"/>
        </w:rPr>
        <w:footnoteReference w:id="1585"/>
      </w:r>
      <w:r>
        <w:t xml:space="preserve"> Diese Richtlinie hat es in sich, sie enthält viele Änderungen und zwar gleichzeitig der Emissionshandelsrichtlinie 2003/87/EG, in die das ETS 2, ab Art. 30 a eingefügt wird, und </w:t>
      </w:r>
      <w:proofErr w:type="gramStart"/>
      <w:r>
        <w:t>der Beschlusses</w:t>
      </w:r>
      <w:proofErr w:type="gramEnd"/>
      <w:r>
        <w:t xml:space="preserve"> (EU) 2025/1814 für eine Markstabilitätsreserve. </w:t>
      </w:r>
    </w:p>
    <w:p w14:paraId="41F4BB75" w14:textId="77777777" w:rsidR="00112190" w:rsidRDefault="00112190" w:rsidP="00112190"/>
    <w:p w14:paraId="64C843A1" w14:textId="77777777" w:rsidR="00112190" w:rsidRDefault="00112190" w:rsidP="00112190">
      <w:r>
        <w:t>Das ETS 2 für Gebäude und Verkehr wird ab 2027 aktiv werden, bereits enthalten ist allerdings ein Artikel, Art. 30 k, der bei hohen Energiepreisen, nach den dortigen Kriterien, die Einführung des ETS 2 automatisch auf 2028 verschiebt.</w:t>
      </w:r>
      <w:r>
        <w:rPr>
          <w:rStyle w:val="Funotenzeichen"/>
        </w:rPr>
        <w:footnoteReference w:id="1586"/>
      </w:r>
      <w:r>
        <w:t xml:space="preserve"> Es wurde in der Gesetzgebungsphase über eine spätere Einführung 2028 und Möglichkeiten Verbraucher bei höheren Preisen zu kompensieren diskutiert.</w:t>
      </w:r>
      <w:r>
        <w:rPr>
          <w:rStyle w:val="Funotenzeichen"/>
        </w:rPr>
        <w:footnoteReference w:id="1587"/>
      </w:r>
      <w:r>
        <w:t xml:space="preserve"> </w:t>
      </w:r>
    </w:p>
    <w:p w14:paraId="71D7664E" w14:textId="77777777" w:rsidR="00112190" w:rsidRDefault="00112190" w:rsidP="00112190"/>
    <w:p w14:paraId="6F7CB0F9" w14:textId="77777777" w:rsidR="00112190" w:rsidRDefault="00112190" w:rsidP="00112190">
      <w:r>
        <w:t xml:space="preserve">Die Richtlinie (EU) 2023/959, vom 10. Mai 2023, enthält weiterhin einen </w:t>
      </w:r>
      <w:r w:rsidRPr="008C0B11">
        <w:rPr>
          <w:u w:val="single"/>
        </w:rPr>
        <w:t>Modernisierungsfond</w:t>
      </w:r>
      <w:r>
        <w:t xml:space="preserve"> und einen </w:t>
      </w:r>
      <w:r w:rsidRPr="008C0B11">
        <w:rPr>
          <w:u w:val="single"/>
        </w:rPr>
        <w:t>Innovationsfond</w:t>
      </w:r>
      <w:r>
        <w:t xml:space="preserve"> (der Einnahmen aus der Versteigerung von ETS-Zertifikaten erhält</w:t>
      </w:r>
      <w:r>
        <w:rPr>
          <w:rStyle w:val="Funotenzeichen"/>
        </w:rPr>
        <w:footnoteReference w:id="1588"/>
      </w:r>
      <w:r>
        <w:t xml:space="preserve">), sowie ein </w:t>
      </w:r>
      <w:proofErr w:type="spellStart"/>
      <w:r w:rsidRPr="00CA2EB8">
        <w:rPr>
          <w:u w:val="single"/>
        </w:rPr>
        <w:t>Social</w:t>
      </w:r>
      <w:proofErr w:type="spellEnd"/>
      <w:r w:rsidRPr="00CA2EB8">
        <w:rPr>
          <w:u w:val="single"/>
        </w:rPr>
        <w:t xml:space="preserve"> Climate Fund, der ab 2026 aktiv wird</w:t>
      </w:r>
      <w:r>
        <w:t xml:space="preserve">, ein Jahr bevor das ETS 2 eingeführt wird, der mit 65 Mrd. Euro aus dem </w:t>
      </w:r>
      <w:proofErr w:type="gramStart"/>
      <w:r>
        <w:t>EU Haushalt</w:t>
      </w:r>
      <w:proofErr w:type="gramEnd"/>
      <w:r>
        <w:t xml:space="preserve"> plus 25 % aus den Haushalten der Mitgliedstaaten finanziert wird. Er </w:t>
      </w:r>
      <w:r>
        <w:lastRenderedPageBreak/>
        <w:t>soll 37,5 % für direkten Einkommensunterstützung ärmerer Haushalte enthalten, den Rest für Isolierung, Wärmepumpen, Solaranlagen etc.</w:t>
      </w:r>
      <w:r>
        <w:rPr>
          <w:rStyle w:val="Funotenzeichen"/>
        </w:rPr>
        <w:footnoteReference w:id="1589"/>
      </w:r>
      <w:r>
        <w:t xml:space="preserve"> Der Modernisierungsfond hat seit seiner Gründung 2021 nun 9,69 Mrd. Euro ausgeschüttet, in Projekte, oft geht es um Netzausbau, Ladestationen etc. ärmerer EU-Staaten wie Bulgarien, Kroatien, Tschechei, Estland, Lettland, Litauen, Polen, Slowakei, mit Rumänien in führender Position mit 2,1 Mrd. Euro.</w:t>
      </w:r>
      <w:r>
        <w:rPr>
          <w:rStyle w:val="Funotenzeichen"/>
        </w:rPr>
        <w:footnoteReference w:id="1590"/>
      </w:r>
      <w:r>
        <w:t xml:space="preserve"> </w:t>
      </w:r>
    </w:p>
    <w:p w14:paraId="1D9E3D5D" w14:textId="77777777" w:rsidR="00112190" w:rsidRDefault="00112190" w:rsidP="00112190"/>
    <w:tbl>
      <w:tblPr>
        <w:tblStyle w:val="Tabellenraster"/>
        <w:tblW w:w="0" w:type="auto"/>
        <w:tblLook w:val="04A0" w:firstRow="1" w:lastRow="0" w:firstColumn="1" w:lastColumn="0" w:noHBand="0" w:noVBand="1"/>
      </w:tblPr>
      <w:tblGrid>
        <w:gridCol w:w="9062"/>
      </w:tblGrid>
      <w:tr w:rsidR="00CA7160" w14:paraId="50BBB13F" w14:textId="77777777" w:rsidTr="00CA7160">
        <w:tc>
          <w:tcPr>
            <w:tcW w:w="9062" w:type="dxa"/>
          </w:tcPr>
          <w:p w14:paraId="38E1FD35" w14:textId="16E05695" w:rsidR="00CA7160" w:rsidRDefault="00CA7160" w:rsidP="00112190">
            <w:r>
              <w:t xml:space="preserve">Nur ein Teil der Einnahmen der Versteigerung von ETS-Zertifikaten </w:t>
            </w:r>
            <w:r w:rsidR="00E2071A">
              <w:t xml:space="preserve">landet </w:t>
            </w:r>
            <w:r>
              <w:t>bei der EU</w:t>
            </w:r>
            <w:r w:rsidR="00E2071A">
              <w:t xml:space="preserve"> und kann dort dann in den diversen Fonds der EU genutzt werden</w:t>
            </w:r>
            <w:r>
              <w:t xml:space="preserve">. Denn Deutschland meldet </w:t>
            </w:r>
            <w:r w:rsidR="00892FED">
              <w:t>für das Jahr 2023</w:t>
            </w:r>
            <w:r>
              <w:t xml:space="preserve"> </w:t>
            </w:r>
            <w:r w:rsidR="00892FED">
              <w:t xml:space="preserve">18 Mrd. Einnahmen durch </w:t>
            </w:r>
            <w:r>
              <w:t>die Versteigerung von ETS-Zer</w:t>
            </w:r>
            <w:r w:rsidR="000724DB">
              <w:t>t</w:t>
            </w:r>
            <w:r>
              <w:t>i</w:t>
            </w:r>
            <w:r w:rsidR="000724DB">
              <w:t>f</w:t>
            </w:r>
            <w:r>
              <w:t>ikaten</w:t>
            </w:r>
            <w:r w:rsidR="00892FED">
              <w:t>, die vollständig an den Klima- und Transformationsfond der Bundesregierung fließen.</w:t>
            </w:r>
            <w:r w:rsidR="00892FED">
              <w:rPr>
                <w:rStyle w:val="Funotenzeichen"/>
              </w:rPr>
              <w:footnoteReference w:id="1591"/>
            </w:r>
            <w:r>
              <w:t xml:space="preserve"> </w:t>
            </w:r>
            <w:r w:rsidR="00EB2A48">
              <w:t>Die Verteilung der Gelder ist 75 % Deutschland / 25 % EU (</w:t>
            </w:r>
            <w:proofErr w:type="spellStart"/>
            <w:r w:rsidR="00EB2A48">
              <w:t>Fussnote</w:t>
            </w:r>
            <w:proofErr w:type="spellEnd"/>
            <w:r w:rsidR="00EB2A48">
              <w:t xml:space="preserve"> fehlt hier)</w:t>
            </w:r>
          </w:p>
        </w:tc>
      </w:tr>
    </w:tbl>
    <w:p w14:paraId="2F1B73CF" w14:textId="77777777" w:rsidR="00CA7160" w:rsidRDefault="00CA7160" w:rsidP="00112190"/>
    <w:p w14:paraId="5AA4EAD5" w14:textId="77777777" w:rsidR="00112190" w:rsidRDefault="00112190" w:rsidP="00112190">
      <w:bookmarkStart w:id="83" w:name="_Hlk156687792"/>
      <w:r>
        <w:t xml:space="preserve">Verordnung (EU) 2023/956 </w:t>
      </w:r>
      <w:bookmarkEnd w:id="83"/>
      <w:r>
        <w:t>des Europäischen Parlaments und des Rates vom 10. Mai 2023 zur Schaffung eines CO2-Grenzausgleichssystems (CBAM) soll die im ETS etablierten Instrumente ersetzen, die dem Risiko einer Verlagerung ins Ausland entgegenwirken sollen, die kostenlose Zuteilung von Zertifikaten und den Strompreisausgleich.</w:t>
      </w:r>
      <w:r>
        <w:rPr>
          <w:rStyle w:val="Funotenzeichen"/>
        </w:rPr>
        <w:footnoteReference w:id="1592"/>
      </w:r>
      <w:r>
        <w:t xml:space="preserve"> Siehe dazu gleich mehr. </w:t>
      </w:r>
    </w:p>
    <w:p w14:paraId="03D1C340" w14:textId="77777777" w:rsidR="00112190" w:rsidRDefault="00112190" w:rsidP="00112190"/>
    <w:p w14:paraId="213C27DF" w14:textId="77777777" w:rsidR="00112190" w:rsidRDefault="00112190" w:rsidP="00112190">
      <w:r>
        <w:t>Für die Zukunft wird diskutiert: Ab 2026 soll auch die Verbrennung von Siedlungsabfällen unter den Emissionshandel fallen und im Seeverkehr strengere Ziele vorgegeben werden und es sollen 2025 Vorreiter belohnt werden.</w:t>
      </w:r>
      <w:r>
        <w:rPr>
          <w:rStyle w:val="Funotenzeichen"/>
        </w:rPr>
        <w:footnoteReference w:id="1593"/>
      </w:r>
      <w:r>
        <w:t xml:space="preserve"> Siehe für den Seeverkehr Infos hier.</w:t>
      </w:r>
      <w:r>
        <w:rPr>
          <w:rStyle w:val="Funotenzeichen"/>
        </w:rPr>
        <w:footnoteReference w:id="1594"/>
      </w:r>
      <w:r>
        <w:t xml:space="preserve"> Eine Infoseite der EU zum ETS findet sich hier.</w:t>
      </w:r>
      <w:r>
        <w:rPr>
          <w:rStyle w:val="Funotenzeichen"/>
        </w:rPr>
        <w:footnoteReference w:id="1595"/>
      </w:r>
      <w:r>
        <w:t xml:space="preserve"> </w:t>
      </w:r>
    </w:p>
    <w:p w14:paraId="1BD263A4" w14:textId="77777777" w:rsidR="00112190" w:rsidRDefault="00112190" w:rsidP="00112190"/>
    <w:p w14:paraId="714544F2" w14:textId="77777777" w:rsidR="00112190" w:rsidRDefault="00112190" w:rsidP="00112190">
      <w:r w:rsidRPr="002A2D02">
        <w:t>Die deutsche Umsetzung</w:t>
      </w:r>
      <w:r>
        <w:t xml:space="preserve"> des Emissionshandels hat ebenso Gebäude bzw. Wärme und Verkehr einbezogen, im Brennstoffemissionshandelsgesetz, vom 19. Dezember 2019. Dadurch wurde ein Emissionshandel für die Sektoren Wärme und Verkehr ab 2021 eingeführt, beginnend mit einem CO2 Preis von 25 Euro je Tonne CO2, zahlbar durch die Produzenten oder Händler. Dadurch erhöht sich der Endverbraucherpreis. Ab 2026 soll es einen Übergang zu einem Auktionsverfahren geben, zwischen einem Mindestpreis 55 Euro und einem Höchstpreis 65 Euro). Im Gegenzug bzw. als Ausgleich wurde u.a. die steuerliche Entfernungspauschale angehoben.</w:t>
      </w:r>
      <w:r>
        <w:rPr>
          <w:rStyle w:val="Funotenzeichen"/>
        </w:rPr>
        <w:footnoteReference w:id="1596"/>
      </w:r>
      <w:r>
        <w:t xml:space="preserve"> </w:t>
      </w:r>
    </w:p>
    <w:p w14:paraId="0972E4DD" w14:textId="77777777" w:rsidR="00112190" w:rsidRDefault="00112190" w:rsidP="00112190"/>
    <w:p w14:paraId="6059C786" w14:textId="16FA7084" w:rsidR="00F417E4" w:rsidRDefault="00EC1854" w:rsidP="00112190">
      <w:r>
        <w:lastRenderedPageBreak/>
        <w:t>In Deutschland ist am</w:t>
      </w:r>
      <w:r w:rsidR="00F417E4">
        <w:t xml:space="preserve"> 6. März 2025 das Treibhausgas-Emissionshandelsgesetz (Brennstoffemissionshandelsgesetz?) geändert worden, um </w:t>
      </w:r>
      <w:r>
        <w:t>es</w:t>
      </w:r>
      <w:r w:rsidR="00F417E4">
        <w:t xml:space="preserve"> an die neuen Regeln </w:t>
      </w:r>
      <w:r>
        <w:t>der</w:t>
      </w:r>
      <w:r w:rsidR="00F417E4">
        <w:t xml:space="preserve"> EU </w:t>
      </w:r>
      <w:r>
        <w:t xml:space="preserve">Emissionshandelsrichtlinie </w:t>
      </w:r>
      <w:r w:rsidRPr="00EC1854">
        <w:t>Richtlinie 2003/87/EG</w:t>
      </w:r>
      <w:r w:rsidR="00F417E4">
        <w:t xml:space="preserve"> anzupassen, durch das TEHG-Europarechtsanpassungsgesetz 2024.</w:t>
      </w:r>
      <w:r w:rsidR="00F417E4">
        <w:rPr>
          <w:rStyle w:val="Funotenzeichen"/>
        </w:rPr>
        <w:footnoteReference w:id="1597"/>
      </w:r>
      <w:r w:rsidR="00F417E4">
        <w:t xml:space="preserve"> </w:t>
      </w:r>
    </w:p>
    <w:p w14:paraId="436B771D" w14:textId="77777777" w:rsidR="00F417E4" w:rsidRDefault="00F417E4" w:rsidP="00112190"/>
    <w:p w14:paraId="17C2A9F6" w14:textId="6A53E1D3" w:rsidR="00112190" w:rsidRDefault="00A97CAF" w:rsidP="00112190">
      <w:r>
        <w:t xml:space="preserve">Marktstabilitätsreserve. </w:t>
      </w:r>
      <w:r w:rsidR="00112190">
        <w:t>Weil die EU Kommission festgestellt hat, dass zu viele Zertifikate im Umlauf sind, wurde für den Emissionshandel ein Steuerungsgremium eingeführt worden, die Marktstabilitätsreserve (MSR).</w:t>
      </w:r>
      <w:r w:rsidR="00112190">
        <w:rPr>
          <w:rStyle w:val="Funotenzeichen"/>
        </w:rPr>
        <w:footnoteReference w:id="1598"/>
      </w:r>
      <w:r w:rsidR="00112190">
        <w:t xml:space="preserve"> Die Marktstabilitätsreserve wurde 2015 beschlossen, um ab dem 1.1.2019 einsatzbereit zu sein, Grund für die Einrichtung war, dass ein Überschuss von Zertifikaten erkannt wurde, wodurch befürchtet wurde, dass dadurch erst viele Jahre später höhere Preise erzielt werden können: „wodurch verhindert würde, dass vom EU-EHS das notwendige Signal für Investitionen in die kosteneffiziente Verringerung von CO2-Emissionen sowie der Anstoß für Innovationen zur Reduzierung des CO2-Ausstoßes ausgehen, die zu Wachstum und Beschäftigung beitragen.“</w:t>
      </w:r>
      <w:r w:rsidR="00112190">
        <w:rPr>
          <w:rStyle w:val="Funotenzeichen"/>
        </w:rPr>
        <w:footnoteReference w:id="1599"/>
      </w:r>
      <w:r w:rsidR="00112190">
        <w:t xml:space="preserve"> Ziel ist, dass das ETS innerhalb eines „geordneten Marktes“</w:t>
      </w:r>
      <w:r w:rsidR="00112190">
        <w:rPr>
          <w:rStyle w:val="Funotenzeichen"/>
        </w:rPr>
        <w:footnoteReference w:id="1600"/>
      </w:r>
      <w:r w:rsidR="00112190">
        <w:t xml:space="preserve"> funktionieren solle. Siehe die konsolidierte Fassung hier, aus der nun zitiert wird.</w:t>
      </w:r>
      <w:r w:rsidR="00112190">
        <w:rPr>
          <w:rStyle w:val="Funotenzeichen"/>
        </w:rPr>
        <w:footnoteReference w:id="1601"/>
      </w:r>
      <w:r w:rsidR="00112190">
        <w:t xml:space="preserve"> </w:t>
      </w:r>
    </w:p>
    <w:p w14:paraId="21FEF446" w14:textId="77777777" w:rsidR="00112190" w:rsidRDefault="00112190" w:rsidP="00112190"/>
    <w:p w14:paraId="4CEDD3DB" w14:textId="5EAE1236" w:rsidR="00112190" w:rsidRDefault="00112190" w:rsidP="00112190">
      <w:r>
        <w:t>Wie funktioniert die Marktstabilitätsreserve</w:t>
      </w:r>
      <w:r w:rsidR="00EB2A48">
        <w:t xml:space="preserve"> und das ETS</w:t>
      </w:r>
      <w:r>
        <w:t>? Zu Beginn ist wichtig, festzuhalten, dass die Marktstabilitätsreserve nicht den Markt ‚lenkt‘, um ein Ziel zu erreichen, etwa einen langsam ansteigenden CO2-Preis pro Tonne (der die Firmen bei der Umstellung des Produktionsapparates nicht überfordert, aber der dennoch Veränderungen anstößt). Es geht also nicht in einem direkten Sinn um Preisstabilisierung oder Preislenkung. Derzeit ist der Ansatz der EU die Marktstabilitätsreserve anhand von Regeln / Schwellenwerten zu lenken, die einen Automatismus nach sich ziehen. Einige Regeln sind komplex, etwa die detaillierten Sonderregeln für den Seeverkehr. Hier können nur die Grundzüge dargestellt werden, siehe diese Webseite für mehr Informationen.</w:t>
      </w:r>
      <w:r>
        <w:rPr>
          <w:rStyle w:val="Funotenzeichen"/>
        </w:rPr>
        <w:footnoteReference w:id="1602"/>
      </w:r>
      <w:r>
        <w:t xml:space="preserve"> Auch die Marktdynamiken sind schwer zu verstehen, im Jahr 2023 ist es beispielsweise dazu gekommen, dass die Preise stark gestiegen sind, obwohl viele Zertifikate noch im Umlauf sind. </w:t>
      </w:r>
    </w:p>
    <w:p w14:paraId="5AE55BC3" w14:textId="77777777" w:rsidR="00112190" w:rsidRDefault="00112190" w:rsidP="00112190"/>
    <w:p w14:paraId="2312B7DA" w14:textId="516A0E7F" w:rsidR="00F417E4" w:rsidRDefault="00F417E4" w:rsidP="00112190">
      <w:r>
        <w:t>Der Handel mit den Emissionszertifikaten erfolgt an der European Energy Exchange (EEX) in Leipzig, aber auch z.B. in Amsterdam. Es gibt auch Handelshäuser die Zertifikate halten und handeln. In Leipzig finden fast täglich Auktionen statt.</w:t>
      </w:r>
      <w:r>
        <w:rPr>
          <w:rStyle w:val="Funotenzeichen"/>
        </w:rPr>
        <w:footnoteReference w:id="1603"/>
      </w:r>
      <w:r w:rsidR="00EC1854">
        <w:t xml:space="preserve"> Siehe auch hier Infos vom UBA und der </w:t>
      </w:r>
      <w:proofErr w:type="spellStart"/>
      <w:r w:rsidR="00EC1854">
        <w:t>DEHSt</w:t>
      </w:r>
      <w:proofErr w:type="spellEnd"/>
      <w:r w:rsidR="00EC1854">
        <w:t>.</w:t>
      </w:r>
      <w:r w:rsidR="00EC1854">
        <w:rPr>
          <w:rStyle w:val="Funotenzeichen"/>
        </w:rPr>
        <w:footnoteReference w:id="1604"/>
      </w:r>
      <w:r w:rsidR="00EC1854">
        <w:t xml:space="preserve"> Die Versteigerung erfolgt nach den Regeln der </w:t>
      </w:r>
      <w:proofErr w:type="gramStart"/>
      <w:r w:rsidR="00EC1854">
        <w:t>EU Auktionsverordnung</w:t>
      </w:r>
      <w:proofErr w:type="gramEnd"/>
      <w:r w:rsidR="00EC1854">
        <w:t>, siehe hier.</w:t>
      </w:r>
      <w:r w:rsidR="00EC1854">
        <w:rPr>
          <w:rStyle w:val="Funotenzeichen"/>
        </w:rPr>
        <w:footnoteReference w:id="1605"/>
      </w:r>
      <w:r w:rsidR="00E2071A">
        <w:t xml:space="preserve"> Die EEX veröffentlicht einen </w:t>
      </w:r>
      <w:proofErr w:type="gramStart"/>
      <w:r w:rsidR="00E2071A">
        <w:t>EUA Sport</w:t>
      </w:r>
      <w:proofErr w:type="gramEnd"/>
      <w:r w:rsidR="00E2071A">
        <w:t xml:space="preserve"> Price (EUA = </w:t>
      </w:r>
      <w:r w:rsidR="00561F60">
        <w:t>EU-</w:t>
      </w:r>
      <w:proofErr w:type="spellStart"/>
      <w:r w:rsidR="00561F60">
        <w:t>Allowance</w:t>
      </w:r>
      <w:proofErr w:type="spellEnd"/>
      <w:r w:rsidR="00561F60">
        <w:t xml:space="preserve"> bzw. </w:t>
      </w:r>
      <w:r w:rsidR="00E2071A">
        <w:t>EU-Emissionszertifikat), siehe hier.</w:t>
      </w:r>
      <w:r w:rsidR="00E2071A">
        <w:rPr>
          <w:rStyle w:val="Funotenzeichen"/>
        </w:rPr>
        <w:footnoteReference w:id="1606"/>
      </w:r>
    </w:p>
    <w:p w14:paraId="1EB23B7F" w14:textId="77777777" w:rsidR="00F417E4" w:rsidRDefault="00F417E4" w:rsidP="00112190"/>
    <w:p w14:paraId="2BFE3490" w14:textId="64B848B7" w:rsidR="00112190" w:rsidRDefault="00112190" w:rsidP="00112190">
      <w:r>
        <w:lastRenderedPageBreak/>
        <w:t>Wie lauten die Regeln / Schwellenwerte: Es gibt für jedes Jahr ein Cap bzw. eine Obergrenze (Suche unter ‚</w:t>
      </w:r>
      <w:r w:rsidRPr="00865ABB">
        <w:t>Union-</w:t>
      </w:r>
      <w:proofErr w:type="spellStart"/>
      <w:r w:rsidRPr="00865ABB">
        <w:t>wide</w:t>
      </w:r>
      <w:proofErr w:type="spellEnd"/>
      <w:r w:rsidRPr="00865ABB">
        <w:t xml:space="preserve"> </w:t>
      </w:r>
      <w:proofErr w:type="spellStart"/>
      <w:r w:rsidRPr="00865ABB">
        <w:t>quantity</w:t>
      </w:r>
      <w:proofErr w:type="spellEnd"/>
      <w:r w:rsidRPr="00865ABB">
        <w:t xml:space="preserve"> </w:t>
      </w:r>
      <w:proofErr w:type="spellStart"/>
      <w:r w:rsidRPr="00865ABB">
        <w:t>of</w:t>
      </w:r>
      <w:proofErr w:type="spellEnd"/>
      <w:r w:rsidRPr="00865ABB">
        <w:t xml:space="preserve"> </w:t>
      </w:r>
      <w:proofErr w:type="spellStart"/>
      <w:r w:rsidRPr="00865ABB">
        <w:t>allowances</w:t>
      </w:r>
      <w:proofErr w:type="spellEnd"/>
      <w:r>
        <w:t xml:space="preserve"> </w:t>
      </w:r>
      <w:proofErr w:type="spellStart"/>
      <w:r>
        <w:t>for</w:t>
      </w:r>
      <w:proofErr w:type="spellEnd"/>
      <w:r>
        <w:t xml:space="preserve"> … Jahr‘)</w:t>
      </w:r>
      <w:r w:rsidR="00333B10">
        <w:t xml:space="preserve"> festgelegt,</w:t>
      </w:r>
      <w:r w:rsidR="00333B10" w:rsidRPr="00333B10">
        <w:rPr>
          <w:u w:val="single"/>
        </w:rPr>
        <w:t xml:space="preserve"> die</w:t>
      </w:r>
      <w:r w:rsidR="00F417E4">
        <w:rPr>
          <w:u w:val="single"/>
        </w:rPr>
        <w:t>s sind die</w:t>
      </w:r>
      <w:r w:rsidR="00333B10" w:rsidRPr="00333B10">
        <w:rPr>
          <w:u w:val="single"/>
        </w:rPr>
        <w:t xml:space="preserve"> in diesem Jahr </w:t>
      </w:r>
      <w:r w:rsidR="00F417E4">
        <w:rPr>
          <w:u w:val="single"/>
        </w:rPr>
        <w:t xml:space="preserve">für die </w:t>
      </w:r>
      <w:proofErr w:type="spellStart"/>
      <w:r w:rsidR="00F417E4">
        <w:rPr>
          <w:u w:val="single"/>
        </w:rPr>
        <w:t>Auktionierung</w:t>
      </w:r>
      <w:proofErr w:type="spellEnd"/>
      <w:r w:rsidR="00F417E4">
        <w:rPr>
          <w:u w:val="single"/>
        </w:rPr>
        <w:t xml:space="preserve"> vorgesehenen Emissionszertifikate</w:t>
      </w:r>
      <w:r>
        <w:t xml:space="preserve">, dies ist für das Jahr 2021 </w:t>
      </w:r>
      <w:r w:rsidRPr="00865ABB">
        <w:t>1</w:t>
      </w:r>
      <w:r>
        <w:t>.</w:t>
      </w:r>
      <w:r w:rsidRPr="00865ABB">
        <w:t>571</w:t>
      </w:r>
      <w:r>
        <w:t>.</w:t>
      </w:r>
      <w:r w:rsidRPr="00865ABB">
        <w:t>583</w:t>
      </w:r>
      <w:r>
        <w:t>.</w:t>
      </w:r>
      <w:r w:rsidRPr="00865ABB">
        <w:t>007</w:t>
      </w:r>
      <w:r>
        <w:t xml:space="preserve"> EUAs (1,57 Mrd.</w:t>
      </w:r>
      <w:r w:rsidR="00E2071A">
        <w:t xml:space="preserve"> EUAs</w:t>
      </w:r>
      <w:r>
        <w:t>), separat veröffentlicht als Beschluss der Kommission.</w:t>
      </w:r>
      <w:r>
        <w:rPr>
          <w:rStyle w:val="Funotenzeichen"/>
        </w:rPr>
        <w:footnoteReference w:id="1607"/>
      </w:r>
      <w:r>
        <w:t xml:space="preserve"> In diesem Jahr wurde erstmal begonnen jährlich 2,2 % abzuziehen. Für 2023 ist l</w:t>
      </w:r>
      <w:r w:rsidR="00B12B0E">
        <w:t>ag</w:t>
      </w:r>
      <w:r>
        <w:t xml:space="preserve"> der Wert dann bei </w:t>
      </w:r>
      <w:r w:rsidRPr="00865ABB">
        <w:t>1</w:t>
      </w:r>
      <w:r>
        <w:t>.</w:t>
      </w:r>
      <w:r w:rsidRPr="00865ABB">
        <w:t>485</w:t>
      </w:r>
      <w:r>
        <w:t>.</w:t>
      </w:r>
      <w:r w:rsidRPr="00865ABB">
        <w:t>575</w:t>
      </w:r>
      <w:r>
        <w:t>.</w:t>
      </w:r>
      <w:r w:rsidRPr="00865ABB">
        <w:t>977</w:t>
      </w:r>
      <w:r>
        <w:t xml:space="preserve"> EUAs (1,48 Mrd.). Für 2024 l</w:t>
      </w:r>
      <w:r w:rsidR="00F63FE4">
        <w:t>ag</w:t>
      </w:r>
      <w:r>
        <w:t xml:space="preserve"> der Wert bei </w:t>
      </w:r>
      <w:r w:rsidRPr="00607191">
        <w:t>1</w:t>
      </w:r>
      <w:r>
        <w:t>.</w:t>
      </w:r>
      <w:r w:rsidRPr="00607191">
        <w:t>386</w:t>
      </w:r>
      <w:r>
        <w:t>.</w:t>
      </w:r>
      <w:r w:rsidRPr="00607191">
        <w:t>051</w:t>
      </w:r>
      <w:r>
        <w:t>.</w:t>
      </w:r>
      <w:r w:rsidRPr="00607191">
        <w:t>745</w:t>
      </w:r>
      <w:r>
        <w:t xml:space="preserve"> EUAs (1,38 Mrd.)</w:t>
      </w:r>
      <w:r w:rsidRPr="00607191">
        <w:rPr>
          <w:rStyle w:val="Funotenzeichen"/>
        </w:rPr>
        <w:t xml:space="preserve"> </w:t>
      </w:r>
      <w:r>
        <w:rPr>
          <w:rStyle w:val="Funotenzeichen"/>
        </w:rPr>
        <w:footnoteReference w:id="1608"/>
      </w:r>
    </w:p>
    <w:p w14:paraId="5233414B" w14:textId="77777777" w:rsidR="00112190" w:rsidRDefault="00112190" w:rsidP="00112190"/>
    <w:p w14:paraId="7D163F9C" w14:textId="21D9BE4E" w:rsidR="000A562C" w:rsidRDefault="00112190" w:rsidP="00112190">
      <w:r>
        <w:t xml:space="preserve">Der Cap </w:t>
      </w:r>
      <w:r w:rsidR="00E2071A">
        <w:t xml:space="preserve">bzw. die Obergrenze </w:t>
      </w:r>
      <w:r>
        <w:t>wird langsam abgesenkt. Der Faktor minus 2,2 % gilt von 2021 bis 2023. Für 2024 bis 2027 gilt jährlich der sog. lineare Faktor von 4,3 % und von 2028 an von 4,4 %.</w:t>
      </w:r>
      <w:r w:rsidRPr="00B43BBC">
        <w:t xml:space="preserve"> </w:t>
      </w:r>
      <w:r>
        <w:t>Im Jahr 2024 wird durch die Einbindung des Seeverkehrs der CAP um 78,4 Millionen Zertifikate erhöht, aber gleichzeitig um 90 Millionen Zertifikate abgesenkt. Im Jahr 2026 gibt es eine Reduktion des C</w:t>
      </w:r>
      <w:r w:rsidR="00E2071A">
        <w:t>aps</w:t>
      </w:r>
      <w:r>
        <w:t xml:space="preserve"> von 27 Millionen Zertifikaten (zu diesem Abschnitt siehe Art. 9, ETS-Richtlinie, konsolidierte Fassung, 2003/87/EG).</w:t>
      </w:r>
      <w:r>
        <w:rPr>
          <w:rStyle w:val="Funotenzeichen"/>
        </w:rPr>
        <w:footnoteReference w:id="1609"/>
      </w:r>
      <w:r w:rsidR="00236D45">
        <w:t xml:space="preserve"> </w:t>
      </w:r>
    </w:p>
    <w:p w14:paraId="0107610E" w14:textId="77777777" w:rsidR="000A562C" w:rsidRDefault="000A562C" w:rsidP="00112190"/>
    <w:p w14:paraId="32D0E8F7" w14:textId="752775E1" w:rsidR="00333B10" w:rsidRDefault="00333B10" w:rsidP="00112190">
      <w:r>
        <w:t>Also 78,4 – 90 - 27 = - 38,6 Mill., also 38.600.000 wird unten nochmal – minus gerechnet.</w:t>
      </w:r>
    </w:p>
    <w:p w14:paraId="1AC6D5F3" w14:textId="77777777" w:rsidR="00333B10" w:rsidRDefault="00333B10" w:rsidP="00112190"/>
    <w:p w14:paraId="135CB0F1" w14:textId="662941D9" w:rsidR="00112190" w:rsidRDefault="000A562C" w:rsidP="00112190">
      <w:r w:rsidRPr="00561F60">
        <w:rPr>
          <w:u w:val="single"/>
        </w:rPr>
        <w:t>Dies</w:t>
      </w:r>
      <w:r w:rsidR="00333B10" w:rsidRPr="00561F60">
        <w:rPr>
          <w:u w:val="single"/>
        </w:rPr>
        <w:t xml:space="preserve"> soll offenbar </w:t>
      </w:r>
      <w:r w:rsidRPr="00561F60">
        <w:rPr>
          <w:u w:val="single"/>
        </w:rPr>
        <w:t>dazu</w:t>
      </w:r>
      <w:r w:rsidR="00333B10" w:rsidRPr="00561F60">
        <w:rPr>
          <w:u w:val="single"/>
        </w:rPr>
        <w:t xml:space="preserve"> führen</w:t>
      </w:r>
      <w:r w:rsidRPr="00561F60">
        <w:rPr>
          <w:u w:val="single"/>
        </w:rPr>
        <w:t xml:space="preserve">, dass 2040 alle Emissionen der Industrie auf </w:t>
      </w:r>
      <w:proofErr w:type="spellStart"/>
      <w:r w:rsidRPr="00561F60">
        <w:rPr>
          <w:u w:val="single"/>
        </w:rPr>
        <w:t>Null</w:t>
      </w:r>
      <w:proofErr w:type="spellEnd"/>
      <w:r w:rsidRPr="00561F60">
        <w:rPr>
          <w:u w:val="single"/>
        </w:rPr>
        <w:t xml:space="preserve"> gesetzt sind, so der Bericht Monitoring der Energiewende 2024</w:t>
      </w:r>
      <w:r>
        <w:t>.</w:t>
      </w:r>
      <w:r>
        <w:rPr>
          <w:rStyle w:val="Funotenzeichen"/>
        </w:rPr>
        <w:footnoteReference w:id="1610"/>
      </w:r>
      <w:r>
        <w:t xml:space="preserve"> Wie ich das </w:t>
      </w:r>
      <w:r w:rsidR="000724DB">
        <w:t xml:space="preserve">auch </w:t>
      </w:r>
      <w:r>
        <w:t xml:space="preserve">rechne, </w:t>
      </w:r>
      <w:r w:rsidR="000724DB">
        <w:t xml:space="preserve">ich </w:t>
      </w:r>
      <w:r>
        <w:t xml:space="preserve">komme 2040 nicht auf null </w:t>
      </w:r>
      <w:r w:rsidR="00236D45">
        <w:t>(nicht gerundet berechnet, Zahlen hinter dem Komma weggelassen</w:t>
      </w:r>
      <w:r>
        <w:t xml:space="preserve">, </w:t>
      </w:r>
      <w:proofErr w:type="spellStart"/>
      <w:r>
        <w:t>jedesmal</w:t>
      </w:r>
      <w:proofErr w:type="spellEnd"/>
      <w:r>
        <w:t xml:space="preserve"> vom neu ausgerechneten Wert wieder 0,044 % abgerechnet</w:t>
      </w:r>
      <w:r w:rsidR="00236D45">
        <w:t>)</w:t>
      </w:r>
      <w:r w:rsidR="003A7FA2">
        <w:t>.</w:t>
      </w:r>
      <w:r w:rsidR="00333B10">
        <w:t xml:space="preserve"> Siehe </w:t>
      </w:r>
      <w:proofErr w:type="spellStart"/>
      <w:r w:rsidR="00333B10">
        <w:t>Fussnote</w:t>
      </w:r>
      <w:proofErr w:type="spellEnd"/>
      <w:r w:rsidR="00333B10">
        <w:t>.</w:t>
      </w:r>
      <w:r w:rsidR="003A7FA2">
        <w:rPr>
          <w:rStyle w:val="Funotenzeichen"/>
        </w:rPr>
        <w:footnoteReference w:id="1611"/>
      </w:r>
    </w:p>
    <w:p w14:paraId="6C0B4777" w14:textId="77777777" w:rsidR="003A7FA2" w:rsidRDefault="003A7FA2" w:rsidP="00112190"/>
    <w:p w14:paraId="2B311629" w14:textId="14D062E6" w:rsidR="00A035FB" w:rsidRDefault="003A7FA2" w:rsidP="00112190">
      <w:r>
        <w:t>Vielleicht bedeutet linearer Faktor von 4,4 %, dass man den ersten Wert jeweils</w:t>
      </w:r>
      <w:r w:rsidR="0027082A">
        <w:t xml:space="preserve"> so lässt und immer wieder neu</w:t>
      </w:r>
      <w:r>
        <w:t xml:space="preserve"> abzieht</w:t>
      </w:r>
      <w:r w:rsidR="00A035FB">
        <w:t>.</w:t>
      </w:r>
      <w:r w:rsidR="0027082A">
        <w:t xml:space="preserve"> </w:t>
      </w:r>
      <w:r w:rsidR="00A035FB">
        <w:t>Also</w:t>
      </w:r>
      <w:r w:rsidR="0027082A">
        <w:t xml:space="preserve"> so</w:t>
      </w:r>
      <w:r w:rsidR="00A035FB">
        <w:t>:</w:t>
      </w:r>
    </w:p>
    <w:p w14:paraId="5BDB2290" w14:textId="77777777" w:rsidR="00A035FB" w:rsidRDefault="00A035FB" w:rsidP="00112190"/>
    <w:p w14:paraId="5B2F6DE3" w14:textId="42B53ACC" w:rsidR="00A035FB" w:rsidRDefault="00A035FB" w:rsidP="00112190">
      <w:r>
        <w:t xml:space="preserve">2024: 1.386.051.745 - * 0,043 = </w:t>
      </w:r>
      <w:r w:rsidRPr="00A035FB">
        <w:t>59.600.225</w:t>
      </w:r>
    </w:p>
    <w:p w14:paraId="5CD631E1" w14:textId="322608A7" w:rsidR="00A035FB" w:rsidRDefault="00A035FB" w:rsidP="00112190">
      <w:r>
        <w:t xml:space="preserve">2025: </w:t>
      </w:r>
      <w:r w:rsidRPr="00A035FB">
        <w:t>1.326.451.520</w:t>
      </w:r>
      <w:r>
        <w:t xml:space="preserve"> - </w:t>
      </w:r>
      <w:r w:rsidRPr="00A035FB">
        <w:t>59.600.225</w:t>
      </w:r>
    </w:p>
    <w:p w14:paraId="45D98EAB" w14:textId="6874C124" w:rsidR="00A035FB" w:rsidRDefault="00A035FB" w:rsidP="00112190">
      <w:r>
        <w:t xml:space="preserve">2026: </w:t>
      </w:r>
      <w:r w:rsidRPr="00A035FB">
        <w:t>1.266.851.295</w:t>
      </w:r>
    </w:p>
    <w:p w14:paraId="1751BC33" w14:textId="3C529CC7" w:rsidR="00A035FB" w:rsidRDefault="00A035FB" w:rsidP="00112190">
      <w:r>
        <w:lastRenderedPageBreak/>
        <w:t xml:space="preserve">2027: </w:t>
      </w:r>
      <w:r w:rsidRPr="00A035FB">
        <w:t>1.207.251.070</w:t>
      </w:r>
    </w:p>
    <w:p w14:paraId="65FCC718" w14:textId="0736D832" w:rsidR="00112190" w:rsidRDefault="00A035FB" w:rsidP="00112190">
      <w:r>
        <w:t xml:space="preserve">2028: </w:t>
      </w:r>
      <w:r w:rsidRPr="00A035FB">
        <w:t>1.147.650.845</w:t>
      </w:r>
      <w:r>
        <w:t xml:space="preserve"> - * 0,044 = </w:t>
      </w:r>
      <w:r w:rsidRPr="00A035FB">
        <w:t>50.496.637</w:t>
      </w:r>
    </w:p>
    <w:p w14:paraId="0889BFCF" w14:textId="5A09E637" w:rsidR="00112190" w:rsidRDefault="00A035FB" w:rsidP="00112190">
      <w:r>
        <w:t xml:space="preserve">2029: </w:t>
      </w:r>
      <w:r w:rsidRPr="00A035FB">
        <w:t>1.097.154.208</w:t>
      </w:r>
      <w:r>
        <w:t xml:space="preserve"> - </w:t>
      </w:r>
      <w:r w:rsidRPr="00A035FB">
        <w:t>50.496.637</w:t>
      </w:r>
    </w:p>
    <w:p w14:paraId="6965296E" w14:textId="47F8DC26" w:rsidR="00A035FB" w:rsidRDefault="00A035FB" w:rsidP="00112190">
      <w:r>
        <w:t xml:space="preserve">2030: </w:t>
      </w:r>
      <w:r w:rsidRPr="00A035FB">
        <w:t>1.046.657.571</w:t>
      </w:r>
    </w:p>
    <w:p w14:paraId="4CD3E38C" w14:textId="2075D335" w:rsidR="00A035FB" w:rsidRDefault="00A035FB" w:rsidP="00112190">
      <w:r>
        <w:t xml:space="preserve">2031: </w:t>
      </w:r>
      <w:r w:rsidRPr="00A035FB">
        <w:t>996.160.934</w:t>
      </w:r>
    </w:p>
    <w:p w14:paraId="5F37D80F" w14:textId="12741250" w:rsidR="00A035FB" w:rsidRDefault="00A035FB" w:rsidP="00112190">
      <w:r>
        <w:t xml:space="preserve">2032: </w:t>
      </w:r>
      <w:r w:rsidRPr="00A035FB">
        <w:t>945.664.297</w:t>
      </w:r>
    </w:p>
    <w:p w14:paraId="16880954" w14:textId="4E529B35" w:rsidR="00A035FB" w:rsidRDefault="00A035FB" w:rsidP="00112190">
      <w:r>
        <w:t xml:space="preserve">2033: </w:t>
      </w:r>
      <w:r w:rsidRPr="00A035FB">
        <w:t>895.167.660</w:t>
      </w:r>
    </w:p>
    <w:p w14:paraId="3E7FA538" w14:textId="5E4250B9" w:rsidR="00A035FB" w:rsidRDefault="00A035FB" w:rsidP="00112190">
      <w:r>
        <w:t xml:space="preserve">2034: </w:t>
      </w:r>
      <w:r w:rsidRPr="00A035FB">
        <w:t>844.671.023</w:t>
      </w:r>
    </w:p>
    <w:p w14:paraId="5FAFA7C2" w14:textId="17E3CE23" w:rsidR="00A035FB" w:rsidRDefault="00A035FB" w:rsidP="00112190">
      <w:r>
        <w:t xml:space="preserve">2035: </w:t>
      </w:r>
      <w:r w:rsidRPr="00A035FB">
        <w:t>794.174.386</w:t>
      </w:r>
    </w:p>
    <w:p w14:paraId="580652BE" w14:textId="62E95F94" w:rsidR="00A035FB" w:rsidRDefault="00A035FB" w:rsidP="00112190">
      <w:r>
        <w:t xml:space="preserve">2036: </w:t>
      </w:r>
      <w:r w:rsidRPr="00A035FB">
        <w:t>743.677.749</w:t>
      </w:r>
    </w:p>
    <w:p w14:paraId="04B30365" w14:textId="0F221A6E" w:rsidR="00A035FB" w:rsidRDefault="00A035FB" w:rsidP="00112190">
      <w:r>
        <w:t xml:space="preserve">2037: </w:t>
      </w:r>
      <w:r w:rsidRPr="00A035FB">
        <w:t>693.181.112</w:t>
      </w:r>
    </w:p>
    <w:p w14:paraId="2AC1F569" w14:textId="65122A5E" w:rsidR="00A035FB" w:rsidRDefault="00A035FB" w:rsidP="00112190">
      <w:r>
        <w:t xml:space="preserve">2038: </w:t>
      </w:r>
      <w:r w:rsidR="0027082A" w:rsidRPr="0027082A">
        <w:t>642.684.475</w:t>
      </w:r>
    </w:p>
    <w:p w14:paraId="4CAB5D6B" w14:textId="4525B60C" w:rsidR="00A035FB" w:rsidRDefault="00A035FB" w:rsidP="00112190">
      <w:r>
        <w:t>2039:</w:t>
      </w:r>
      <w:r w:rsidR="0027082A">
        <w:t xml:space="preserve"> </w:t>
      </w:r>
      <w:r w:rsidR="0027082A" w:rsidRPr="0027082A">
        <w:t>592.187.838</w:t>
      </w:r>
      <w:r w:rsidR="000D4EC8">
        <w:tab/>
        <w:t>(</w:t>
      </w:r>
      <w:r w:rsidR="001E73FF">
        <w:t xml:space="preserve">oder: 0, es </w:t>
      </w:r>
      <w:r w:rsidR="000D4EC8">
        <w:t xml:space="preserve">werden </w:t>
      </w:r>
      <w:r w:rsidR="001E73FF">
        <w:t>wohl ab</w:t>
      </w:r>
      <w:r w:rsidR="000D4EC8">
        <w:t xml:space="preserve"> 2039 keine </w:t>
      </w:r>
      <w:r w:rsidR="001E73FF">
        <w:t>neuen Zertifikate mehr versteigert)</w:t>
      </w:r>
    </w:p>
    <w:p w14:paraId="00DD1F1F" w14:textId="5A87F52A" w:rsidR="00A035FB" w:rsidRDefault="00A035FB" w:rsidP="00112190">
      <w:r>
        <w:t>2040:</w:t>
      </w:r>
      <w:r w:rsidR="0027082A">
        <w:t xml:space="preserve"> </w:t>
      </w:r>
      <w:r w:rsidR="0027082A" w:rsidRPr="0027082A">
        <w:t>541.691.201</w:t>
      </w:r>
    </w:p>
    <w:p w14:paraId="645E2AE6" w14:textId="77777777" w:rsidR="000A562C" w:rsidRDefault="000A562C" w:rsidP="00112190"/>
    <w:p w14:paraId="4B723F98" w14:textId="410E6A95" w:rsidR="0027082A" w:rsidRDefault="00333B10" w:rsidP="00112190">
      <w:r>
        <w:t xml:space="preserve">Wenn man jetzt noch die Einzelwerte, siehe oben, abzieht: - 38.600.000, ist man immer noch nicht 2040 auf null. </w:t>
      </w:r>
      <w:r w:rsidR="0027082A">
        <w:t xml:space="preserve">Mir kann </w:t>
      </w:r>
      <w:r w:rsidR="00C06294">
        <w:t xml:space="preserve">gerne jemand </w:t>
      </w:r>
      <w:r w:rsidR="0027082A">
        <w:t>erklären</w:t>
      </w:r>
      <w:r w:rsidR="00C06294">
        <w:t xml:space="preserve">, wie man hier auf </w:t>
      </w:r>
      <w:proofErr w:type="spellStart"/>
      <w:r w:rsidR="00C06294">
        <w:t>Null</w:t>
      </w:r>
      <w:proofErr w:type="spellEnd"/>
      <w:r w:rsidR="00C06294">
        <w:t xml:space="preserve"> kommen soll</w:t>
      </w:r>
      <w:r w:rsidR="0027082A">
        <w:t xml:space="preserve">. </w:t>
      </w:r>
      <w:r>
        <w:t>Im Erklärungstext des Umweltbundesamtes ist nicht davon die Rede, dass 2040 keine Emissionszertifikate mehr auf den Markt gebracht werden.</w:t>
      </w:r>
      <w:r>
        <w:rPr>
          <w:rStyle w:val="Funotenzeichen"/>
        </w:rPr>
        <w:footnoteReference w:id="1612"/>
      </w:r>
      <w:r w:rsidR="000D4EC8" w:rsidRPr="000D4EC8">
        <w:t xml:space="preserve"> </w:t>
      </w:r>
      <w:r w:rsidR="00C06294">
        <w:t>Mit</w:t>
      </w:r>
      <w:r w:rsidR="000D4EC8">
        <w:t xml:space="preserve"> </w:t>
      </w:r>
      <w:r w:rsidR="00C06294">
        <w:t xml:space="preserve">der </w:t>
      </w:r>
      <w:r w:rsidR="000D4EC8">
        <w:t xml:space="preserve">Formulierung im Monitoringbericht, dass alle Emissionen 2040 auf </w:t>
      </w:r>
      <w:proofErr w:type="spellStart"/>
      <w:r w:rsidR="000D4EC8">
        <w:t>Null</w:t>
      </w:r>
      <w:proofErr w:type="spellEnd"/>
      <w:r w:rsidR="000D4EC8">
        <w:t xml:space="preserve"> gesetzt werden</w:t>
      </w:r>
      <w:r w:rsidR="000D4EC8">
        <w:rPr>
          <w:rStyle w:val="Funotenzeichen"/>
        </w:rPr>
        <w:footnoteReference w:id="1613"/>
      </w:r>
      <w:r w:rsidR="000D4EC8">
        <w:t xml:space="preserve"> </w:t>
      </w:r>
      <w:r w:rsidR="00C06294">
        <w:t>könnte auch der</w:t>
      </w:r>
      <w:r w:rsidR="002D2C96">
        <w:t xml:space="preserve"> Stand in der Gesetzgebung </w:t>
      </w:r>
      <w:r w:rsidR="00C06294">
        <w:t>gemeint sein</w:t>
      </w:r>
      <w:r w:rsidR="002D2C96">
        <w:t xml:space="preserve">, dass erstmals 2039 </w:t>
      </w:r>
      <w:proofErr w:type="gramStart"/>
      <w:r w:rsidR="002D2C96">
        <w:t>keinen neuen Zertifikate</w:t>
      </w:r>
      <w:proofErr w:type="gramEnd"/>
      <w:r w:rsidR="002D2C96">
        <w:t xml:space="preserve"> auf den Markt kommen </w:t>
      </w:r>
      <w:r w:rsidR="00C06294">
        <w:t xml:space="preserve">sollen </w:t>
      </w:r>
      <w:r w:rsidR="002D2C96">
        <w:t xml:space="preserve">(ich weiß nicht, wo dies </w:t>
      </w:r>
      <w:r w:rsidR="00F14EAB">
        <w:t xml:space="preserve">in den Gesetzen bzw. Verordnungen </w:t>
      </w:r>
      <w:r w:rsidR="002D2C96">
        <w:t>steht, die KI gibt es auch nicht an). Die Industrie kann aber dann noch Emissions</w:t>
      </w:r>
      <w:r w:rsidR="00F14EAB">
        <w:t>zertifikate</w:t>
      </w:r>
      <w:r w:rsidR="002D2C96">
        <w:t xml:space="preserve"> aus den Vorjahren </w:t>
      </w:r>
      <w:proofErr w:type="gramStart"/>
      <w:r w:rsidR="002D2C96">
        <w:t>übrig haben</w:t>
      </w:r>
      <w:proofErr w:type="gramEnd"/>
      <w:r w:rsidR="002D2C96">
        <w:t xml:space="preserve">, für die Luftfahrt gibt es eine abweichende Regel, </w:t>
      </w:r>
      <w:r w:rsidR="00C06294">
        <w:t>in einem anderen Artikel wird dies auch nicht abschließend geklärt,</w:t>
      </w:r>
      <w:r w:rsidR="002D2C96">
        <w:t xml:space="preserve"> </w:t>
      </w:r>
      <w:r w:rsidR="00F63FE4">
        <w:t>in der Literatur wird angegeben, dass es</w:t>
      </w:r>
      <w:r w:rsidR="002D2C96">
        <w:t xml:space="preserve"> </w:t>
      </w:r>
      <w:r w:rsidR="00C06294">
        <w:t xml:space="preserve">jedenfalls </w:t>
      </w:r>
      <w:r w:rsidR="002D2C96">
        <w:t>wahrscheinlich</w:t>
      </w:r>
      <w:r w:rsidR="00F63FE4">
        <w:t xml:space="preserve"> sei</w:t>
      </w:r>
      <w:r w:rsidR="002D2C96">
        <w:t>, dass die im ETS 1 regulierten Anlage</w:t>
      </w:r>
      <w:r w:rsidR="00F14EAB">
        <w:t xml:space="preserve">n </w:t>
      </w:r>
      <w:r w:rsidR="002D2C96">
        <w:t xml:space="preserve">ihre Emissionen auf null senken müssen, </w:t>
      </w:r>
      <w:r w:rsidR="00F14EAB">
        <w:t xml:space="preserve">jedenfalls deutlich vor 2045, </w:t>
      </w:r>
      <w:r w:rsidR="002D2C96">
        <w:t>siehe diesen Artikel.</w:t>
      </w:r>
      <w:r w:rsidR="002D2C96">
        <w:rPr>
          <w:rStyle w:val="Funotenzeichen"/>
        </w:rPr>
        <w:footnoteReference w:id="1614"/>
      </w:r>
    </w:p>
    <w:p w14:paraId="558A973A" w14:textId="77777777" w:rsidR="0027082A" w:rsidRDefault="0027082A" w:rsidP="00112190"/>
    <w:p w14:paraId="0CD74B3E" w14:textId="6B5C9FC5" w:rsidR="00C06294" w:rsidRDefault="00C06294" w:rsidP="00C06294">
      <w:r>
        <w:t>Expertin Vicki Duscha</w:t>
      </w:r>
      <w:r>
        <w:rPr>
          <w:rStyle w:val="Funotenzeichen"/>
        </w:rPr>
        <w:footnoteReference w:id="1615"/>
      </w:r>
      <w:r>
        <w:t xml:space="preserve"> sagt dazu, dass sie es für unrealistisch hält, dass z.B. 2040 Gaskraftwerke oder Stahlwerke einfach abgestellt werden müssen, die würde die Politik nicht zulassen. Weiterhin seien dann immer noch Zertifikate im Umlauf. Und es könnten ggf. auch </w:t>
      </w:r>
      <w:proofErr w:type="spellStart"/>
      <w:r>
        <w:t>Direct</w:t>
      </w:r>
      <w:proofErr w:type="spellEnd"/>
      <w:r>
        <w:t xml:space="preserve"> Carbon Capture Leistungen anerkannt werden oder andere weltweit gehandelte Zertifikate anerkannt werden (wenn es erlaubt ist).</w:t>
      </w:r>
      <w:r>
        <w:rPr>
          <w:rStyle w:val="Funotenzeichen"/>
        </w:rPr>
        <w:footnoteReference w:id="1616"/>
      </w:r>
    </w:p>
    <w:p w14:paraId="62DB2996" w14:textId="77777777" w:rsidR="00C06294" w:rsidRDefault="00C06294" w:rsidP="00112190"/>
    <w:p w14:paraId="27901C93" w14:textId="1F911D01" w:rsidR="00112190" w:rsidRDefault="00C06294" w:rsidP="00112190">
      <w:r>
        <w:t xml:space="preserve">Zurück zu Marktstabilitätsreserve: … </w:t>
      </w:r>
      <w:r w:rsidR="00112190">
        <w:t xml:space="preserve">Jedes Jahr werden bis zum 15. Mai die Gesamtmenge der </w:t>
      </w:r>
      <w:r w:rsidR="00B12B0E">
        <w:t xml:space="preserve">im Jahr zuvor </w:t>
      </w:r>
      <w:r w:rsidR="00112190">
        <w:t xml:space="preserve">im Umlauf befindlichen Zertifikate (total </w:t>
      </w:r>
      <w:proofErr w:type="spellStart"/>
      <w:r w:rsidR="00112190">
        <w:t>number</w:t>
      </w:r>
      <w:proofErr w:type="spellEnd"/>
      <w:r w:rsidR="00112190">
        <w:t xml:space="preserve"> </w:t>
      </w:r>
      <w:proofErr w:type="spellStart"/>
      <w:r w:rsidR="00112190">
        <w:t>of</w:t>
      </w:r>
      <w:proofErr w:type="spellEnd"/>
      <w:r w:rsidR="00112190">
        <w:t xml:space="preserve"> </w:t>
      </w:r>
      <w:proofErr w:type="spellStart"/>
      <w:r w:rsidR="00112190">
        <w:t>allowances</w:t>
      </w:r>
      <w:proofErr w:type="spellEnd"/>
      <w:r w:rsidR="00112190">
        <w:t xml:space="preserve"> in </w:t>
      </w:r>
      <w:proofErr w:type="spellStart"/>
      <w:r w:rsidR="00112190">
        <w:t>circulation</w:t>
      </w:r>
      <w:proofErr w:type="spellEnd"/>
      <w:r w:rsidR="00112190">
        <w:t>, TNAC) durch die Kommission bestimmt (</w:t>
      </w:r>
      <w:r w:rsidR="00717322">
        <w:t>die TNAC für 2022</w:t>
      </w:r>
      <w:r w:rsidR="00112190">
        <w:t xml:space="preserve"> </w:t>
      </w:r>
      <w:r w:rsidR="00717322">
        <w:t>wurde am</w:t>
      </w:r>
      <w:r w:rsidR="00112190">
        <w:t xml:space="preserve"> </w:t>
      </w:r>
      <w:r w:rsidR="00717322">
        <w:t>15</w:t>
      </w:r>
      <w:r w:rsidR="00112190">
        <w:t xml:space="preserve">. </w:t>
      </w:r>
      <w:r w:rsidR="00717322">
        <w:t>Mai</w:t>
      </w:r>
      <w:r w:rsidR="00112190">
        <w:t xml:space="preserve"> 202</w:t>
      </w:r>
      <w:r w:rsidR="00717322">
        <w:t>3 veröffentlich</w:t>
      </w:r>
      <w:r w:rsidR="00112190">
        <w:rPr>
          <w:rStyle w:val="Funotenzeichen"/>
        </w:rPr>
        <w:footnoteReference w:id="1617"/>
      </w:r>
      <w:r w:rsidR="00717322">
        <w:t xml:space="preserve">, für 2023 am 15. Mai 2024 … </w:t>
      </w:r>
      <w:r w:rsidR="00E84C3D">
        <w:t xml:space="preserve">bzw. </w:t>
      </w:r>
      <w:r w:rsidR="00B12B0E">
        <w:t xml:space="preserve">soweit ich weiß, ist dies immer der </w:t>
      </w:r>
      <w:r w:rsidR="00E84C3D">
        <w:t>1. Juni 2025</w:t>
      </w:r>
      <w:r w:rsidR="00B12B0E">
        <w:t xml:space="preserve">, datiert ist das Schriftstück </w:t>
      </w:r>
      <w:r w:rsidR="00EB2A48">
        <w:t xml:space="preserve">aber </w:t>
      </w:r>
      <w:r w:rsidR="00B12B0E">
        <w:t>mit 15. Mai</w:t>
      </w:r>
      <w:r w:rsidR="00112190">
        <w:t xml:space="preserve">). Am 15. Mai 2023 hat die Kommission publiziert, </w:t>
      </w:r>
      <w:r w:rsidR="00112190" w:rsidRPr="005F66F1">
        <w:t xml:space="preserve">dass im Jahr 2022 1.134.794.738 </w:t>
      </w:r>
      <w:r w:rsidR="00112190" w:rsidRPr="005F66F1">
        <w:lastRenderedPageBreak/>
        <w:t xml:space="preserve">European Emission </w:t>
      </w:r>
      <w:proofErr w:type="spellStart"/>
      <w:r w:rsidR="00112190" w:rsidRPr="005F66F1">
        <w:t>Allowances</w:t>
      </w:r>
      <w:proofErr w:type="spellEnd"/>
      <w:r w:rsidR="00112190" w:rsidRPr="005F66F1">
        <w:t xml:space="preserve"> (EUAs) im Umlauf (1,1 Mrd.) waren, im Umlauf heißt im Besitz der Unternehmen, separat veröffentlicht</w:t>
      </w:r>
      <w:r w:rsidR="00112190">
        <w:t>.</w:t>
      </w:r>
      <w:r w:rsidR="00112190">
        <w:rPr>
          <w:rStyle w:val="Funotenzeichen"/>
        </w:rPr>
        <w:footnoteReference w:id="1618"/>
      </w:r>
      <w:r w:rsidR="00112190">
        <w:t xml:space="preserve"> </w:t>
      </w:r>
    </w:p>
    <w:p w14:paraId="5EA50BF7" w14:textId="77777777" w:rsidR="00112190" w:rsidRDefault="00112190" w:rsidP="00112190"/>
    <w:p w14:paraId="019B1773" w14:textId="77777777" w:rsidR="00E84C3D" w:rsidRDefault="00112190" w:rsidP="00112190">
      <w:r>
        <w:t xml:space="preserve">In der </w:t>
      </w:r>
      <w:proofErr w:type="gramStart"/>
      <w:r>
        <w:t>ETS Richtlinie</w:t>
      </w:r>
      <w:proofErr w:type="gramEnd"/>
      <w:r>
        <w:t xml:space="preserve"> steht wiederum, dass wenn die Umlaufmenge über 833 Millionen und auch dann, wenn sie über 1096 Millionen liegt, 24 % dieser Menge, von der Menge der im neuen Jahr (September bis September) neu a</w:t>
      </w:r>
      <w:r w:rsidRPr="00F7246E">
        <w:t>uktion</w:t>
      </w:r>
      <w:r>
        <w:t>ierten Zertifikate abgezogen wird. Dies steht etwas anders am Anfang von Art. 1 Abs. (5), aber durch den letzten Satz, der später hinzugefügt wurde, ist dies so verändert worden, dass 24 % immer gilt, bis 31. Dezember 2030.</w:t>
      </w:r>
      <w:r w:rsidRPr="00865E93">
        <w:rPr>
          <w:rStyle w:val="Funotenzeichen"/>
        </w:rPr>
        <w:t xml:space="preserve"> </w:t>
      </w:r>
      <w:r>
        <w:rPr>
          <w:rStyle w:val="Funotenzeichen"/>
        </w:rPr>
        <w:footnoteReference w:id="1619"/>
      </w:r>
      <w:r>
        <w:t xml:space="preserve"> Dies mit den 24 % wurde 14. März 2018</w:t>
      </w:r>
      <w:r>
        <w:rPr>
          <w:rStyle w:val="Funotenzeichen"/>
        </w:rPr>
        <w:footnoteReference w:id="1620"/>
      </w:r>
      <w:r>
        <w:t xml:space="preserve"> und, nach der Überprüfung der Kommission, nochmal am 19. April 2023 beschlossen.</w:t>
      </w:r>
      <w:r>
        <w:rPr>
          <w:rStyle w:val="Funotenzeichen"/>
        </w:rPr>
        <w:footnoteReference w:id="1621"/>
      </w:r>
      <w:r>
        <w:t xml:space="preserve"> Siehe zur Verhandlungsgeschichte hier (die dort erwähnte Regel, dass mindestens 200 Mill. jährlich in die Reserve einbestellt werden soll, finde ich aber nicht in den Rechtstexten).</w:t>
      </w:r>
      <w:r>
        <w:rPr>
          <w:rStyle w:val="Funotenzeichen"/>
        </w:rPr>
        <w:footnoteReference w:id="1622"/>
      </w:r>
      <w:r w:rsidRPr="00E279CB">
        <w:t xml:space="preserve"> </w:t>
      </w:r>
      <w:r>
        <w:t>Siehe dazu die Webseite vom Rat.</w:t>
      </w:r>
      <w:r>
        <w:rPr>
          <w:rStyle w:val="Funotenzeichen"/>
        </w:rPr>
        <w:footnoteReference w:id="1623"/>
      </w:r>
      <w:r>
        <w:t xml:space="preserve"> </w:t>
      </w:r>
    </w:p>
    <w:p w14:paraId="54751729" w14:textId="77777777" w:rsidR="00E84C3D" w:rsidRDefault="00E84C3D" w:rsidP="00112190"/>
    <w:p w14:paraId="7CC8F764" w14:textId="1904D47D" w:rsidR="00112190" w:rsidRDefault="00717322" w:rsidP="00112190">
      <w:r>
        <w:t xml:space="preserve">Auf der Basis der TNAC </w:t>
      </w:r>
      <w:r w:rsidR="00E84C3D">
        <w:t xml:space="preserve">1.134.794.738 </w:t>
      </w:r>
      <w:r>
        <w:t>von 2022 wurden</w:t>
      </w:r>
      <w:r w:rsidR="00112190">
        <w:t>, für den Zeitraum 1. September 2023 und 31. August 2024</w:t>
      </w:r>
      <w:r>
        <w:t>,</w:t>
      </w:r>
      <w:r w:rsidR="00112190">
        <w:t xml:space="preserve"> </w:t>
      </w:r>
      <w:r w:rsidR="00112190" w:rsidRPr="005A2EC2">
        <w:t>272.350.737</w:t>
      </w:r>
      <w:r w:rsidR="00112190">
        <w:t xml:space="preserve"> in die Marktstabilitätsreserve eingestellt, d.h. nicht mehr in diesem Zeitraum auktioniert (</w:t>
      </w:r>
      <w:r w:rsidR="00112190" w:rsidRPr="005F66F1">
        <w:t>1.134.794.738</w:t>
      </w:r>
      <w:r w:rsidR="00E84C3D">
        <w:t xml:space="preserve"> * 0,24 = 272.350.737</w:t>
      </w:r>
      <w:r w:rsidR="00112190">
        <w:t>).</w:t>
      </w:r>
      <w:r w:rsidR="00112190">
        <w:rPr>
          <w:rStyle w:val="Funotenzeichen"/>
        </w:rPr>
        <w:footnoteReference w:id="1624"/>
      </w:r>
    </w:p>
    <w:p w14:paraId="0591CE39" w14:textId="77777777" w:rsidR="00E84C3D" w:rsidRDefault="00E84C3D" w:rsidP="00112190"/>
    <w:p w14:paraId="4CD2C04D" w14:textId="02730F2A" w:rsidR="00E84C3D" w:rsidRDefault="00E84C3D" w:rsidP="00112190">
      <w:r>
        <w:t>Auf der Basis der TNAC 1.111.736.535 von 2023 wurden, für den Zeitraum 1. September 2024 und 31. August 2025, 266.816.768 in die Marktstabilitätsreserve eingestellt, d.h. nicht mehr in diesem Zeitraum auktioniert.</w:t>
      </w:r>
      <w:r>
        <w:rPr>
          <w:rStyle w:val="Funotenzeichen"/>
        </w:rPr>
        <w:footnoteReference w:id="1625"/>
      </w:r>
    </w:p>
    <w:p w14:paraId="4A16294E" w14:textId="77777777" w:rsidR="00E84C3D" w:rsidRDefault="00E84C3D" w:rsidP="00112190"/>
    <w:p w14:paraId="3BC79A5D" w14:textId="48724EA0" w:rsidR="00112190" w:rsidRDefault="00112190" w:rsidP="00112190">
      <w:r>
        <w:t>Werden von diesen 1,1 Mrd. nun jährlich 24 % ca. 200 Mill. abgezogen, dann ist leicht zu rechnen, wann die Umlaufmenge unter 833 Mill liegt, nämlich im 2025: 0,9 Mrd., 2026: 0,7 Mrd. Ab 20</w:t>
      </w:r>
      <w:r w:rsidR="007D3B88">
        <w:t>2</w:t>
      </w:r>
      <w:r>
        <w:t xml:space="preserve">7 könnte es also so </w:t>
      </w:r>
      <w:r w:rsidR="007D3B88">
        <w:t>weit sein</w:t>
      </w:r>
      <w:r>
        <w:t>, dass die Umlaufmengen soweit reduziert</w:t>
      </w:r>
      <w:r w:rsidR="007D3B88">
        <w:t xml:space="preserve"> sind</w:t>
      </w:r>
      <w:r>
        <w:t xml:space="preserve">, dass die Regel mit 24 % nicht mehr greift und, soweit ersichtlich, nur noch die linearen Reduktionsfaktoren wirksam sind, die die Menge der versteigerten Zertifikate jährlich verringert.  </w:t>
      </w:r>
    </w:p>
    <w:p w14:paraId="5277016E" w14:textId="77777777" w:rsidR="00EB2A48" w:rsidRDefault="00EB2A48" w:rsidP="00112190"/>
    <w:p w14:paraId="352D81BB" w14:textId="1294FC4A" w:rsidR="00F903D5" w:rsidRDefault="00112190" w:rsidP="00112190">
      <w:r>
        <w:lastRenderedPageBreak/>
        <w:t>Das Umweltbundesamt zeigt als Zahl für die ETS 1 Treibhausemissionen für das Jahr 2022 ca. 1,3 Mrd.</w:t>
      </w:r>
      <w:r w:rsidR="004D2D1D">
        <w:t xml:space="preserve"> Tonnen</w:t>
      </w:r>
      <w:r>
        <w:t xml:space="preserve"> CO2-Äquivalente, </w:t>
      </w:r>
      <w:r w:rsidR="004D2D1D">
        <w:t xml:space="preserve">2023 aber nur noch bei ca. 1100 Tonnen CO2-Äquivalente. </w:t>
      </w:r>
      <w:r>
        <w:t>Bislang war es jedenfalls, siehe Umweltbundesamt, immer so, dass das Cap / Obergrenze über den tatsächlichen Emissionen lag, siehe dazu die folgende Tabelle.</w:t>
      </w:r>
      <w:r>
        <w:rPr>
          <w:rStyle w:val="Funotenzeichen"/>
        </w:rPr>
        <w:footnoteReference w:id="1626"/>
      </w:r>
      <w:r>
        <w:t xml:space="preserve"> </w:t>
      </w:r>
    </w:p>
    <w:p w14:paraId="439937DD" w14:textId="7B936AFA" w:rsidR="00F903D5" w:rsidRDefault="00F903D5" w:rsidP="00112190"/>
    <w:p w14:paraId="0805DE18" w14:textId="429BBF85" w:rsidR="00F903D5" w:rsidRDefault="00F903D5" w:rsidP="00112190"/>
    <w:p w14:paraId="1DD204F6" w14:textId="6C0F3186" w:rsidR="00F903D5" w:rsidRDefault="00AB3EDB" w:rsidP="00112190">
      <w:r>
        <w:rPr>
          <w:noProof/>
          <w14:ligatures w14:val="none"/>
        </w:rPr>
        <w:drawing>
          <wp:anchor distT="0" distB="0" distL="114300" distR="114300" simplePos="0" relativeHeight="251664384" behindDoc="1" locked="0" layoutInCell="1" allowOverlap="1" wp14:anchorId="42F13D2D" wp14:editId="1DEBC436">
            <wp:simplePos x="0" y="0"/>
            <wp:positionH relativeFrom="margin">
              <wp:align>right</wp:align>
            </wp:positionH>
            <wp:positionV relativeFrom="paragraph">
              <wp:posOffset>10795</wp:posOffset>
            </wp:positionV>
            <wp:extent cx="5735955" cy="3600450"/>
            <wp:effectExtent l="0" t="0" r="0" b="0"/>
            <wp:wrapNone/>
            <wp:docPr id="20663417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41731" name="Grafik 2066341731"/>
                    <pic:cNvPicPr/>
                  </pic:nvPicPr>
                  <pic:blipFill>
                    <a:blip r:embed="rId20">
                      <a:extLst>
                        <a:ext uri="{28A0092B-C50C-407E-A947-70E740481C1C}">
                          <a14:useLocalDpi xmlns:a14="http://schemas.microsoft.com/office/drawing/2010/main" val="0"/>
                        </a:ext>
                      </a:extLst>
                    </a:blip>
                    <a:stretch>
                      <a:fillRect/>
                    </a:stretch>
                  </pic:blipFill>
                  <pic:spPr>
                    <a:xfrm>
                      <a:off x="0" y="0"/>
                      <a:ext cx="5735955" cy="3600450"/>
                    </a:xfrm>
                    <a:prstGeom prst="rect">
                      <a:avLst/>
                    </a:prstGeom>
                  </pic:spPr>
                </pic:pic>
              </a:graphicData>
            </a:graphic>
            <wp14:sizeRelH relativeFrom="margin">
              <wp14:pctWidth>0</wp14:pctWidth>
            </wp14:sizeRelH>
            <wp14:sizeRelV relativeFrom="margin">
              <wp14:pctHeight>0</wp14:pctHeight>
            </wp14:sizeRelV>
          </wp:anchor>
        </w:drawing>
      </w:r>
    </w:p>
    <w:p w14:paraId="4BB51523" w14:textId="72D7C1C4" w:rsidR="00F903D5" w:rsidRDefault="00F903D5" w:rsidP="00112190"/>
    <w:p w14:paraId="2E890019" w14:textId="77777777" w:rsidR="00F903D5" w:rsidRDefault="00F903D5" w:rsidP="00112190"/>
    <w:p w14:paraId="38560F9F" w14:textId="77777777" w:rsidR="00F63FE4" w:rsidRDefault="00F63FE4" w:rsidP="00112190"/>
    <w:p w14:paraId="5FFA37E8" w14:textId="77777777" w:rsidR="00F63FE4" w:rsidRDefault="00F63FE4" w:rsidP="00112190"/>
    <w:p w14:paraId="2F57641A" w14:textId="77777777" w:rsidR="00F63FE4" w:rsidRDefault="00F63FE4" w:rsidP="00112190"/>
    <w:p w14:paraId="609B6F20" w14:textId="77777777" w:rsidR="00EB2A48" w:rsidRDefault="00EB2A48" w:rsidP="00112190"/>
    <w:p w14:paraId="7C479049" w14:textId="77777777" w:rsidR="00EB2A48" w:rsidRDefault="00EB2A48" w:rsidP="00112190"/>
    <w:p w14:paraId="591D74FC" w14:textId="77777777" w:rsidR="00EB2A48" w:rsidRDefault="00EB2A48" w:rsidP="00112190"/>
    <w:p w14:paraId="3868EFA9" w14:textId="77777777" w:rsidR="00F63FE4" w:rsidRDefault="00F63FE4" w:rsidP="00112190"/>
    <w:p w14:paraId="384024B7" w14:textId="77777777" w:rsidR="00EB2A48" w:rsidRDefault="00EB2A48" w:rsidP="00112190"/>
    <w:p w14:paraId="53653517" w14:textId="77777777" w:rsidR="00EB2A48" w:rsidRDefault="00EB2A48" w:rsidP="00112190"/>
    <w:p w14:paraId="1ABF933E" w14:textId="77777777" w:rsidR="00EB2A48" w:rsidRDefault="00EB2A48" w:rsidP="00112190"/>
    <w:p w14:paraId="1D181939" w14:textId="77777777" w:rsidR="00AB3EDB" w:rsidRDefault="00AB3EDB" w:rsidP="00112190"/>
    <w:p w14:paraId="655CA158" w14:textId="77777777" w:rsidR="00AB3EDB" w:rsidRDefault="00AB3EDB" w:rsidP="00112190"/>
    <w:p w14:paraId="6AEFE974" w14:textId="77777777" w:rsidR="00AB3EDB" w:rsidRDefault="00AB3EDB" w:rsidP="00112190"/>
    <w:p w14:paraId="62382103" w14:textId="77777777" w:rsidR="00AB3EDB" w:rsidRDefault="00AB3EDB" w:rsidP="00112190"/>
    <w:p w14:paraId="16853815" w14:textId="77777777" w:rsidR="00AB3EDB" w:rsidRDefault="00AB3EDB" w:rsidP="00112190"/>
    <w:p w14:paraId="1DAB8B72" w14:textId="77777777" w:rsidR="00AB3EDB" w:rsidRDefault="00AB3EDB" w:rsidP="00112190"/>
    <w:p w14:paraId="083079CC" w14:textId="77777777" w:rsidR="00AB3EDB" w:rsidRDefault="00AB3EDB" w:rsidP="00112190"/>
    <w:p w14:paraId="6232F88B" w14:textId="77777777" w:rsidR="00AB3EDB" w:rsidRDefault="00AB3EDB" w:rsidP="00112190"/>
    <w:p w14:paraId="4EE270DE" w14:textId="46BD2B4D" w:rsidR="00112190" w:rsidRDefault="00112190" w:rsidP="00112190">
      <w:r>
        <w:t>Quelle: Umweltbundesamt, Stand: 05/2023.</w:t>
      </w:r>
      <w:r w:rsidRPr="002B7D87">
        <w:rPr>
          <w:rStyle w:val="Funotenzeichen"/>
        </w:rPr>
        <w:t xml:space="preserve"> </w:t>
      </w:r>
      <w:r>
        <w:rPr>
          <w:rStyle w:val="Funotenzeichen"/>
        </w:rPr>
        <w:footnoteReference w:id="1627"/>
      </w:r>
      <w:r>
        <w:t xml:space="preserve">  </w:t>
      </w:r>
    </w:p>
    <w:p w14:paraId="6010D05C" w14:textId="77777777" w:rsidR="00112190" w:rsidRDefault="00112190" w:rsidP="00112190"/>
    <w:p w14:paraId="789F68B6" w14:textId="34CC64FC" w:rsidR="004D2D1D" w:rsidRDefault="004D2D1D" w:rsidP="004D2D1D">
      <w:r>
        <w:t xml:space="preserve">Diese Zahlen werden hier bestätigt: 2023 wird von einem CAP von 1486,6 Mill. EUA (European Union </w:t>
      </w:r>
      <w:proofErr w:type="spellStart"/>
      <w:r>
        <w:t>Allowance</w:t>
      </w:r>
      <w:proofErr w:type="spellEnd"/>
      <w:r>
        <w:t>) gesprochen, wobei 2023 die so bezeichneten verifizierten Emissionen bei 1090 Mill. Tonnen CO2-Äquivalent lagen, dies „bedeutet, dass mehrere Millionen Zertifikate nicht aufgebraucht wurden, obwohl diese verfügbar waren“, insofern besteht auf dem Emissionsmarkt ein Überschuss an Zertifikaten“.</w:t>
      </w:r>
      <w:r>
        <w:rPr>
          <w:rStyle w:val="Funotenzeichen"/>
        </w:rPr>
        <w:footnoteReference w:id="1628"/>
      </w:r>
      <w:r>
        <w:t xml:space="preserve"> </w:t>
      </w:r>
    </w:p>
    <w:p w14:paraId="2E7B536A" w14:textId="77777777" w:rsidR="00EB2A48" w:rsidRDefault="00EB2A48" w:rsidP="00112190"/>
    <w:p w14:paraId="00163FDA" w14:textId="764CA0A4" w:rsidR="00112190" w:rsidRDefault="00112190" w:rsidP="00112190">
      <w:r>
        <w:t xml:space="preserve">D.h. das Cap fängt – vielleicht </w:t>
      </w:r>
      <w:r w:rsidR="00F903D5">
        <w:t>–</w:t>
      </w:r>
      <w:r>
        <w:t xml:space="preserve"> 202</w:t>
      </w:r>
      <w:r w:rsidR="00F903D5">
        <w:t>6 / 2027</w:t>
      </w:r>
      <w:r>
        <w:t xml:space="preserve"> erstmals </w:t>
      </w:r>
      <w:r w:rsidR="004D2D1D">
        <w:t xml:space="preserve">an </w:t>
      </w:r>
      <w:r>
        <w:t>zu beißen, es nähert sich den absoluten Emissionen an</w:t>
      </w:r>
      <w:r w:rsidR="007D3B88">
        <w:t>, aber nur, wenn diese nicht sowieso weiter absinken</w:t>
      </w:r>
      <w:r>
        <w:t>. Aber der Sinkflug des CAP in der Linie des Umweltbundesamts auf 2030 zu scheint zu krass zu sein</w:t>
      </w:r>
      <w:r w:rsidR="007D3B88">
        <w:t xml:space="preserve"> </w:t>
      </w:r>
      <w:r>
        <w:t xml:space="preserve">… siehe die Berechnungen oben, </w:t>
      </w:r>
      <w:r w:rsidR="00F903D5">
        <w:t xml:space="preserve">ab </w:t>
      </w:r>
      <w:r>
        <w:t xml:space="preserve">2027 müsste es einen Knick gegeben und </w:t>
      </w:r>
      <w:r w:rsidR="007D3B88">
        <w:t xml:space="preserve">dann </w:t>
      </w:r>
      <w:r w:rsidR="004D2D1D">
        <w:t xml:space="preserve">eigentlich </w:t>
      </w:r>
      <w:r w:rsidR="007D3B88">
        <w:t>ein</w:t>
      </w:r>
      <w:r>
        <w:t xml:space="preserve"> weniger starkes Gefälle.</w:t>
      </w:r>
    </w:p>
    <w:p w14:paraId="709C4D48" w14:textId="77777777" w:rsidR="00112190" w:rsidRDefault="00112190" w:rsidP="00112190">
      <w:r>
        <w:t xml:space="preserve">- Forschungsfrage: Mal beim Umweltbundesamt anrufen, ob das stimmt.  </w:t>
      </w:r>
    </w:p>
    <w:p w14:paraId="374DC11D" w14:textId="77777777" w:rsidR="00112190" w:rsidRDefault="00112190" w:rsidP="00112190"/>
    <w:p w14:paraId="3CF643B0" w14:textId="77777777" w:rsidR="00112190" w:rsidRDefault="00112190" w:rsidP="00112190">
      <w:r>
        <w:t xml:space="preserve">Dazu kommt, dass die Firmen offenbar Spielräume bzw. Reserven haben. Ich habe nicht das Wissen, um diese hier berechnen zu können. Mehrere Faktoren spielen aber herein: Die Firmen scheinen </w:t>
      </w:r>
      <w:r>
        <w:lastRenderedPageBreak/>
        <w:t>gerne Reserven von Zertifikaten zu halten. ‚Im Umlauf befindlich‘ bedeutet auch Reserven von Zertifikaten, die die Firmen noch aus früherer Zeit halten, siehe die schriftliche Definition ‚wie im Umlauf befindlich‘ berechnet wird, in Art. 1 Abs. (4) (Marktstabilisierungsreserve, konsolidierter Beschluss 2025/1814).</w:t>
      </w:r>
      <w:r>
        <w:rPr>
          <w:rStyle w:val="Funotenzeichen"/>
        </w:rPr>
        <w:footnoteReference w:id="1629"/>
      </w:r>
      <w:r>
        <w:t xml:space="preserve"> Unklar bleibt weiterhin, wie viel es ausmacht, dass bestimmten Industrien weiterhin kostenlos Zertifikate zugeteilt bekommen, siehe Art. 10 a (ETS-Richtlinie, konsolidierte Richtlinie, 2003/87/EG).</w:t>
      </w:r>
      <w:r>
        <w:rPr>
          <w:rStyle w:val="Funotenzeichen"/>
        </w:rPr>
        <w:footnoteReference w:id="1630"/>
      </w:r>
      <w:r>
        <w:t xml:space="preserve"> Auch bei der Modernisierung von Stromerzeugungsanlagen und bei Industriezweigen, bei denen Carbon Leakage bzw. Abwanderungsgefahr herrscht, werden kostenlose Zertifikate zugeteilt.</w:t>
      </w:r>
      <w:r>
        <w:rPr>
          <w:rStyle w:val="Funotenzeichen"/>
        </w:rPr>
        <w:footnoteReference w:id="1631"/>
      </w:r>
      <w:r>
        <w:t xml:space="preserve"> Internationale Gutschriften können allerdings für die Zeitperiode 2021 bis 2030 nicht mehr verwendet werden.</w:t>
      </w:r>
      <w:r>
        <w:rPr>
          <w:rStyle w:val="Funotenzeichen"/>
        </w:rPr>
        <w:footnoteReference w:id="1632"/>
      </w:r>
      <w:r>
        <w:t xml:space="preserve"> Siehe für die Berechnung der Kommission von ‚in Umlauf befindlich‘, bei der noch eine Reihe ganz anderer Zahlen hineinkommen, die man als Außenstehender nicht verstehen kann, siehe hier.</w:t>
      </w:r>
      <w:r w:rsidRPr="00381A4D">
        <w:rPr>
          <w:rStyle w:val="Funotenzeichen"/>
        </w:rPr>
        <w:t xml:space="preserve"> </w:t>
      </w:r>
      <w:r>
        <w:rPr>
          <w:rStyle w:val="Funotenzeichen"/>
        </w:rPr>
        <w:footnoteReference w:id="1633"/>
      </w:r>
      <w:r>
        <w:t xml:space="preserve"> </w:t>
      </w:r>
    </w:p>
    <w:p w14:paraId="4E8F7BB9" w14:textId="77777777" w:rsidR="00112190" w:rsidRDefault="00112190" w:rsidP="00112190"/>
    <w:p w14:paraId="718A384D" w14:textId="4B1A08BF" w:rsidR="00112190" w:rsidRDefault="00112190" w:rsidP="00112190">
      <w:r>
        <w:t xml:space="preserve">Auch das Umweltbundesamt traut sich </w:t>
      </w:r>
      <w:r w:rsidR="00491118">
        <w:t xml:space="preserve">offenbar </w:t>
      </w:r>
      <w:r>
        <w:t xml:space="preserve">nicht an absolute Zahlen, sondern zählt nur die Reduktionsfaktoren aus der </w:t>
      </w:r>
      <w:proofErr w:type="gramStart"/>
      <w:r>
        <w:t>ETS Richtlinie</w:t>
      </w:r>
      <w:proofErr w:type="gramEnd"/>
      <w:r>
        <w:t xml:space="preserve"> auf und es fehlt eine Einschätzung wann das ETS die Industrie ‚beißen‘ mag</w:t>
      </w:r>
      <w:r w:rsidR="00491118">
        <w:t>, siehe diese Zusammenfassung.</w:t>
      </w:r>
      <w:r>
        <w:rPr>
          <w:rStyle w:val="Funotenzeichen"/>
        </w:rPr>
        <w:footnoteReference w:id="1634"/>
      </w:r>
      <w:r w:rsidR="00491118">
        <w:t xml:space="preserve"> Siehe auch hier, für eine Diskussion über die Lösung von Zertifikaten, in der auf weitere spezielle Regulierungen, teils auf deutscher Ebene, hingewiesen wird.</w:t>
      </w:r>
      <w:r w:rsidR="00491118">
        <w:rPr>
          <w:rStyle w:val="Funotenzeichen"/>
        </w:rPr>
        <w:footnoteReference w:id="1635"/>
      </w:r>
      <w:r w:rsidR="00491118" w:rsidRPr="00491118">
        <w:t xml:space="preserve"> </w:t>
      </w:r>
    </w:p>
    <w:p w14:paraId="5E9EE8D8" w14:textId="77777777" w:rsidR="00112190" w:rsidRDefault="00112190" w:rsidP="00112190"/>
    <w:p w14:paraId="11577E83" w14:textId="2096EA74" w:rsidR="00112190" w:rsidRPr="00865E93" w:rsidRDefault="00112190" w:rsidP="00112190">
      <w:r>
        <w:t>Die Verringerung einer auktionierten Menge (</w:t>
      </w:r>
      <w:r w:rsidRPr="005A2EC2">
        <w:t>272.350.737</w:t>
      </w:r>
      <w:r>
        <w:t xml:space="preserve">), also 272 Millionen, wird als ‚in die Reserve eingestellt‘ bezeichnet. Diese Zertifikate werden dann in der Marktstabilitätsreserve als vorhanden gemeldet und dies </w:t>
      </w:r>
      <w:r w:rsidR="00491118">
        <w:t xml:space="preserve">ist </w:t>
      </w:r>
      <w:r>
        <w:t xml:space="preserve">wichtig für andere Regeln, die besagen, dass Zertifikate aus der Reserve auf den Markt abgegeben werden müssen. Dafür ist es wichtig, wie viel ‚in die Reserve eingestellt sind‘. Dies war anfangs unlimitiert, </w:t>
      </w:r>
      <w:r w:rsidRPr="002B7D87">
        <w:t xml:space="preserve">In Art. 1 Abs. </w:t>
      </w:r>
      <w:r w:rsidRPr="00865E93">
        <w:t xml:space="preserve">(5a) </w:t>
      </w:r>
      <w:r>
        <w:t>wird allerdings nun</w:t>
      </w:r>
      <w:r w:rsidRPr="00865E93">
        <w:t xml:space="preserve"> geregelt, dass di</w:t>
      </w:r>
      <w:r>
        <w:t>e Marktstabilisierungsreserve nicht mehr als 400 Millionen Zertifikate enthalten kann.</w:t>
      </w:r>
      <w:r>
        <w:rPr>
          <w:rStyle w:val="Funotenzeichen"/>
        </w:rPr>
        <w:footnoteReference w:id="1636"/>
      </w:r>
      <w:r>
        <w:t xml:space="preserve"> </w:t>
      </w:r>
    </w:p>
    <w:p w14:paraId="649D2B79" w14:textId="77777777" w:rsidR="00112190" w:rsidRDefault="00112190" w:rsidP="00112190"/>
    <w:p w14:paraId="7C99B086" w14:textId="7A3A724F" w:rsidR="00112190" w:rsidRDefault="00112190" w:rsidP="00112190">
      <w:r>
        <w:t xml:space="preserve">In Art. 1 Abs (6) ist die Rede davon, dass wenn weniger als 400 Millionen Zertifikate im Umlauf befindlich sind, dass dann 100 Millionen Zertifikate </w:t>
      </w:r>
      <w:r w:rsidR="00491118">
        <w:t xml:space="preserve">im Folgejahr </w:t>
      </w:r>
      <w:r>
        <w:t>auktioniert werden. Wenn nur 100 Millionen Zertifikate in der Reserve befindlich sind, dann werden alle in der Reserve befindlichen Zertifikate freigegeben d.h. auktioniert.</w:t>
      </w:r>
      <w:r>
        <w:rPr>
          <w:rStyle w:val="Funotenzeichen"/>
        </w:rPr>
        <w:footnoteReference w:id="1637"/>
      </w:r>
      <w:r>
        <w:t xml:space="preserve"> </w:t>
      </w:r>
    </w:p>
    <w:p w14:paraId="2F15F047" w14:textId="77777777" w:rsidR="00112190" w:rsidRDefault="00112190" w:rsidP="00112190"/>
    <w:p w14:paraId="2047A851" w14:textId="77777777" w:rsidR="00561F60" w:rsidRDefault="00112190" w:rsidP="00112190">
      <w:r>
        <w:t>Art. 29a. I</w:t>
      </w:r>
      <w:r w:rsidRPr="00C36B8A">
        <w:t xml:space="preserve">n Art. 1 Abs (7) </w:t>
      </w:r>
      <w:r>
        <w:t xml:space="preserve">Marktstabilitätsreserve gibt es eine Verbindung zu einem preisbasierten Trigger aus der </w:t>
      </w:r>
      <w:proofErr w:type="gramStart"/>
      <w:r>
        <w:t>ETS Richtlinie</w:t>
      </w:r>
      <w:proofErr w:type="gramEnd"/>
      <w:r>
        <w:t xml:space="preserve"> 2003/87/EG, Art. 29a, der eigentlich bei viel zu hohen Preisen angesprungen wäre und sogar eine massive Intervention ermöglicht hätte: Die eigentlich dort vorgesehene Aktivierung der Kommission und eines Ausschusses nach 6 Monaten mehr als dreifach so hohen Preisen wurde aber gelöscht. Die Kommission hätte dann eine Sitzung einberufen müssen und dann wäre ein Ausschuss aktiviert worden, der dann Maßnahmen ergreifen hätte können, wie vorgezogenen Versteigerungen, </w:t>
      </w:r>
      <w:r w:rsidRPr="00540523">
        <w:t>wobei kein Limit hinsichtlich der Menge der Zertifikate vorgesehen war (!).</w:t>
      </w:r>
      <w:r>
        <w:rPr>
          <w:rStyle w:val="Funotenzeichen"/>
        </w:rPr>
        <w:footnoteReference w:id="1638"/>
      </w:r>
      <w:r>
        <w:t xml:space="preserve"> </w:t>
      </w:r>
      <w:r w:rsidRPr="003F0E1E">
        <w:t xml:space="preserve">Siehe </w:t>
      </w:r>
      <w:r>
        <w:t>hierzu</w:t>
      </w:r>
      <w:r w:rsidRPr="003F0E1E">
        <w:t xml:space="preserve"> Willner/Perino (2022).</w:t>
      </w:r>
      <w:r>
        <w:rPr>
          <w:rStyle w:val="Funotenzeichen"/>
        </w:rPr>
        <w:footnoteReference w:id="1639"/>
      </w:r>
      <w:r w:rsidRPr="003F0E1E">
        <w:t xml:space="preserve"> </w:t>
      </w:r>
      <w:r>
        <w:t>Nun steht in Art. 29a, dass nach 6 Monaten mit 2,4 fachen des Preises (Durchschnitt 2 Jahre), 75 Millionen Zertifikate aus der Marktstabilisierungsreserve freigegeben werden, also gibt es nun ein</w:t>
      </w:r>
      <w:r w:rsidR="00491118">
        <w:t>en</w:t>
      </w:r>
      <w:r>
        <w:t xml:space="preserve"> </w:t>
      </w:r>
      <w:r w:rsidR="00491118">
        <w:t>preisbasierten Schwellenwert</w:t>
      </w:r>
      <w:r>
        <w:t xml:space="preserve"> und </w:t>
      </w:r>
      <w:r w:rsidR="00491118">
        <w:t>bei dessen Überschreitung</w:t>
      </w:r>
      <w:r>
        <w:t xml:space="preserve"> vollzieht sich </w:t>
      </w:r>
      <w:r w:rsidR="00491118">
        <w:t xml:space="preserve">eine Freigabe von Zertifikaten i.S. eines Automatismus, </w:t>
      </w:r>
      <w:r>
        <w:t>ohne Sitzung bzw. Entscheidung.</w:t>
      </w:r>
      <w:r>
        <w:rPr>
          <w:rStyle w:val="Funotenzeichen"/>
        </w:rPr>
        <w:footnoteReference w:id="1640"/>
      </w:r>
      <w:r>
        <w:t xml:space="preserve"> </w:t>
      </w:r>
    </w:p>
    <w:p w14:paraId="3DB96DC2" w14:textId="77777777" w:rsidR="00561F60" w:rsidRDefault="00561F60" w:rsidP="00112190"/>
    <w:p w14:paraId="77AFA756" w14:textId="74D6B578" w:rsidR="00112190" w:rsidRDefault="00561F60" w:rsidP="00112190">
      <w:r>
        <w:t>Sehr beruhigend wirkt dies allerdings nicht, denn derzeit werden</w:t>
      </w:r>
      <w:r w:rsidR="00112190">
        <w:t xml:space="preserve"> 1,3 Mrd. </w:t>
      </w:r>
      <w:r>
        <w:t xml:space="preserve">Tonnen </w:t>
      </w:r>
      <w:r w:rsidR="00112190">
        <w:t xml:space="preserve">CO2-Äquivalente </w:t>
      </w:r>
      <w:r>
        <w:t>emittiert, wofür die Firmen 1</w:t>
      </w:r>
      <w:r w:rsidR="00112190">
        <w:t>,3 Mrd. EU-</w:t>
      </w:r>
      <w:proofErr w:type="spellStart"/>
      <w:r w:rsidR="00112190">
        <w:t>Allowances</w:t>
      </w:r>
      <w:proofErr w:type="spellEnd"/>
      <w:r>
        <w:t xml:space="preserve"> brauchen, relativ dazu gesehen</w:t>
      </w:r>
      <w:r w:rsidR="00112190">
        <w:t xml:space="preserve"> sind 75 Mill. zusätzliche Zertifikate</w:t>
      </w:r>
      <w:r>
        <w:t>, bei einer Preissteigerung über einem 2,4 % Schwellenwert,</w:t>
      </w:r>
      <w:r w:rsidR="00112190">
        <w:t xml:space="preserve"> nicht gerade beruhigend bzw. </w:t>
      </w:r>
      <w:r>
        <w:t xml:space="preserve">möglicherweise auch nicht </w:t>
      </w:r>
      <w:r w:rsidR="00112190">
        <w:t xml:space="preserve">marktberuhigend bzw. </w:t>
      </w:r>
      <w:r>
        <w:t xml:space="preserve">deren Freigabe </w:t>
      </w:r>
      <w:r w:rsidR="00112190">
        <w:t>wirken ggf. nicht preissenkend bzw. preisstabilisierend</w:t>
      </w:r>
      <w:r>
        <w:t xml:space="preserve"> (dies gilt gleichermaßen auch für die 100 Mill. zusätzliche Zertifikate, wenn weniger als 400 Mill. Zertifikate im Umlauf sind) …</w:t>
      </w:r>
      <w:r w:rsidR="00112190">
        <w:t xml:space="preserve">  </w:t>
      </w:r>
    </w:p>
    <w:p w14:paraId="28B37C63" w14:textId="77777777" w:rsidR="00112190" w:rsidRDefault="00112190" w:rsidP="00112190"/>
    <w:p w14:paraId="08B7BC68" w14:textId="486C5A7F" w:rsidR="00112190" w:rsidRDefault="00112190" w:rsidP="00112190">
      <w:r>
        <w:t>Art. 30h. Für das ETS 2 Verkehr und Gebäude (gültig ab 20</w:t>
      </w:r>
      <w:r w:rsidR="000D4EC8">
        <w:t>2</w:t>
      </w:r>
      <w:r>
        <w:t>7) findet sich in Art. 30 h die Regel, dass bei drei Monaten doppelt so hoher Preise wie im Durchschnitt, 50 Millionen Zertifikate freigegeben werden dürfen, dies entscheidet die Kommission (2027 und 2028 reicht die anderthalbfache Preissteigerung aus).</w:t>
      </w:r>
      <w:r>
        <w:rPr>
          <w:rStyle w:val="Funotenzeichen"/>
        </w:rPr>
        <w:footnoteReference w:id="1641"/>
      </w:r>
      <w:r>
        <w:t xml:space="preserve"> Weiterhin gilt, </w:t>
      </w:r>
      <w:r w:rsidRPr="004B2A0C">
        <w:rPr>
          <w:u w:val="single"/>
        </w:rPr>
        <w:t>dass bei einem Durchschnittspreis, der die Preisobergrenze von 45 Euro überschreitet, 20 Millionen Zertifikate freigegeben werden (gilt bis 31.12.2029)</w:t>
      </w:r>
      <w:r>
        <w:t>.</w:t>
      </w:r>
      <w:r>
        <w:rPr>
          <w:rStyle w:val="Funotenzeichen"/>
        </w:rPr>
        <w:footnoteReference w:id="1642"/>
      </w:r>
      <w:r>
        <w:t xml:space="preserve"> Liegt der Preis dreifach über dem Durchschnittspreis über 6 Monate, werden 150 Mill. Zertifikate freigegeben.</w:t>
      </w:r>
      <w:r>
        <w:rPr>
          <w:rStyle w:val="Funotenzeichen"/>
        </w:rPr>
        <w:footnoteReference w:id="1643"/>
      </w:r>
      <w:r>
        <w:t xml:space="preserve"> Diese Mengen werden als versteigerte Zertifikate gezählt.</w:t>
      </w:r>
      <w:r>
        <w:rPr>
          <w:rStyle w:val="Funotenzeichen"/>
        </w:rPr>
        <w:footnoteReference w:id="1644"/>
      </w:r>
      <w:r>
        <w:t xml:space="preserve"> </w:t>
      </w:r>
      <w:r w:rsidRPr="004B2A0C">
        <w:rPr>
          <w:u w:val="single"/>
        </w:rPr>
        <w:t>Damit scheint für den Bereich Verkehr und Gebäude bis Ende 2029 sogar eine Preisobergrenze erwünscht zu sein, fraglich nur, ob sie bei so wenig freigegebenen Zertifikaten durchgesetzt werden kann</w:t>
      </w:r>
      <w:r>
        <w:t xml:space="preserve">. </w:t>
      </w:r>
    </w:p>
    <w:p w14:paraId="0BC39E7A" w14:textId="77777777" w:rsidR="00112190" w:rsidRDefault="00112190" w:rsidP="00112190"/>
    <w:p w14:paraId="75F95E2E" w14:textId="77777777" w:rsidR="003A68C5" w:rsidRDefault="003A68C5" w:rsidP="003A68C5">
      <w:r>
        <w:t xml:space="preserve">Die EU-Kommission hat aktuell, siehe den FAZ-Artikel, angekündigt, dass sie – nicht für die Industrie – aber für den Bereich Gebäude- und Verkehr die Marktstabilitätsreserve (MSR) anweisen will, zusätzliche CO2-Emissionszertifikate auf den Markt zu bringen. Dies hatten u.a. osteuropäische </w:t>
      </w:r>
      <w:r>
        <w:lastRenderedPageBreak/>
        <w:t>Staaten gefordert, mit dem Argument, die derzeitige politische Unsicherheit nicht noch durch höhere Gas- und Treibstoffpreise ohne Not zu erhöhen. Es scheint derzeit geplant zu sein, dass die Marktstabilitätsreserve bis 2030 den Anstieg auf 45 Euro pro Tonne CO2 begrenzen soll, der Emissionshandel selbst soll aber weiter bestehen bleiben und auch weiter für Gebäude und Verkehr 2027 starten.</w:t>
      </w:r>
      <w:r>
        <w:rPr>
          <w:rStyle w:val="Funotenzeichen"/>
        </w:rPr>
        <w:footnoteReference w:id="1645"/>
      </w:r>
      <w:r>
        <w:t xml:space="preserve">  </w:t>
      </w:r>
    </w:p>
    <w:p w14:paraId="73FE185B" w14:textId="77777777" w:rsidR="003A68C5" w:rsidRDefault="003A68C5" w:rsidP="00112190"/>
    <w:p w14:paraId="6AA366BD" w14:textId="47B88623" w:rsidR="00112190" w:rsidRDefault="00561F60" w:rsidP="00112190">
      <w:r>
        <w:t>Weitere ‚Sicherheit‘ bzw. Entlastungen</w:t>
      </w:r>
      <w:r w:rsidR="00112190">
        <w:t xml:space="preserve"> vor hohen </w:t>
      </w:r>
      <w:r w:rsidR="00F903D5">
        <w:t>CO2-</w:t>
      </w:r>
      <w:r w:rsidR="00112190">
        <w:t>Preisen</w:t>
      </w:r>
    </w:p>
    <w:p w14:paraId="19A95840" w14:textId="77777777" w:rsidR="00112190" w:rsidRDefault="00112190" w:rsidP="00112190"/>
    <w:p w14:paraId="10AB3ED5" w14:textId="77777777" w:rsidR="00112190" w:rsidRDefault="00112190" w:rsidP="00112190">
      <w:r w:rsidRPr="002C21D4">
        <w:rPr>
          <w:u w:val="single"/>
        </w:rPr>
        <w:t xml:space="preserve">De facto Sicherheitsnetz ‚kostenlose Zuteilung auf </w:t>
      </w:r>
      <w:proofErr w:type="gramStart"/>
      <w:r w:rsidRPr="002C21D4">
        <w:rPr>
          <w:u w:val="single"/>
        </w:rPr>
        <w:t>EU Ebene</w:t>
      </w:r>
      <w:proofErr w:type="gramEnd"/>
      <w:r w:rsidRPr="002C21D4">
        <w:rPr>
          <w:u w:val="single"/>
        </w:rPr>
        <w:t>‘</w:t>
      </w:r>
      <w:r>
        <w:t>: durch die Zuteilung von kostenlosen Zertifikaten an bestimmte Industrie, u.a. bei der Carbon Leakage Gefahr, besteht ein Sicherheitsnetz für Firmen vor hohen CO2-Preisen.</w:t>
      </w:r>
    </w:p>
    <w:p w14:paraId="149631F8" w14:textId="77777777" w:rsidR="00112190" w:rsidRDefault="00112190" w:rsidP="00112190"/>
    <w:p w14:paraId="6107C099" w14:textId="1F53D3B9" w:rsidR="00112190" w:rsidRDefault="00F903D5" w:rsidP="00112190">
      <w:r>
        <w:rPr>
          <w:u w:val="single"/>
        </w:rPr>
        <w:t>Entlastungspaket</w:t>
      </w:r>
      <w:r w:rsidR="00112190" w:rsidRPr="002C21D4">
        <w:rPr>
          <w:u w:val="single"/>
        </w:rPr>
        <w:t xml:space="preserve"> Carbon Leakage (CL) Schutz, Deutschland, nationale Ebene</w:t>
      </w:r>
      <w:r w:rsidR="00112190">
        <w:t xml:space="preserve">. Oben bereits beim Punkt Deutschland erwähnt: Ende 2020 wurde ein Entlastungspaket für mittelständische und energieintensive Branchen verhandelt, um zu verhindern, dass aufgrund des </w:t>
      </w:r>
      <w:proofErr w:type="gramStart"/>
      <w:r w:rsidR="00112190">
        <w:t>BEHG Firmen</w:t>
      </w:r>
      <w:proofErr w:type="gramEnd"/>
      <w:r w:rsidR="00112190">
        <w:t xml:space="preserve"> zu stark belastet werden und ggf. sogar abwandern (Carbon Leakage). Die Firmen beklagen, dass nicht alle Firmen darunter fallen und drohen damit ins Ausland abzuwandern.</w:t>
      </w:r>
      <w:r w:rsidR="00112190">
        <w:rPr>
          <w:rStyle w:val="Funotenzeichen"/>
        </w:rPr>
        <w:footnoteReference w:id="1646"/>
      </w:r>
      <w:r w:rsidR="00112190">
        <w:t xml:space="preserve"> Dieser Carbon Leakage (CL) Schutz, das von der Deutschen Emissionshandelsstelle </w:t>
      </w:r>
      <w:proofErr w:type="spellStart"/>
      <w:r w:rsidR="00112190">
        <w:t>DEHSt</w:t>
      </w:r>
      <w:proofErr w:type="spellEnd"/>
      <w:r w:rsidR="00112190">
        <w:t xml:space="preserve"> bereitgestellt wird, siehe diese Webseite</w:t>
      </w:r>
      <w:r w:rsidR="00112190">
        <w:rPr>
          <w:rStyle w:val="Funotenzeichen"/>
        </w:rPr>
        <w:footnoteReference w:id="1647"/>
      </w:r>
      <w:r w:rsidR="00112190">
        <w:t xml:space="preserve"> wurde von der Generaldirektion Wettbewerb der EU am 10. August 2023 als Beihilfe nur für deutsche Firmen genehmigt, in der Höhe von 6,3 Mrd. Euro, für den Zeitraum von 2021 bis 2030.</w:t>
      </w:r>
      <w:r w:rsidR="00112190">
        <w:rPr>
          <w:rStyle w:val="Funotenzeichen"/>
        </w:rPr>
        <w:footnoteReference w:id="1648"/>
      </w:r>
      <w:r w:rsidR="00112190">
        <w:t xml:space="preserve"> Es ermöglicht direkte Beihilfezahlungen an Unternehmen, bei denen ein Carbon Leakage Risiko besteht, siehe Bundesgesetzblatt 21. Juli 2021, Verordnung über Maßnahmen zur Vermeidung von Carbon-Leakage durch den nationalen Brennstoffemissionshandel.</w:t>
      </w:r>
      <w:r w:rsidR="00112190">
        <w:rPr>
          <w:rStyle w:val="Funotenzeichen"/>
        </w:rPr>
        <w:footnoteReference w:id="1649"/>
      </w:r>
      <w:r w:rsidR="00112190">
        <w:t xml:space="preserve"> Dies kommt Industrie zugute, die auf der EU ETS Carbon Leakage Liste sind, bzw. es gibt auch eine Liste der </w:t>
      </w:r>
      <w:proofErr w:type="spellStart"/>
      <w:r w:rsidR="00112190">
        <w:t>DEHSt</w:t>
      </w:r>
      <w:proofErr w:type="spellEnd"/>
      <w:r w:rsidR="00112190">
        <w:t xml:space="preserve"> und man kann einen Sonderantrag stellen. Die Kompensation wird anhand von Treibstoff und Hitze-Werten berechnet, sie erfolgt zwischen 65 % und 95 % (</w:t>
      </w:r>
      <w:proofErr w:type="spellStart"/>
      <w:r w:rsidR="00112190">
        <w:t>Fallback</w:t>
      </w:r>
      <w:proofErr w:type="spellEnd"/>
      <w:r w:rsidR="00112190">
        <w:t xml:space="preserve"> Rate 60 %), und die Firmen müssen zu 50 % (und ab 2025 80 %) der Kompensationen in ein Energiemanagementsystem oder eine Dekarbonisierung ihrer Produktion investieren.</w:t>
      </w:r>
      <w:r w:rsidR="00112190">
        <w:rPr>
          <w:rStyle w:val="Funotenzeichen"/>
        </w:rPr>
        <w:footnoteReference w:id="1650"/>
      </w:r>
      <w:r w:rsidR="00112190">
        <w:t xml:space="preserve"> Die Liste ist relativ umfangreich, es finden sich auch Kunststoffherstellung, Keramik, Textilveredelung, Spinnerei, pharmazeutische Grundstoffe, Freiformschmiedestücke, etwa Maschinenwellen und bestimmte Lebensmittelproduktionen, darunter von Tomatenmark, auf der Liste.</w:t>
      </w:r>
      <w:r w:rsidR="00112190">
        <w:rPr>
          <w:rStyle w:val="Funotenzeichen"/>
        </w:rPr>
        <w:footnoteReference w:id="1651"/>
      </w:r>
    </w:p>
    <w:p w14:paraId="01748EB1" w14:textId="77777777" w:rsidR="00112190" w:rsidRDefault="00112190" w:rsidP="00112190"/>
    <w:p w14:paraId="6F92DF5C" w14:textId="1B0D5E62" w:rsidR="00112190" w:rsidRDefault="00F903D5" w:rsidP="00112190">
      <w:r>
        <w:rPr>
          <w:u w:val="single"/>
        </w:rPr>
        <w:lastRenderedPageBreak/>
        <w:t xml:space="preserve">Entlastung durch </w:t>
      </w:r>
      <w:r w:rsidR="00112190" w:rsidRPr="002C21D4">
        <w:rPr>
          <w:u w:val="single"/>
        </w:rPr>
        <w:t>Strompreiskompensation</w:t>
      </w:r>
      <w:r w:rsidR="00112190">
        <w:t xml:space="preserve">. Schon oben beim Punkt Deutschland erwähnt: Schon seit 2013 gibt es auch eine Strompreiskompensation für Firmen, siehe die </w:t>
      </w:r>
      <w:proofErr w:type="spellStart"/>
      <w:r w:rsidR="00112190">
        <w:t>DEHSt</w:t>
      </w:r>
      <w:proofErr w:type="spellEnd"/>
      <w:r w:rsidR="00112190">
        <w:t xml:space="preserve"> Webseite.</w:t>
      </w:r>
      <w:r w:rsidR="00112190">
        <w:rPr>
          <w:rStyle w:val="Funotenzeichen"/>
        </w:rPr>
        <w:footnoteReference w:id="1652"/>
      </w:r>
      <w:r w:rsidR="00112190">
        <w:t xml:space="preserve"> Zitat: </w:t>
      </w:r>
      <w:r w:rsidR="00112190" w:rsidRPr="00D26476">
        <w:t>Seit der dritten Handelsperiode des EU-ETS (ab 2013) erhalten Anlagen für ihre Emissionen aus der Erzeugung von Strom keine kostenlose Zuteilung mehr. Die Stromerzeuger reichen die CO2-Kosten der Stromerzeugung an ihre Kunden weiter. Sie übertragen die tatsächlichen CO2-Kosten auf den Strompreis, unabhängig davon, ob sie die Emissionsberechtigungen kostenlos erhalten oder am Markt kaufen müssen. Von diesen indirekten CO2-Kosten sind insbesondere stromintensive Industrieunternehmen betroffen.</w:t>
      </w:r>
      <w:r w:rsidR="00112190">
        <w:t>“</w:t>
      </w:r>
      <w:r w:rsidR="00112190">
        <w:rPr>
          <w:rStyle w:val="Funotenzeichen"/>
        </w:rPr>
        <w:footnoteReference w:id="1653"/>
      </w:r>
      <w:r w:rsidR="00112190">
        <w:t xml:space="preserve"> Kurz: die Energieversorger mit Kohle- und Gaskraftwerken etwa, haben, obwohl sie vielleicht gar keine Kosten hatten, die CO2-Kosten kalkulatorisch auf den Strompreis gelegt, und einen höheren Strompreis verlangt. Dafür eine Beihilfe zu zahlen wird auch von der EU Generaldirektion Wettbewerb ermöglicht, siehe die folgende, aktuelle Mitteilung von Leitlinien, 25.09.2020.</w:t>
      </w:r>
      <w:r w:rsidR="00112190">
        <w:rPr>
          <w:rStyle w:val="Funotenzeichen"/>
        </w:rPr>
        <w:footnoteReference w:id="1654"/>
      </w:r>
      <w:r w:rsidR="00112190">
        <w:t xml:space="preserve"> Die deutsche Richtlinie findet sich hier.</w:t>
      </w:r>
      <w:r w:rsidR="00112190">
        <w:rPr>
          <w:rStyle w:val="Funotenzeichen"/>
        </w:rPr>
        <w:footnoteReference w:id="1655"/>
      </w:r>
      <w:r w:rsidR="00112190">
        <w:t xml:space="preserve"> Die Liste ist hier viel kürzer: es seien Unternehmen, die einen stromintensiven Produktionsprozesse haben, starkem internationalen Wettbewerb ausgesetzt sind und bei denen ein Risiko von Carbon Leakage besteht, sie stehen in einem Transparenzbericht: Firmen im Bereich Eisen- und Stahl, Herstellung chemischer Grundstoffe, Papierverarbeitung, Gießereien, Mineralölverarbeiten, Herstellung von Glas.</w:t>
      </w:r>
      <w:r w:rsidR="00112190">
        <w:rPr>
          <w:rStyle w:val="Funotenzeichen"/>
        </w:rPr>
        <w:footnoteReference w:id="1656"/>
      </w:r>
      <w:r w:rsidR="00112190">
        <w:t xml:space="preserve"> </w:t>
      </w:r>
    </w:p>
    <w:p w14:paraId="708FBC10" w14:textId="77777777" w:rsidR="00112190" w:rsidRDefault="00112190" w:rsidP="00112190"/>
    <w:p w14:paraId="30024BD2" w14:textId="77777777" w:rsidR="00D74783" w:rsidRDefault="00112190" w:rsidP="00112190">
      <w:r>
        <w:t xml:space="preserve">Für das ETS 2 Verkehr und Gebäude gibt es eigenständige Regeln, ab Kapitel </w:t>
      </w:r>
      <w:proofErr w:type="spellStart"/>
      <w:r>
        <w:t>IVa</w:t>
      </w:r>
      <w:proofErr w:type="spellEnd"/>
      <w:r>
        <w:t>, Art. 30a (konsolidierte ETS-Richtlinie 2003/87/EG).</w:t>
      </w:r>
      <w:r>
        <w:rPr>
          <w:rStyle w:val="Funotenzeichen"/>
        </w:rPr>
        <w:footnoteReference w:id="1657"/>
      </w:r>
      <w:r>
        <w:t xml:space="preserve"> Ab 2024 werden die in ETS 2 verfügbaren Zertifikate, so Art. 30c Abs. (1), jedes Jahr linear um 5,10 % gesenkt, am 1. Januar 2025 wird die unionsweite Menge der Zertifikate für das erste Jahr, 2027, veröffentlicht und in Art. 30c Abs. (2) wird dies alles noch mal geändert.</w:t>
      </w:r>
      <w:r>
        <w:rPr>
          <w:rStyle w:val="Funotenzeichen"/>
        </w:rPr>
        <w:footnoteReference w:id="1658"/>
      </w:r>
      <w:r>
        <w:t xml:space="preserve"> Die Versteigerung beginnt 2017 mit 130 % der Versteigerungsmenge (offenkundig um einen zu starken Anstieg der Preise direkt am Anfang zu verhindern), dies wird aber später wieder abgezogen und in die Marktstabilitätsreserve werden 600 Millionen Zertifikate als Bestand eingestellt. 150 Millionen werden für den Klima-Sozialfond versteigert, siehe Art. 30d. In Art. 30 d wird geplant, dass ca. 10 Mrd. jedes Jahr zum Klima-Sozialfond fließt. In Art. 30d werden die Zwecke festgelegt, Bewältigung sozialer Aspekte, für „einkommensschwacher Haushalte in Gebäuden mit der schlechtesten Energiebilanz“ aber auch für E-Autos, Ladeinfrastruktur, Deutschlandtickets für sozialschwache Personen, siehe Art. 30d Abs. (6) ff.</w:t>
      </w:r>
    </w:p>
    <w:p w14:paraId="7B1F98D1" w14:textId="27027104" w:rsidR="00112190" w:rsidRDefault="00112190" w:rsidP="00112190">
      <w:r>
        <w:t>- Forschungsfrage: gibt es ein Marktstabilitätsreserve speziell für das ETS-2 mit anderen Regeln</w:t>
      </w:r>
      <w:r w:rsidR="00561F60">
        <w:t>?</w:t>
      </w:r>
      <w:r>
        <w:t xml:space="preserve"> </w:t>
      </w:r>
    </w:p>
    <w:p w14:paraId="063690F3" w14:textId="77777777" w:rsidR="00112190" w:rsidRDefault="00112190" w:rsidP="00112190"/>
    <w:p w14:paraId="76637A0A" w14:textId="1D13AFE4" w:rsidR="00112190" w:rsidRDefault="00BD4BD0" w:rsidP="00112190">
      <w:r w:rsidRPr="00BD4BD0">
        <w:rPr>
          <w:u w:val="single"/>
        </w:rPr>
        <w:t>Die</w:t>
      </w:r>
      <w:r w:rsidR="00112190" w:rsidRPr="00BD4BD0">
        <w:rPr>
          <w:u w:val="single"/>
        </w:rPr>
        <w:t xml:space="preserve"> Marktstabilitätsreserve </w:t>
      </w:r>
      <w:r w:rsidRPr="00BD4BD0">
        <w:rPr>
          <w:u w:val="single"/>
        </w:rPr>
        <w:t xml:space="preserve">unterliegt </w:t>
      </w:r>
      <w:r w:rsidR="00112190" w:rsidRPr="00BD4BD0">
        <w:rPr>
          <w:u w:val="single"/>
        </w:rPr>
        <w:t>derzeit recht ruppigen Regel</w:t>
      </w:r>
      <w:r w:rsidRPr="00BD4BD0">
        <w:rPr>
          <w:u w:val="single"/>
        </w:rPr>
        <w:t>n</w:t>
      </w:r>
      <w:r w:rsidR="00112190">
        <w:t xml:space="preserve">, aber in den Erwägungsgründen der Originalrichtlinie </w:t>
      </w:r>
      <w:r w:rsidR="000D3F25">
        <w:t xml:space="preserve">ist auch </w:t>
      </w:r>
      <w:r w:rsidR="00112190">
        <w:t xml:space="preserve">von anderen Gesichtspunkten die Rede, so wird von der Gefahr des </w:t>
      </w:r>
      <w:r w:rsidR="00112190">
        <w:lastRenderedPageBreak/>
        <w:t>Carbon Leakage gesprochen.</w:t>
      </w:r>
      <w:r w:rsidR="00112190">
        <w:rPr>
          <w:rStyle w:val="Funotenzeichen"/>
        </w:rPr>
        <w:footnoteReference w:id="1659"/>
      </w:r>
      <w:r w:rsidR="00112190">
        <w:t xml:space="preserve"> Es wurde von einem Ausgleich für indirekte Kosten gesprochen und damals bereits von einem Innovationsfond.</w:t>
      </w:r>
      <w:r w:rsidR="00112190">
        <w:rPr>
          <w:rStyle w:val="Funotenzeichen"/>
        </w:rPr>
        <w:footnoteReference w:id="1660"/>
      </w:r>
      <w:r w:rsidR="00112190">
        <w:t xml:space="preserve"> Es solle eine Überprüfung durch die Kommission geben und dabei „sollte auch berücksichtigt werden, wie sich die Reserve auf Wachstum, Beschäftigung, die industrielle Wettbewerbsfähigkeit der Union und die Gefahr der Verlagerung von CO2-Emissionen auswirkt.“</w:t>
      </w:r>
      <w:r w:rsidR="00112190">
        <w:rPr>
          <w:rStyle w:val="Funotenzeichen"/>
        </w:rPr>
        <w:footnoteReference w:id="1661"/>
      </w:r>
      <w:r w:rsidR="00112190">
        <w:t xml:space="preserve"> Ganz aktuell finden sich folgende Formulierungen: „</w:t>
      </w:r>
      <w:r w:rsidR="00112190" w:rsidRPr="009A6C3A">
        <w:t>Unbeschadet weiterer Überarbeitungen der Reserve im Rahmen der allgemeinen Überarbeitung der Richtlinie 2003/87/EG und des Beschlusses (EU) 2015/1814 im Jahr 2023 sollte die Kommission das Funktionieren der Reserve kontinuierlich überwachen und dafür sorgen, dass die Reserve bei künftigen unvorhersehbaren externen Schocks weiterhin ihren Zweck erfüllt. Eine solide und zukunftsorientierte Reserve ist von entscheidender Bedeutung, um die Integrität des EU-EHS sicherzustellen und es wirksam zu steuern, damit es als politisches Instrument zur Zielvorgabe der Union nach der Verordnung (EU) 2021/1119, bis spätestens 2050 Klimaneutralität zu erreichen, und danach negative Emissionen zu erreichen, beitragen kann.</w:t>
      </w:r>
      <w:r w:rsidR="00112190">
        <w:t>“</w:t>
      </w:r>
      <w:r w:rsidR="00112190">
        <w:rPr>
          <w:rStyle w:val="Funotenzeichen"/>
        </w:rPr>
        <w:footnoteReference w:id="1662"/>
      </w:r>
      <w:r w:rsidR="00112190">
        <w:t xml:space="preserve"> Der Handel mit Emissionszertifikaten wird von der Kommission und von der ESMA überwacht, die auch für die Finanzmärkte zuständig ist. Sie hat in ihrem Report keine schwerwiegenden Defizite gefunden.</w:t>
      </w:r>
      <w:r w:rsidR="00112190">
        <w:rPr>
          <w:rStyle w:val="Funotenzeichen"/>
        </w:rPr>
        <w:footnoteReference w:id="1663"/>
      </w:r>
    </w:p>
    <w:p w14:paraId="19546949" w14:textId="77777777" w:rsidR="000D3F25" w:rsidRDefault="000D3F25" w:rsidP="00112190"/>
    <w:p w14:paraId="7F080CA0" w14:textId="2E745610" w:rsidR="00112190" w:rsidRDefault="00112190" w:rsidP="00112190">
      <w:r>
        <w:t xml:space="preserve">Erstens </w:t>
      </w:r>
      <w:r w:rsidR="000D3F25">
        <w:t>steht es somit in den Regulierungen drin</w:t>
      </w:r>
      <w:r>
        <w:t xml:space="preserve">, dass die Marktstabilitätsreserve und die preisstabilisierenden Artikel im ETS 1 und ETS 2 nötig sind, nicht nur um das Klimaziel, sondern auch weitere Ziele zu erreichen, etwa eine zu starke Preissteigerung zu verhindern, die zu wirtschaftlichen und sozialen Problemen führen könnte. </w:t>
      </w:r>
      <w:r w:rsidRPr="000D3F25">
        <w:rPr>
          <w:u w:val="single"/>
        </w:rPr>
        <w:t>Derzeit scheint aber das Ziel der EU vor allem zu sein, den Firmen zu signalisieren, dass es der EU ernst ist</w:t>
      </w:r>
      <w:r>
        <w:t xml:space="preserve">. </w:t>
      </w:r>
    </w:p>
    <w:p w14:paraId="72D9495D" w14:textId="77777777" w:rsidR="00112190" w:rsidRDefault="00112190" w:rsidP="00112190"/>
    <w:p w14:paraId="14E05CB7" w14:textId="06B6F406" w:rsidR="00112190" w:rsidRDefault="00112190" w:rsidP="00112190">
      <w:r>
        <w:t xml:space="preserve">Zweitens sind die Preisentwicklungen beim Emissionshandel offenkundig schwer vorhersehbar. Derzeit scheint die Kommission vor allem darauf zu setzen, dass die Zahl der Emissionszertifikate verknappt wird, bei der Intervention wird der Tendenz nach auf Automatismen gesetzt. Solange die Menge der Zertifikate nicht unter 833 Mill. fällt, werden die Auktionen niedriger angesetzt. Unverständlich bleibt der ‚niedrige‘ Höchstpreis von 45 Euro für das ETS 2, da er nicht wirklich durchgesetzt werden kann, </w:t>
      </w:r>
      <w:proofErr w:type="gramStart"/>
      <w:r>
        <w:t>durch die niedrige Mengen</w:t>
      </w:r>
      <w:proofErr w:type="gramEnd"/>
      <w:r>
        <w:t xml:space="preserve"> von Zertifikaten, die beim Übersteigen aktiviert wird. Die Mechanismen bzw. Faktoren, die die Preise beeinflussen, sind zudem schwer zu verstehen, da im Moment offenbar noch genug Zertifikate vorhanden sind, und sogar 2023 mehr versteigert worden ist (für </w:t>
      </w:r>
      <w:proofErr w:type="spellStart"/>
      <w:r>
        <w:t>REPowerEU</w:t>
      </w:r>
      <w:proofErr w:type="spellEnd"/>
      <w:r>
        <w:t>), die Preise aber doch gestiegen sind. Liegt dies an der generellen Unsicherheit, daran dass Investoren auf dem Markt spekulieren, daran, dass die Kohlekraftwerke noch viel kaufen oder an was liegt es?</w:t>
      </w:r>
    </w:p>
    <w:p w14:paraId="5E1030DC" w14:textId="5C25E4F4" w:rsidR="00561F60" w:rsidRDefault="00561F60" w:rsidP="00112190"/>
    <w:p w14:paraId="19170BD1" w14:textId="55B45A21" w:rsidR="00112190" w:rsidRPr="00CF1C6F" w:rsidRDefault="00112190" w:rsidP="00112190"/>
    <w:p w14:paraId="242D14E3" w14:textId="32EF623A" w:rsidR="00112190" w:rsidRPr="00CF1C6F" w:rsidRDefault="00112190" w:rsidP="00112190"/>
    <w:p w14:paraId="708718A3" w14:textId="77777777" w:rsidR="00112190" w:rsidRPr="00CF1C6F" w:rsidRDefault="00112190" w:rsidP="00112190"/>
    <w:p w14:paraId="09C90CB2" w14:textId="77777777" w:rsidR="00112190" w:rsidRPr="00CF1C6F" w:rsidRDefault="00112190" w:rsidP="00112190"/>
    <w:p w14:paraId="00F8B64D" w14:textId="77777777" w:rsidR="00112190" w:rsidRPr="00CF1C6F" w:rsidRDefault="00112190" w:rsidP="00112190"/>
    <w:p w14:paraId="60764CD6" w14:textId="74EB1A31" w:rsidR="00112190" w:rsidRPr="00CF1C6F" w:rsidRDefault="00112190" w:rsidP="00112190"/>
    <w:p w14:paraId="356E95AB" w14:textId="02F2895F" w:rsidR="00112190" w:rsidRPr="00CF1C6F" w:rsidRDefault="00695FBD" w:rsidP="00112190">
      <w:r>
        <w:rPr>
          <w:noProof/>
        </w:rPr>
        <w:lastRenderedPageBreak/>
        <w:drawing>
          <wp:anchor distT="0" distB="0" distL="114300" distR="114300" simplePos="0" relativeHeight="251660288" behindDoc="1" locked="0" layoutInCell="1" allowOverlap="1" wp14:anchorId="28A48ED1" wp14:editId="421F70C1">
            <wp:simplePos x="0" y="0"/>
            <wp:positionH relativeFrom="margin">
              <wp:posOffset>185420</wp:posOffset>
            </wp:positionH>
            <wp:positionV relativeFrom="paragraph">
              <wp:posOffset>-118745</wp:posOffset>
            </wp:positionV>
            <wp:extent cx="5019675" cy="3451543"/>
            <wp:effectExtent l="0" t="0" r="0" b="0"/>
            <wp:wrapNone/>
            <wp:docPr id="12206964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19675" cy="34515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70A3F3" w14:textId="77777777" w:rsidR="00112190" w:rsidRPr="00CF1C6F" w:rsidRDefault="00112190" w:rsidP="00112190"/>
    <w:p w14:paraId="724E9184" w14:textId="77777777" w:rsidR="00112190" w:rsidRPr="00CF1C6F" w:rsidRDefault="00112190" w:rsidP="00112190"/>
    <w:p w14:paraId="4B31790D" w14:textId="77777777" w:rsidR="00112190" w:rsidRPr="00CF1C6F" w:rsidRDefault="00112190" w:rsidP="00112190"/>
    <w:p w14:paraId="43FDCA8E" w14:textId="77777777" w:rsidR="00112190" w:rsidRPr="00CF1C6F" w:rsidRDefault="00112190" w:rsidP="00112190"/>
    <w:p w14:paraId="7A507376" w14:textId="77777777" w:rsidR="00112190" w:rsidRPr="00CF1C6F" w:rsidRDefault="00112190" w:rsidP="00112190"/>
    <w:p w14:paraId="059DAFC8" w14:textId="77777777" w:rsidR="000D3F25" w:rsidRDefault="000D3F25" w:rsidP="00112190"/>
    <w:p w14:paraId="3116644E" w14:textId="77777777" w:rsidR="000D3F25" w:rsidRDefault="000D3F25" w:rsidP="00112190"/>
    <w:p w14:paraId="41FFA2C4" w14:textId="77777777" w:rsidR="000D3F25" w:rsidRDefault="000D3F25" w:rsidP="00112190"/>
    <w:p w14:paraId="5562B9DF" w14:textId="77777777" w:rsidR="00695FBD" w:rsidRDefault="00695FBD" w:rsidP="00112190"/>
    <w:p w14:paraId="4EB36047" w14:textId="77777777" w:rsidR="00695FBD" w:rsidRDefault="00695FBD" w:rsidP="00112190"/>
    <w:p w14:paraId="4A1F886F" w14:textId="77777777" w:rsidR="00695FBD" w:rsidRDefault="00695FBD" w:rsidP="00112190"/>
    <w:p w14:paraId="29115453" w14:textId="77777777" w:rsidR="000D3F25" w:rsidRDefault="000D3F25" w:rsidP="00112190"/>
    <w:p w14:paraId="665C4309" w14:textId="77777777" w:rsidR="000D3F25" w:rsidRDefault="000D3F25" w:rsidP="00112190"/>
    <w:p w14:paraId="08A68F7F" w14:textId="77777777" w:rsidR="00695FBD" w:rsidRDefault="00695FBD" w:rsidP="00112190"/>
    <w:p w14:paraId="1DA15BE7" w14:textId="77777777" w:rsidR="00695FBD" w:rsidRDefault="00695FBD" w:rsidP="00112190"/>
    <w:p w14:paraId="606BA653" w14:textId="77777777" w:rsidR="00695FBD" w:rsidRDefault="00695FBD" w:rsidP="00112190"/>
    <w:p w14:paraId="4122A535" w14:textId="77777777" w:rsidR="00695FBD" w:rsidRDefault="00695FBD" w:rsidP="00112190"/>
    <w:p w14:paraId="58FBAAF4" w14:textId="77777777" w:rsidR="00695FBD" w:rsidRDefault="00695FBD" w:rsidP="00112190"/>
    <w:p w14:paraId="524DD7D4" w14:textId="77777777" w:rsidR="00695FBD" w:rsidRDefault="00695FBD" w:rsidP="00112190"/>
    <w:p w14:paraId="7B6A79D0" w14:textId="49DA2F1A" w:rsidR="00112190" w:rsidRPr="004764C5" w:rsidRDefault="00112190" w:rsidP="00112190">
      <w:r w:rsidRPr="004764C5">
        <w:t xml:space="preserve">Quelle: </w:t>
      </w:r>
      <w:hyperlink r:id="rId22" w:history="1">
        <w:r w:rsidRPr="004764C5">
          <w:rPr>
            <w:rStyle w:val="Hyperlink"/>
          </w:rPr>
          <w:t>https://boersen.manager-magazin.de/zertifikate/ecx-eua-co2-emissio-index--open-end-sg/DE000CU3RPS9/</w:t>
        </w:r>
      </w:hyperlink>
      <w:r w:rsidRPr="004764C5">
        <w:t xml:space="preserve"> - Zu</w:t>
      </w:r>
      <w:r>
        <w:t xml:space="preserve">gegriffen: 07.01.2024. </w:t>
      </w:r>
    </w:p>
    <w:p w14:paraId="3ED01BD2" w14:textId="77777777" w:rsidR="00112190" w:rsidRDefault="00112190" w:rsidP="00112190"/>
    <w:p w14:paraId="5B8EC868" w14:textId="5AEC906B" w:rsidR="00D1656F" w:rsidRDefault="00112190" w:rsidP="00112190">
      <w:r w:rsidRPr="00A9621E">
        <w:t xml:space="preserve">Perino et al. </w:t>
      </w:r>
      <w:r w:rsidRPr="00C71D20">
        <w:t>(2023) weisen darauf hin, dass d</w:t>
      </w:r>
      <w:r>
        <w:t>er Emissionshandel nicht dagegen geschützt ist, dass bei Einsparungen plötzlich wieder mehr Zertifikate verfügbar sind und es doch wieder zu einem längerfristigen Preisverfall kommt, der vor allem auf den Erwartungen der Marktteilnehmer beruht. Ebenso sei ein Preisanstieg dankbar. Längerfristig wirksame Erwartungen an Knappheit seien schwer korrigierbar.</w:t>
      </w:r>
      <w:r>
        <w:rPr>
          <w:rStyle w:val="Funotenzeichen"/>
        </w:rPr>
        <w:footnoteReference w:id="1664"/>
      </w:r>
      <w:r>
        <w:t xml:space="preserve"> Der Verband der Chemischen Industrie fordert bereits die Abschaffung der Marktstabilitätsreserve in der derzeitigen Form.</w:t>
      </w:r>
      <w:r>
        <w:rPr>
          <w:rStyle w:val="Funotenzeichen"/>
        </w:rPr>
        <w:footnoteReference w:id="1665"/>
      </w:r>
      <w:r>
        <w:t xml:space="preserve"> Er beobachtet, dass d</w:t>
      </w:r>
      <w:r w:rsidRPr="004764C5">
        <w:t xml:space="preserve">erzeit die Preise für die Zertifikate </w:t>
      </w:r>
      <w:r>
        <w:t>(EUA-Preis – E</w:t>
      </w:r>
      <w:r w:rsidR="00695FBD">
        <w:t>uropean Union</w:t>
      </w:r>
      <w:r>
        <w:t xml:space="preserve"> </w:t>
      </w:r>
      <w:proofErr w:type="spellStart"/>
      <w:r>
        <w:t>Allowances</w:t>
      </w:r>
      <w:proofErr w:type="spellEnd"/>
      <w:r>
        <w:t xml:space="preserve">) </w:t>
      </w:r>
      <w:r w:rsidRPr="004764C5">
        <w:t>stark an</w:t>
      </w:r>
      <w:r>
        <w:t>steigen</w:t>
      </w:r>
      <w:r w:rsidRPr="004764C5">
        <w:t xml:space="preserve">, obwohl die Menge der zirkulierenden Zertifikate noch bei oberhalb von 1,5 Mrd. </w:t>
      </w:r>
      <w:r>
        <w:t>E</w:t>
      </w:r>
      <w:r w:rsidR="00695FBD">
        <w:t xml:space="preserve">uropean Union </w:t>
      </w:r>
      <w:proofErr w:type="spellStart"/>
      <w:r>
        <w:t>Allowances</w:t>
      </w:r>
      <w:proofErr w:type="spellEnd"/>
      <w:r w:rsidR="00695FBD">
        <w:t xml:space="preserve"> liegt</w:t>
      </w:r>
      <w:r w:rsidRPr="004764C5">
        <w:t>.</w:t>
      </w:r>
      <w:r>
        <w:t xml:space="preserve"> Kohlekraftwerke benötigen Zertifikate und diese erhöht den Strompreis, wodurch die Transformation teurer wird (und eine Strompreiskompensation für die Bundesregierung teurer wird</w:t>
      </w:r>
      <w:r>
        <w:rPr>
          <w:rStyle w:val="Funotenzeichen"/>
        </w:rPr>
        <w:footnoteReference w:id="1666"/>
      </w:r>
      <w:r>
        <w:t xml:space="preserve">). Auch der EU eigenen ‚Review </w:t>
      </w:r>
      <w:proofErr w:type="spellStart"/>
      <w:r>
        <w:t>of</w:t>
      </w:r>
      <w:proofErr w:type="spellEnd"/>
      <w:r>
        <w:t xml:space="preserve"> </w:t>
      </w:r>
      <w:proofErr w:type="spellStart"/>
      <w:r>
        <w:t>the</w:t>
      </w:r>
      <w:proofErr w:type="spellEnd"/>
      <w:r>
        <w:t xml:space="preserve"> EU ETS </w:t>
      </w:r>
      <w:proofErr w:type="spellStart"/>
      <w:r>
        <w:t>market</w:t>
      </w:r>
      <w:proofErr w:type="spellEnd"/>
      <w:r>
        <w:t xml:space="preserve"> </w:t>
      </w:r>
      <w:proofErr w:type="spellStart"/>
      <w:r>
        <w:t>stability</w:t>
      </w:r>
      <w:proofErr w:type="spellEnd"/>
      <w:r>
        <w:t xml:space="preserve"> </w:t>
      </w:r>
      <w:proofErr w:type="spellStart"/>
      <w:r>
        <w:t>reserve</w:t>
      </w:r>
      <w:proofErr w:type="spellEnd"/>
      <w:r>
        <w:t>, 2021, würde, so die VCI, vorschlagen, dass die Marktstabilisierungsreserve ab einem Preis von 80 Euro pro Tonne damit aufhören soll, Auktionen zu vermindern.</w:t>
      </w:r>
      <w:r>
        <w:rPr>
          <w:rStyle w:val="Funotenzeichen"/>
        </w:rPr>
        <w:footnoteReference w:id="1667"/>
      </w:r>
      <w:r>
        <w:t xml:space="preserve"> Dazu kommt, dass Investoren als neue Käufer der Zertifikate am Markt auftreten, dies könnte den Preis hochtreiben</w:t>
      </w:r>
      <w:r>
        <w:rPr>
          <w:rStyle w:val="Funotenzeichen"/>
        </w:rPr>
        <w:footnoteReference w:id="1668"/>
      </w:r>
      <w:r>
        <w:t xml:space="preserve">, dies würde, so der VCI von der ESMA nicht untersucht, da es sich um normales Marktverhalten und nicht um Marktmanipulation handelt. Schließlich weist die VCI darauf hin, dass Firmen sich lieber über mehrere Jahre ausstatten wollen, jedes Jahr neu Zertifikate anzuschaffen </w:t>
      </w:r>
      <w:proofErr w:type="gramStart"/>
      <w:r>
        <w:t>wiederstrebt</w:t>
      </w:r>
      <w:proofErr w:type="gramEnd"/>
      <w:r>
        <w:t xml:space="preserve"> dem Bedürfnis nach langfristiger Planung. Vorgeschlagen wird eine </w:t>
      </w:r>
      <w:r>
        <w:lastRenderedPageBreak/>
        <w:t>Preisobergrenze, die mit mehr Zertifikaten verteidigt wird. Es könnte auch ein Preiskorridor festgelegt werden.</w:t>
      </w:r>
      <w:r>
        <w:rPr>
          <w:rStyle w:val="Funotenzeichen"/>
        </w:rPr>
        <w:footnoteReference w:id="1669"/>
      </w:r>
      <w:r>
        <w:t xml:space="preserve"> </w:t>
      </w:r>
    </w:p>
    <w:p w14:paraId="310F47F0" w14:textId="77777777" w:rsidR="00D1656F" w:rsidRDefault="00D1656F" w:rsidP="00112190"/>
    <w:p w14:paraId="50C8197C" w14:textId="553D62BB" w:rsidR="00112190" w:rsidRDefault="00112190" w:rsidP="00112190">
      <w:r w:rsidRPr="00CF1C6F">
        <w:t>Von Ernst and Young</w:t>
      </w:r>
      <w:r>
        <w:t xml:space="preserve">, siehe Fußnote, </w:t>
      </w:r>
      <w:r w:rsidRPr="00CF1C6F">
        <w:t>wird fest</w:t>
      </w:r>
      <w:r>
        <w:t>gestellt, dass l</w:t>
      </w:r>
      <w:r w:rsidRPr="00C621D3">
        <w:t>aut einer Studie des Potsdam-Instituts für Klimafolgenforschung (März 2023), w</w:t>
      </w:r>
      <w:r>
        <w:t xml:space="preserve">elche </w:t>
      </w:r>
      <w:r w:rsidRPr="00C621D3">
        <w:t>die Auswirkungen der aktuellen Reformen des EU ETS wie etwa die schnellere Reduzierung der verfügbaren Emissionszertifikate berücksichtigt,</w:t>
      </w:r>
      <w:r>
        <w:t xml:space="preserve"> </w:t>
      </w:r>
      <w:r w:rsidRPr="00C621D3">
        <w:t>die Preise für Emissionszertifikate im Jahr 2030 auf bis zu 126 Euro/t CO2 ansteigen</w:t>
      </w:r>
      <w:r>
        <w:t xml:space="preserve"> könnten</w:t>
      </w:r>
      <w:r w:rsidRPr="00C621D3">
        <w:t>. Auf lange Sicht, bis 2050, werden Preisanstiege bis zu 400 Euro/t CO2 vorhergesagt.</w:t>
      </w:r>
      <w:r>
        <w:rPr>
          <w:rStyle w:val="Funotenzeichen"/>
        </w:rPr>
        <w:footnoteReference w:id="1670"/>
      </w:r>
    </w:p>
    <w:p w14:paraId="27868DDA" w14:textId="77777777" w:rsidR="00112190" w:rsidRPr="00CF1C6F" w:rsidRDefault="00112190" w:rsidP="00112190"/>
    <w:p w14:paraId="0B30E5FE" w14:textId="7D164024" w:rsidR="00EC7D2A" w:rsidRDefault="00112190" w:rsidP="00112190">
      <w:r w:rsidRPr="000D19CF">
        <w:rPr>
          <w:b/>
          <w:bCs/>
          <w:u w:val="single"/>
        </w:rPr>
        <w:t>Bewertung</w:t>
      </w:r>
      <w:r w:rsidR="00967A5F">
        <w:rPr>
          <w:b/>
          <w:bCs/>
          <w:u w:val="single"/>
        </w:rPr>
        <w:t>.</w:t>
      </w:r>
      <w:r>
        <w:t xml:space="preserve"> </w:t>
      </w:r>
      <w:r w:rsidR="00967A5F">
        <w:t xml:space="preserve">Die Regeln des EU ETS erscheinen derzeit als ruppig, die auktionierten Mengen sinken bis 2027 stark ab, danach scheint es aber weniger stark abwärts zu gehen. Im ETS 1 werden bei Preissteigerungen nach 6 Monaten mit </w:t>
      </w:r>
      <w:proofErr w:type="gramStart"/>
      <w:r w:rsidR="00967A5F">
        <w:t>2,4 fachen</w:t>
      </w:r>
      <w:proofErr w:type="gramEnd"/>
      <w:r w:rsidR="00967A5F">
        <w:t xml:space="preserve"> des Preises (Durchschnitt 2 Jahre), 75 Millionen Zertifikate freigegeben. Man wird sehen, ob dies Preissteigerungen abmildern kann. Im ETS 2 kommt es nach 3 Monaten doppelt so hohem Preis zu einer politischen Entscheidung der Kommission, wie viele Zertifikate freigegeben werden. </w:t>
      </w:r>
      <w:r w:rsidR="00967A5F">
        <w:rPr>
          <w:u w:val="single"/>
        </w:rPr>
        <w:t>Funktioniert dies nicht, k</w:t>
      </w:r>
      <w:r w:rsidR="00EC7D2A">
        <w:rPr>
          <w:u w:val="single"/>
        </w:rPr>
        <w:t>önnte</w:t>
      </w:r>
      <w:r w:rsidRPr="00C06294">
        <w:rPr>
          <w:u w:val="single"/>
        </w:rPr>
        <w:t xml:space="preserve"> der Marktstabil</w:t>
      </w:r>
      <w:r w:rsidR="00BD4BD0">
        <w:rPr>
          <w:u w:val="single"/>
        </w:rPr>
        <w:t>itäts</w:t>
      </w:r>
      <w:r w:rsidRPr="00C06294">
        <w:rPr>
          <w:u w:val="single"/>
        </w:rPr>
        <w:t xml:space="preserve">reserve </w:t>
      </w:r>
      <w:r w:rsidR="00BD4BD0">
        <w:rPr>
          <w:u w:val="single"/>
        </w:rPr>
        <w:t xml:space="preserve">durch eine erneute politische Reform </w:t>
      </w:r>
      <w:r w:rsidRPr="00C06294">
        <w:rPr>
          <w:u w:val="single"/>
        </w:rPr>
        <w:t>wieder mehr</w:t>
      </w:r>
      <w:r w:rsidR="00BD4BD0">
        <w:rPr>
          <w:u w:val="single"/>
        </w:rPr>
        <w:t xml:space="preserve"> preislenkende Aufgaben</w:t>
      </w:r>
      <w:r w:rsidRPr="00C06294">
        <w:rPr>
          <w:u w:val="single"/>
        </w:rPr>
        <w:t xml:space="preserve"> übertragen</w:t>
      </w:r>
      <w:r w:rsidR="00BD4BD0">
        <w:rPr>
          <w:u w:val="single"/>
        </w:rPr>
        <w:t xml:space="preserve"> </w:t>
      </w:r>
      <w:r w:rsidR="00EC7D2A">
        <w:rPr>
          <w:u w:val="single"/>
        </w:rPr>
        <w:t xml:space="preserve">werden, damit etwa </w:t>
      </w:r>
      <w:proofErr w:type="gramStart"/>
      <w:r w:rsidR="00EC7D2A">
        <w:rPr>
          <w:u w:val="single"/>
        </w:rPr>
        <w:t>zu stark ansteigende, absinkende oder zu stark schwankende Preise</w:t>
      </w:r>
      <w:proofErr w:type="gramEnd"/>
      <w:r w:rsidR="00EC7D2A">
        <w:rPr>
          <w:u w:val="single"/>
        </w:rPr>
        <w:t xml:space="preserve"> vermieden werden</w:t>
      </w:r>
      <w:r>
        <w:t xml:space="preserve">. </w:t>
      </w:r>
      <w:r w:rsidR="00EC7D2A">
        <w:t xml:space="preserve">CO2-Preise sollen im Ideal langsam, aber kontinuierlich ansteigen, damit die Wirtschaft weiß, was auf sie zukommt, sich anpassen kann und es nicht zum Stillstand der Wirtschaft führt. Preis sollten nicht plötzlich wieder absinken, aber auch nicht plötzlich ansteigen. Die Preise sollten langsamer ansteigen, wenn die erneuerbaren Energien, die Technologie oder das Geld zum Umbau der Technologie noch nicht vorhanden ist. Auch das ETS 2 sollte erst dann zu höheren Preisen führen, wenn eine neue Generation von billigen Akkus für Elektroautos vorhanden ist, damit für möglichst viele Menschen Mobilität weiter möglich ist. </w:t>
      </w:r>
    </w:p>
    <w:p w14:paraId="455A0065" w14:textId="77777777" w:rsidR="00EC7D2A" w:rsidRDefault="00EC7D2A" w:rsidP="00112190"/>
    <w:p w14:paraId="7EB6587E" w14:textId="6DF40468" w:rsidR="00112190" w:rsidRDefault="00EC7D2A" w:rsidP="00112190">
      <w:r>
        <w:t xml:space="preserve">Ein generelles Problem, welches durch langsame oder schnelle Preisbewegungen gar nicht adressiert werden kann, ist, </w:t>
      </w:r>
      <w:r w:rsidR="00BD4BD0">
        <w:t>dass Firmen ganz unterschiedliche Strategien wählen können</w:t>
      </w:r>
      <w:r>
        <w:t>.</w:t>
      </w:r>
      <w:r w:rsidR="00BD4BD0">
        <w:t xml:space="preserve"> </w:t>
      </w:r>
      <w:r>
        <w:t>E</w:t>
      </w:r>
      <w:r w:rsidR="00BD4BD0">
        <w:t xml:space="preserve">inige Firmen, die früh umstellen, sparen zwar Emissionszertifikate, aber sie können dadurch höhere Produktionskosten vielleicht nicht ganz kompensieren. Dadurch könnten sie Nachteile haben gegenüber Firmen, die es als Geschäftsmodell ansehen, länger zu warten. </w:t>
      </w:r>
    </w:p>
    <w:p w14:paraId="34DFCAC1" w14:textId="77777777" w:rsidR="00561F60" w:rsidRDefault="00561F60" w:rsidP="00112190"/>
    <w:p w14:paraId="627CB8B4" w14:textId="66386CA6" w:rsidR="00B949FF" w:rsidRDefault="00B949FF" w:rsidP="00B949FF">
      <w:r>
        <w:t>Interessanterweise hat das Irische Parlament 2021 die Idee, die beiden ETS-Systeme zu trennen, abgelehnt und dazu einen Bericht verfasst</w:t>
      </w:r>
      <w:r>
        <w:rPr>
          <w:rStyle w:val="Funotenzeichen"/>
        </w:rPr>
        <w:footnoteReference w:id="1671"/>
      </w:r>
      <w:r>
        <w:t xml:space="preserve">, dadurch wäre das System aber noch weniger in der Lage auf spezielle Bedingungen etwa im Bereich Industrie oder Verkehr und Haushalte zu reagieren. </w:t>
      </w:r>
    </w:p>
    <w:p w14:paraId="36291E50" w14:textId="77777777" w:rsidR="00B949FF" w:rsidRDefault="00B949FF" w:rsidP="00112190"/>
    <w:p w14:paraId="58E6271C" w14:textId="23ED0543" w:rsidR="00112190" w:rsidRDefault="00112190" w:rsidP="00112190">
      <w:r>
        <w:t xml:space="preserve">Der Europäische Emissionshandel wird im Deutschland von der Deutschen Emissionshandelsstelle </w:t>
      </w:r>
      <w:proofErr w:type="spellStart"/>
      <w:r>
        <w:t>DEHSt</w:t>
      </w:r>
      <w:proofErr w:type="spellEnd"/>
      <w:r>
        <w:t xml:space="preserve"> umgesetzt und diese spricht die Sanktionen (für das ETS) aus.</w:t>
      </w:r>
      <w:r w:rsidRPr="008A72EA">
        <w:rPr>
          <w:rStyle w:val="Funotenzeichen"/>
        </w:rPr>
        <w:t xml:space="preserve"> </w:t>
      </w:r>
      <w:r>
        <w:rPr>
          <w:rStyle w:val="Funotenzeichen"/>
        </w:rPr>
        <w:footnoteReference w:id="1672"/>
      </w:r>
      <w:r>
        <w:t xml:space="preserve"> Fehlende Zertifikate kosten 2022 121,01 Euro pro Tonne CO2, fehlerhafte Berichte über Emissionsmengen führen erst dann zu Sanktionen, wenn sie unzureichend oder fahrlässig sind, seit 2021 sind die Sanktionen stark </w:t>
      </w:r>
      <w:r>
        <w:lastRenderedPageBreak/>
        <w:t>rückläufig. Wer zu wenig Berechtigungen abgegeben hat oder keinen Bericht abgibt, und ein Zahlungsbescheid vorliegt, wird im Bundesanzeiger Verlag veröffentlicht.</w:t>
      </w:r>
      <w:r w:rsidRPr="008A72EA">
        <w:rPr>
          <w:rStyle w:val="Funotenzeichen"/>
        </w:rPr>
        <w:t xml:space="preserve"> </w:t>
      </w:r>
      <w:r>
        <w:rPr>
          <w:rStyle w:val="Funotenzeichen"/>
        </w:rPr>
        <w:footnoteReference w:id="1673"/>
      </w:r>
      <w:r>
        <w:t xml:space="preserve">  </w:t>
      </w:r>
    </w:p>
    <w:p w14:paraId="2EFB3092" w14:textId="77777777" w:rsidR="00112190" w:rsidRDefault="00112190" w:rsidP="00112190"/>
    <w:tbl>
      <w:tblPr>
        <w:tblStyle w:val="Tabellenraster"/>
        <w:tblW w:w="0" w:type="auto"/>
        <w:tblLook w:val="04A0" w:firstRow="1" w:lastRow="0" w:firstColumn="1" w:lastColumn="0" w:noHBand="0" w:noVBand="1"/>
      </w:tblPr>
      <w:tblGrid>
        <w:gridCol w:w="9062"/>
      </w:tblGrid>
      <w:tr w:rsidR="00112190" w14:paraId="4480E65E" w14:textId="77777777" w:rsidTr="006B301B">
        <w:tc>
          <w:tcPr>
            <w:tcW w:w="9062" w:type="dxa"/>
          </w:tcPr>
          <w:p w14:paraId="622C2816" w14:textId="603F0F0E" w:rsidR="001F3C5A" w:rsidRDefault="00112190" w:rsidP="006B301B">
            <w:r>
              <w:t>Es gibt erhebliche Probleme mit dem Emissionshandelssystem, so vergaß Deutschland Emissionszertifikate von stillgelegten Kohlekraftwerken löschen zu lassen,</w:t>
            </w:r>
            <w:r w:rsidR="0036667E">
              <w:t xml:space="preserve"> daraus lässt sich der sog. </w:t>
            </w:r>
            <w:r>
              <w:t xml:space="preserve"> sagenumwobene Wasserbett-Effekt </w:t>
            </w:r>
            <w:r w:rsidR="0036667E">
              <w:t xml:space="preserve">konstruieren, da ohne ‚Löschung‘, </w:t>
            </w:r>
            <w:r>
              <w:t xml:space="preserve">diese Emissionszertifikate von anderen gekauft werden können und diese dann genau diese Treibhausgasemissionen wieder tätigen können, sodass durch die Stilllegung </w:t>
            </w:r>
            <w:r w:rsidR="0036667E">
              <w:t xml:space="preserve">nichts </w:t>
            </w:r>
            <w:r>
              <w:t>gewonnen w</w:t>
            </w:r>
            <w:r w:rsidR="0036667E">
              <w:t>urde.</w:t>
            </w:r>
            <w:r>
              <w:rPr>
                <w:rStyle w:val="Funotenzeichen"/>
              </w:rPr>
              <w:footnoteReference w:id="1674"/>
            </w:r>
            <w:r>
              <w:t xml:space="preserve"> </w:t>
            </w:r>
            <w:r w:rsidR="0036667E">
              <w:t>Erst am 02.04.2025 wird gemeldet, dass die Bundesregierung die Löschung dieser Emissionszertifikate nun beantragt hat, sie stammen vo</w:t>
            </w:r>
            <w:r w:rsidR="00CB0E93">
              <w:t xml:space="preserve">m </w:t>
            </w:r>
            <w:r w:rsidR="0036667E">
              <w:t>stillgelegt</w:t>
            </w:r>
            <w:r w:rsidR="00CB0E93">
              <w:t>en</w:t>
            </w:r>
            <w:r w:rsidR="0036667E">
              <w:t xml:space="preserve"> Bl</w:t>
            </w:r>
            <w:r w:rsidR="00CB0E93">
              <w:t>ock A</w:t>
            </w:r>
            <w:r w:rsidR="0036667E">
              <w:t xml:space="preserve"> von Neurath und </w:t>
            </w:r>
            <w:r w:rsidR="00CB0E93">
              <w:t>aus</w:t>
            </w:r>
            <w:r w:rsidR="0036667E">
              <w:t xml:space="preserve"> Frechen.</w:t>
            </w:r>
            <w:r w:rsidR="0036667E">
              <w:rPr>
                <w:rStyle w:val="Funotenzeichen"/>
              </w:rPr>
              <w:footnoteReference w:id="1675"/>
            </w:r>
          </w:p>
          <w:p w14:paraId="19930682" w14:textId="77777777" w:rsidR="0036667E" w:rsidRDefault="0036667E" w:rsidP="006B301B"/>
          <w:p w14:paraId="58E8BBC6" w14:textId="637C7879" w:rsidR="0036667E" w:rsidRDefault="0036667E" w:rsidP="006B301B">
            <w:r>
              <w:t xml:space="preserve">Dass es in diesem Fall tatsächlich zu einem Wasserbett-Effekt gekommen ist, </w:t>
            </w:r>
            <w:r w:rsidR="00CB0E93">
              <w:t>kann</w:t>
            </w:r>
            <w:r>
              <w:t xml:space="preserve"> bestritten</w:t>
            </w:r>
            <w:r w:rsidR="00CB0E93">
              <w:t xml:space="preserve"> werden</w:t>
            </w:r>
            <w:r>
              <w:t xml:space="preserve">, da im Jahr 2023 eine Obergrenze (Cap) von 1486,6 Mill. EUA (European Union </w:t>
            </w:r>
            <w:proofErr w:type="spellStart"/>
            <w:r>
              <w:t>Allowances</w:t>
            </w:r>
            <w:proofErr w:type="spellEnd"/>
            <w:r>
              <w:t>, für je 1 Tonnen CO2) vorgesehen war, im gleichen Jahr lagen die verifizierten Emissionen bei 1090 Mill. Tonnen CO2-Äquivalent, damit sind mehrere Millionen Zertifikate im Umlauf, die nicht aufgebraucht werde müssen, sodass man das EU-ETS als Überschussmarkt bezeichnen kann.</w:t>
            </w:r>
            <w:r w:rsidR="00CB0E93">
              <w:rPr>
                <w:rStyle w:val="Funotenzeichen"/>
              </w:rPr>
              <w:footnoteReference w:id="1676"/>
            </w:r>
            <w:r>
              <w:t xml:space="preserve"> Die späte Löschung </w:t>
            </w:r>
            <w:r w:rsidR="00CB0E93">
              <w:t xml:space="preserve">hatte damit wahrscheinlich kaum eine Wirkung, aber es kann natürlich nicht ausgeschlossen werden, dass es eine Wirkung auf die Preise hat, wenn mehr Zertifikate da sind, als wenn man Zertifikate konsequent löscht. </w:t>
            </w:r>
            <w:r>
              <w:t xml:space="preserve"> </w:t>
            </w:r>
          </w:p>
          <w:p w14:paraId="5B8F0804" w14:textId="77777777" w:rsidR="001F3C5A" w:rsidRDefault="001F3C5A" w:rsidP="006B301B"/>
          <w:p w14:paraId="75832DCC" w14:textId="306C5335" w:rsidR="00112190" w:rsidRDefault="00112190" w:rsidP="006B301B">
            <w:r>
              <w:t>Es scheint möglich (gewesen</w:t>
            </w:r>
            <w:r w:rsidR="001F3C5A">
              <w:t xml:space="preserve"> … </w:t>
            </w:r>
            <w:r>
              <w:t>) zu sein, im EU-internen Emissionshandel Emissionsrechte (</w:t>
            </w:r>
            <w:proofErr w:type="spellStart"/>
            <w:r>
              <w:t>Assigned</w:t>
            </w:r>
            <w:proofErr w:type="spellEnd"/>
            <w:r>
              <w:t xml:space="preserve"> </w:t>
            </w:r>
            <w:proofErr w:type="spellStart"/>
            <w:r>
              <w:t>Amount</w:t>
            </w:r>
            <w:proofErr w:type="spellEnd"/>
            <w:r>
              <w:t xml:space="preserve"> Units, AAU) aus dem Kyoto-Protokoll zu kaufen, so Wikipedia</w:t>
            </w:r>
            <w:r>
              <w:rPr>
                <w:rStyle w:val="Funotenzeichen"/>
              </w:rPr>
              <w:footnoteReference w:id="1677"/>
            </w:r>
            <w:r>
              <w:t xml:space="preserve">, d.h. es sind möglicherweise sogar Emissionsrechte aus Russland auf dem Markt, die im Zuge der Verhandlungen über das Kyoto-Protokoll an Russland ‚verschenkt‘ wurden, um die Zustimmung Russlands zu bewirken und solche aus Joint Implementation Projekten mit Osteuropa und aus Emissionsminderungsprojekten in Entwicklungsländern, die oft nicht funktioniert haben. </w:t>
            </w:r>
            <w:r w:rsidR="00B949FF">
              <w:t xml:space="preserve">Inwieweit diese noch gültig sind, kann ich hier nicht klären. </w:t>
            </w:r>
            <w:r>
              <w:t xml:space="preserve">   </w:t>
            </w:r>
          </w:p>
        </w:tc>
      </w:tr>
    </w:tbl>
    <w:p w14:paraId="20127659" w14:textId="77777777" w:rsidR="00112190" w:rsidRDefault="00112190" w:rsidP="00112190"/>
    <w:tbl>
      <w:tblPr>
        <w:tblStyle w:val="Tabellenraster"/>
        <w:tblW w:w="0" w:type="auto"/>
        <w:tblLook w:val="04A0" w:firstRow="1" w:lastRow="0" w:firstColumn="1" w:lastColumn="0" w:noHBand="0" w:noVBand="1"/>
      </w:tblPr>
      <w:tblGrid>
        <w:gridCol w:w="9062"/>
      </w:tblGrid>
      <w:tr w:rsidR="00112190" w14:paraId="2C1210AC" w14:textId="77777777" w:rsidTr="006B301B">
        <w:tc>
          <w:tcPr>
            <w:tcW w:w="9062" w:type="dxa"/>
          </w:tcPr>
          <w:p w14:paraId="7F52F1C5" w14:textId="77777777" w:rsidR="00112190" w:rsidRDefault="00112190" w:rsidP="006B301B">
            <w:r>
              <w:t>Das EU-ETS wurde durch ein Abkommen mit der Schweiz erweitert, das auf den Luftverkehr anwendbar ist. Die Bundesregierung möchte das ETS mit weiteren Handelssystem weltweit verbinden, dies ist aber noch nicht der Fall, in den USA wird es derzeit nicht flächendeckend eingeführt, nur in Kalifornien, in mehreren kanadischen Provinzen, Südkorea, Neuseeland und der Schweiz.</w:t>
            </w:r>
            <w:r>
              <w:rPr>
                <w:rStyle w:val="Funotenzeichen"/>
              </w:rPr>
              <w:footnoteReference w:id="1678"/>
            </w:r>
          </w:p>
        </w:tc>
      </w:tr>
    </w:tbl>
    <w:p w14:paraId="4C1664EF" w14:textId="77777777" w:rsidR="00112190" w:rsidRDefault="00112190" w:rsidP="00112190"/>
    <w:p w14:paraId="122B057C" w14:textId="567AB499" w:rsidR="00112190" w:rsidRDefault="00112190" w:rsidP="00112190">
      <w:r>
        <w:t xml:space="preserve">Fit </w:t>
      </w:r>
      <w:proofErr w:type="spellStart"/>
      <w:r>
        <w:t>for</w:t>
      </w:r>
      <w:proofErr w:type="spellEnd"/>
      <w:r>
        <w:t xml:space="preserve"> 55</w:t>
      </w:r>
      <w:r w:rsidR="00A97CAF">
        <w:t xml:space="preserve"> (mit Fokus auf dem CBAM)</w:t>
      </w:r>
    </w:p>
    <w:p w14:paraId="177E25AA" w14:textId="77777777" w:rsidR="00112190" w:rsidRDefault="00112190" w:rsidP="00112190"/>
    <w:p w14:paraId="5D77A666" w14:textId="77777777" w:rsidR="00112190" w:rsidRDefault="00112190" w:rsidP="00112190">
      <w:r>
        <w:t xml:space="preserve">Im Rahmen des European Green Deal gibt es weiterhin das Fit </w:t>
      </w:r>
      <w:proofErr w:type="spellStart"/>
      <w:r>
        <w:t>for</w:t>
      </w:r>
      <w:proofErr w:type="spellEnd"/>
      <w:r>
        <w:t xml:space="preserve"> 55 Paket (fit, um im Jahr 2030 55 % der Emissionen eingespart zu haben). Im Rahmen des Fit </w:t>
      </w:r>
      <w:proofErr w:type="spellStart"/>
      <w:r>
        <w:t>for</w:t>
      </w:r>
      <w:proofErr w:type="spellEnd"/>
      <w:r>
        <w:t xml:space="preserve"> 55 Pakets präsentierte die Kommission ab 2021 mehrere Gesetzesinitiativen im Bereich Klima, darunter die schon oben erwähnte </w:t>
      </w:r>
      <w:r>
        <w:lastRenderedPageBreak/>
        <w:t>Überarbeitung der Marktstabilitätsreserve des Emissionshandelssystem, siehe die Webseite der Kommission</w:t>
      </w:r>
      <w:r>
        <w:rPr>
          <w:rStyle w:val="Funotenzeichen"/>
        </w:rPr>
        <w:footnoteReference w:id="1679"/>
      </w:r>
      <w:r>
        <w:t xml:space="preserve"> und des Europäischen Parlaments</w:t>
      </w:r>
      <w:r>
        <w:rPr>
          <w:rStyle w:val="Funotenzeichen"/>
        </w:rPr>
        <w:footnoteReference w:id="1680"/>
      </w:r>
      <w:r>
        <w:t xml:space="preserve"> dazu. Hier wird keine klare Abgrenzung von Fit </w:t>
      </w:r>
      <w:proofErr w:type="spellStart"/>
      <w:r>
        <w:t>for</w:t>
      </w:r>
      <w:proofErr w:type="spellEnd"/>
      <w:r>
        <w:t xml:space="preserve"> 55 und Green Deal durchgeführt, es geht sowieso um denselben Zielkatalog. Zum Fit </w:t>
      </w:r>
      <w:proofErr w:type="spellStart"/>
      <w:r>
        <w:t>for</w:t>
      </w:r>
      <w:proofErr w:type="spellEnd"/>
      <w:r>
        <w:t xml:space="preserve"> 55 Paket zuordenbar ist weiterhin der Grenzausgleichsmechanismus. Die Fit </w:t>
      </w:r>
      <w:proofErr w:type="spellStart"/>
      <w:r>
        <w:t>for</w:t>
      </w:r>
      <w:proofErr w:type="spellEnd"/>
      <w:r>
        <w:t xml:space="preserve"> 55 Gesetzgebung ist 2023, so die </w:t>
      </w:r>
      <w:proofErr w:type="gramStart"/>
      <w:r>
        <w:t>EU Informationen</w:t>
      </w:r>
      <w:proofErr w:type="gramEnd"/>
      <w:r>
        <w:t>, vollständig in Kraft getreten.</w:t>
      </w:r>
      <w:r>
        <w:rPr>
          <w:rStyle w:val="Funotenzeichen"/>
        </w:rPr>
        <w:footnoteReference w:id="1681"/>
      </w:r>
      <w:r>
        <w:t xml:space="preserve"> </w:t>
      </w:r>
    </w:p>
    <w:p w14:paraId="5237875F" w14:textId="77777777" w:rsidR="00112190" w:rsidRDefault="00112190" w:rsidP="00112190"/>
    <w:p w14:paraId="37512C11" w14:textId="4639C303" w:rsidR="00112190" w:rsidRDefault="00112190" w:rsidP="00112190">
      <w:r>
        <w:t xml:space="preserve">Bei einer Gesetzesinitiative gibt es keine Einigung, </w:t>
      </w:r>
      <w:r w:rsidR="00F63FE4">
        <w:t>der</w:t>
      </w:r>
      <w:r>
        <w:t xml:space="preserve"> </w:t>
      </w:r>
      <w:proofErr w:type="gramStart"/>
      <w:r>
        <w:t>EU Energiesteuerrichtlinie</w:t>
      </w:r>
      <w:proofErr w:type="gramEnd"/>
      <w:r>
        <w:t xml:space="preserve"> 2003</w:t>
      </w:r>
      <w:r>
        <w:rPr>
          <w:rStyle w:val="Funotenzeichen"/>
        </w:rPr>
        <w:footnoteReference w:id="1682"/>
      </w:r>
      <w:r>
        <w:t>, die Mindeststeuern auf Energie festschreibt, die aber sei</w:t>
      </w:r>
      <w:r w:rsidR="00F63FE4">
        <w:t>t 2003</w:t>
      </w:r>
      <w:r>
        <w:t xml:space="preserve"> nicht verändert wurde. Die Steuersätze liegen aber niedrig und es gibt viele Ausnahmen. Ziel war damals u.a. einen Steuerunterbietungswettbewerb zu vermeiden. In einer neuen Richtlinie könnten z.B. Biokraftstoffe bevorzugt werden, darüber gibt es aber seit Jahren keine Einigung.</w:t>
      </w:r>
      <w:r>
        <w:rPr>
          <w:rStyle w:val="Funotenzeichen"/>
        </w:rPr>
        <w:footnoteReference w:id="1683"/>
      </w:r>
    </w:p>
    <w:p w14:paraId="401458E0" w14:textId="77777777" w:rsidR="00112190" w:rsidRDefault="00112190" w:rsidP="00112190"/>
    <w:p w14:paraId="67A254E7" w14:textId="54692720" w:rsidR="00112190" w:rsidRDefault="00B949FF" w:rsidP="00112190">
      <w:r>
        <w:t xml:space="preserve">Eine Fit </w:t>
      </w:r>
      <w:proofErr w:type="spellStart"/>
      <w:r>
        <w:t>for</w:t>
      </w:r>
      <w:proofErr w:type="spellEnd"/>
      <w:r>
        <w:t xml:space="preserve"> 55 Gesetzgebung ist die </w:t>
      </w:r>
      <w:r w:rsidR="00112190">
        <w:t xml:space="preserve">Richtlinie über den Aufbau der Infrastruktur für alternative Kraftstoffe (Alternative Fuels </w:t>
      </w:r>
      <w:proofErr w:type="spellStart"/>
      <w:r w:rsidR="00112190">
        <w:t>Instrastructure</w:t>
      </w:r>
      <w:proofErr w:type="spellEnd"/>
      <w:r w:rsidR="00112190">
        <w:t xml:space="preserve"> </w:t>
      </w:r>
      <w:proofErr w:type="spellStart"/>
      <w:r w:rsidR="00112190">
        <w:t>Directive</w:t>
      </w:r>
      <w:proofErr w:type="spellEnd"/>
      <w:r w:rsidR="00112190">
        <w:t>, AFID)</w:t>
      </w:r>
      <w:r>
        <w:t xml:space="preserve">, die einen Ausbau von Ladestationen, Wasserstoff- und </w:t>
      </w:r>
      <w:r w:rsidR="00AF1F68">
        <w:t xml:space="preserve">flüssiges </w:t>
      </w:r>
      <w:r>
        <w:t xml:space="preserve">Methantankstellen vorsieht und auch solche für den </w:t>
      </w:r>
      <w:r w:rsidR="00AF1F68">
        <w:t xml:space="preserve">Schiffs- und </w:t>
      </w:r>
      <w:r>
        <w:t>Flugverkehr.</w:t>
      </w:r>
      <w:r>
        <w:rPr>
          <w:rStyle w:val="Funotenzeichen"/>
        </w:rPr>
        <w:footnoteReference w:id="1684"/>
      </w:r>
    </w:p>
    <w:p w14:paraId="599FFF5A" w14:textId="77777777" w:rsidR="00112190" w:rsidRDefault="00112190" w:rsidP="00112190"/>
    <w:p w14:paraId="056DA3E4" w14:textId="6E27C6AF" w:rsidR="00A97CAF" w:rsidRPr="00AF1F68" w:rsidRDefault="00A97CAF" w:rsidP="00A97CAF">
      <w:pPr>
        <w:rPr>
          <w:u w:val="single"/>
        </w:rPr>
      </w:pPr>
      <w:r>
        <w:t xml:space="preserve">Innerhalb des Fit </w:t>
      </w:r>
      <w:proofErr w:type="spellStart"/>
      <w:r>
        <w:t>for</w:t>
      </w:r>
      <w:proofErr w:type="spellEnd"/>
      <w:r>
        <w:t xml:space="preserve"> 55 Pakets gibt es diverse weitere Regulierungen, aktuell etwa für die Emissionen für </w:t>
      </w:r>
      <w:r w:rsidRPr="008C0B11">
        <w:rPr>
          <w:u w:val="single"/>
        </w:rPr>
        <w:t xml:space="preserve">Lastwagen und Busse, die bis 2040 ihren Ausstoß um 90 % senken sollen, ohne dass es aber ein </w:t>
      </w:r>
      <w:proofErr w:type="spellStart"/>
      <w:r w:rsidRPr="008C0B11">
        <w:rPr>
          <w:u w:val="single"/>
        </w:rPr>
        <w:t>Verbrennerverbot</w:t>
      </w:r>
      <w:proofErr w:type="spellEnd"/>
      <w:r w:rsidRPr="008C0B11">
        <w:rPr>
          <w:u w:val="single"/>
        </w:rPr>
        <w:t xml:space="preserve"> gibt</w:t>
      </w:r>
      <w:r>
        <w:t>.</w:t>
      </w:r>
      <w:r>
        <w:rPr>
          <w:rStyle w:val="Funotenzeichen"/>
        </w:rPr>
        <w:footnoteReference w:id="1685"/>
      </w:r>
      <w:r>
        <w:t xml:space="preserve"> </w:t>
      </w:r>
      <w:r w:rsidRPr="008C0B11">
        <w:rPr>
          <w:u w:val="single"/>
        </w:rPr>
        <w:t>Autos die ab 2035 verkauft werden müssen ihre Emissionen zu 100 % absenken (bis 2030 um 55 %, Vans um 50 %), dies kommt einem de facto Verbot des Produktion von Verbrennungsmotoren des heutigen Typs gleich</w:t>
      </w:r>
      <w:r>
        <w:t>, es dürfen allerdings weiter E-Fuels eingesetzt werden, es ist somit</w:t>
      </w:r>
      <w:r w:rsidR="008B0944">
        <w:t xml:space="preserve"> letztlich doch </w:t>
      </w:r>
      <w:r w:rsidRPr="00ED0D06">
        <w:rPr>
          <w:u w:val="single"/>
        </w:rPr>
        <w:t xml:space="preserve">ein </w:t>
      </w:r>
      <w:proofErr w:type="spellStart"/>
      <w:r w:rsidRPr="00ED0D06">
        <w:rPr>
          <w:u w:val="single"/>
        </w:rPr>
        <w:t>Verbrennerverbot</w:t>
      </w:r>
      <w:proofErr w:type="spellEnd"/>
      <w:r w:rsidR="00AF1F68">
        <w:rPr>
          <w:u w:val="single"/>
        </w:rPr>
        <w:t>.</w:t>
      </w:r>
      <w:r>
        <w:rPr>
          <w:rStyle w:val="Funotenzeichen"/>
        </w:rPr>
        <w:footnoteReference w:id="1686"/>
      </w:r>
      <w:r>
        <w:t xml:space="preserve"> Dennoch wird offenbar damit gerechnet, dass 2050 20 % der Autos und Busse, die auf der Straße fahren, und 50 % der Lkw noch Abgasemissionen ausstoßen.</w:t>
      </w:r>
      <w:r>
        <w:rPr>
          <w:rStyle w:val="Funotenzeichen"/>
        </w:rPr>
        <w:footnoteReference w:id="1687"/>
      </w:r>
      <w:r>
        <w:t xml:space="preserve"> </w:t>
      </w:r>
    </w:p>
    <w:p w14:paraId="424E3DF6" w14:textId="77777777" w:rsidR="00A97CAF" w:rsidRDefault="00A97CAF" w:rsidP="00112190"/>
    <w:p w14:paraId="6A140CF0" w14:textId="012FEC1F" w:rsidR="00112190" w:rsidRDefault="00A47A42" w:rsidP="00112190">
      <w:proofErr w:type="spellStart"/>
      <w:r>
        <w:t>C</w:t>
      </w:r>
      <w:r w:rsidR="00A97CAF">
        <w:t>arbongrenzsteueranpassungsmechnismus</w:t>
      </w:r>
      <w:proofErr w:type="spellEnd"/>
      <w:r w:rsidR="00A97CAF">
        <w:t xml:space="preserve"> CBAM</w:t>
      </w:r>
      <w:r w:rsidR="0042771F">
        <w:t xml:space="preserve">. </w:t>
      </w:r>
      <w:r w:rsidR="00112190">
        <w:t xml:space="preserve">Der Carbon Grenz Steuer </w:t>
      </w:r>
      <w:proofErr w:type="spellStart"/>
      <w:r w:rsidR="00112190">
        <w:t>Anpassungsmechnismus</w:t>
      </w:r>
      <w:proofErr w:type="spellEnd"/>
      <w:r w:rsidR="00112190">
        <w:t xml:space="preserve"> bzw. Grenzausgleichsmechanismus (</w:t>
      </w:r>
      <w:proofErr w:type="spellStart"/>
      <w:r w:rsidR="00112190">
        <w:t>carbon</w:t>
      </w:r>
      <w:proofErr w:type="spellEnd"/>
      <w:r w:rsidR="00112190">
        <w:t xml:space="preserve"> </w:t>
      </w:r>
      <w:proofErr w:type="spellStart"/>
      <w:r w:rsidR="00112190">
        <w:t>border</w:t>
      </w:r>
      <w:proofErr w:type="spellEnd"/>
      <w:r w:rsidR="00112190">
        <w:t xml:space="preserve"> </w:t>
      </w:r>
      <w:proofErr w:type="spellStart"/>
      <w:r w:rsidR="00112190">
        <w:t>tax</w:t>
      </w:r>
      <w:proofErr w:type="spellEnd"/>
      <w:r w:rsidR="00112190">
        <w:t xml:space="preserve"> </w:t>
      </w:r>
      <w:proofErr w:type="spellStart"/>
      <w:r w:rsidR="00112190">
        <w:t>adjustment</w:t>
      </w:r>
      <w:proofErr w:type="spellEnd"/>
      <w:r w:rsidR="00112190">
        <w:t xml:space="preserve"> </w:t>
      </w:r>
      <w:proofErr w:type="spellStart"/>
      <w:r w:rsidR="00112190">
        <w:t>mechanism</w:t>
      </w:r>
      <w:proofErr w:type="spellEnd"/>
      <w:r w:rsidR="00112190">
        <w:t>, CBAM)</w:t>
      </w:r>
      <w:r w:rsidR="00112190">
        <w:rPr>
          <w:rStyle w:val="Funotenzeichen"/>
        </w:rPr>
        <w:footnoteReference w:id="1688"/>
      </w:r>
      <w:r w:rsidR="00112190">
        <w:t xml:space="preserve">, </w:t>
      </w:r>
      <w:bookmarkStart w:id="88" w:name="_Hlk156936717"/>
      <w:r w:rsidR="00112190">
        <w:t xml:space="preserve">findet sich </w:t>
      </w:r>
      <w:r w:rsidR="00112190">
        <w:lastRenderedPageBreak/>
        <w:t xml:space="preserve">in der </w:t>
      </w:r>
      <w:proofErr w:type="gramStart"/>
      <w:r w:rsidR="00112190">
        <w:t>CBAM Verordnung</w:t>
      </w:r>
      <w:proofErr w:type="gramEnd"/>
      <w:r w:rsidR="00112190">
        <w:t xml:space="preserve"> (EU) 2023/956, vom 10. Mai 2023</w:t>
      </w:r>
      <w:bookmarkEnd w:id="88"/>
      <w:r w:rsidR="00112190">
        <w:t>.</w:t>
      </w:r>
      <w:r w:rsidR="00112190">
        <w:rPr>
          <w:rStyle w:val="Funotenzeichen"/>
        </w:rPr>
        <w:footnoteReference w:id="1689"/>
      </w:r>
      <w:r w:rsidR="00112190">
        <w:t xml:space="preserve"> Die konsolidierte Fassung findet sich hier (nur eine Berichtigung).</w:t>
      </w:r>
      <w:r w:rsidR="00112190">
        <w:rPr>
          <w:rStyle w:val="Funotenzeichen"/>
        </w:rPr>
        <w:footnoteReference w:id="1690"/>
      </w:r>
      <w:r w:rsidR="00112190">
        <w:t xml:space="preserve"> Die zentrale Infoseite der EU vom CBAM findet sich hier.</w:t>
      </w:r>
      <w:r w:rsidR="00112190">
        <w:rPr>
          <w:rStyle w:val="Funotenzeichen"/>
        </w:rPr>
        <w:footnoteReference w:id="1691"/>
      </w:r>
      <w:r w:rsidR="00112190">
        <w:t xml:space="preserve"> Seit dem 1. Oktober 2023 gibt es eine Probephase. Es sind derzeit nur die Produkte Zement, Eisen- und Stahl, Aluminium, Düngemittel, Elektrizität und Wasserstoff und einige Vorprodukte einbezogen, dies sind die Güter, bei denen am meisten Risiko besteht, dass die Produktion ins Ausland ausgelagert wird.</w:t>
      </w:r>
      <w:r w:rsidR="00112190">
        <w:rPr>
          <w:rStyle w:val="Funotenzeichen"/>
        </w:rPr>
        <w:footnoteReference w:id="1692"/>
      </w:r>
      <w:r w:rsidR="00112190">
        <w:t xml:space="preserve"> </w:t>
      </w:r>
    </w:p>
    <w:p w14:paraId="1E414CF3" w14:textId="77777777" w:rsidR="00112190" w:rsidRDefault="00112190" w:rsidP="00112190"/>
    <w:p w14:paraId="4A31C01F" w14:textId="7167192A" w:rsidR="00112190" w:rsidRDefault="00112190" w:rsidP="00112190">
      <w:r w:rsidRPr="005C1ABA">
        <w:rPr>
          <w:u w:val="single"/>
        </w:rPr>
        <w:t>Die Chemieindustrie ist mit organischen Grundchemikalien und Düngemitteln in das CBAM aber noch nicht einbezogen, obwohl dies eigentlich vorgesehen war</w:t>
      </w:r>
      <w:r>
        <w:t>, angeführt wird der Grund, dass es Probleme bei der Feststellung der mit der Herstellung der Waren verbundenen ‚grauen‘ Emissionen</w:t>
      </w:r>
      <w:r w:rsidR="00484766">
        <w:t xml:space="preserve"> gibt</w:t>
      </w:r>
      <w:r>
        <w:t>.</w:t>
      </w:r>
      <w:r>
        <w:rPr>
          <w:rStyle w:val="Funotenzeichen"/>
        </w:rPr>
        <w:footnoteReference w:id="1693"/>
      </w:r>
    </w:p>
    <w:p w14:paraId="71A447CA" w14:textId="77777777" w:rsidR="00112190" w:rsidRDefault="00112190" w:rsidP="00112190"/>
    <w:tbl>
      <w:tblPr>
        <w:tblStyle w:val="Tabellenraster"/>
        <w:tblW w:w="0" w:type="auto"/>
        <w:tblLook w:val="04A0" w:firstRow="1" w:lastRow="0" w:firstColumn="1" w:lastColumn="0" w:noHBand="0" w:noVBand="1"/>
      </w:tblPr>
      <w:tblGrid>
        <w:gridCol w:w="9062"/>
      </w:tblGrid>
      <w:tr w:rsidR="00DB1CC5" w14:paraId="1EBBC604" w14:textId="77777777">
        <w:tc>
          <w:tcPr>
            <w:tcW w:w="9062" w:type="dxa"/>
          </w:tcPr>
          <w:p w14:paraId="6CCA0F59" w14:textId="05D4D73D" w:rsidR="00DB1CC5" w:rsidRDefault="00DB1CC5" w:rsidP="00112190">
            <w:r>
              <w:t>Es wird derzeit darüber nachgedacht, ob im CBAM auch eine Art Klimaausgleich für Exporte installiert werden kann.</w:t>
            </w:r>
            <w:r>
              <w:rPr>
                <w:rStyle w:val="Funotenzeichen"/>
              </w:rPr>
              <w:footnoteReference w:id="1694"/>
            </w:r>
            <w:r>
              <w:t xml:space="preserve"> </w:t>
            </w:r>
            <w:r w:rsidR="00BD11D9">
              <w:t>D</w:t>
            </w:r>
            <w:r>
              <w:t>ie EU exportiert</w:t>
            </w:r>
            <w:r w:rsidR="006A3683">
              <w:t>e</w:t>
            </w:r>
            <w:r>
              <w:t xml:space="preserve"> 30 Mill. Tonnen Walzstahl (2022)</w:t>
            </w:r>
            <w:r>
              <w:rPr>
                <w:rStyle w:val="Funotenzeichen"/>
              </w:rPr>
              <w:footnoteReference w:id="1695"/>
            </w:r>
            <w:r w:rsidR="00BD11D9">
              <w:t xml:space="preserve">, </w:t>
            </w:r>
            <w:r w:rsidR="006A3683">
              <w:t>für</w:t>
            </w:r>
            <w:r w:rsidR="00BD11D9">
              <w:t xml:space="preserve"> 77,8 Mrd. Euro (2024).</w:t>
            </w:r>
            <w:r w:rsidR="00BD11D9">
              <w:rPr>
                <w:rStyle w:val="Funotenzeichen"/>
              </w:rPr>
              <w:footnoteReference w:id="1696"/>
            </w:r>
            <w:r w:rsidR="00BD11D9">
              <w:t xml:space="preserve"> 80 % der deutschen Exporte gehen in die EU, 20 % in Drittländer, darunter die USA.</w:t>
            </w:r>
            <w:r w:rsidR="00BD11D9">
              <w:rPr>
                <w:rStyle w:val="Funotenzeichen"/>
              </w:rPr>
              <w:footnoteReference w:id="1697"/>
            </w:r>
            <w:r w:rsidR="00BD11D9">
              <w:t xml:space="preserve"> </w:t>
            </w:r>
            <w:r w:rsidR="00985AF8">
              <w:t xml:space="preserve">Der Umsatz der deutschen Stahlindustrie liegt 2022 und 2023 höher als in den Jahren davor, die Produktion ist allerdings von 43,3 Mill. Tonnen (2017) auf </w:t>
            </w:r>
            <w:r w:rsidR="006A3683">
              <w:t>35,4 (2023) gefallen</w:t>
            </w:r>
            <w:r w:rsidR="00985AF8">
              <w:t>.</w:t>
            </w:r>
            <w:r w:rsidR="00985AF8">
              <w:rPr>
                <w:rStyle w:val="Funotenzeichen"/>
              </w:rPr>
              <w:footnoteReference w:id="1698"/>
            </w:r>
            <w:r w:rsidR="00985AF8">
              <w:t xml:space="preserve"> </w:t>
            </w:r>
            <w:r w:rsidR="00513791">
              <w:t>Der deutsche Export von Warmwalzerzeugnissen lag 2019 bei 20,3 Mill. Tonnen, 2023 bei 18,6 Mill. Tonnen.</w:t>
            </w:r>
            <w:r w:rsidR="00513791">
              <w:rPr>
                <w:rStyle w:val="Funotenzeichen"/>
              </w:rPr>
              <w:footnoteReference w:id="1699"/>
            </w:r>
            <w:r w:rsidR="00513791">
              <w:t xml:space="preserve"> (wenn die Zahlen zueinander passen, geht viel Produktion in die EU) Der Rückgang der Produktion</w:t>
            </w:r>
            <w:r w:rsidR="006A3683">
              <w:t xml:space="preserve"> ist auch in anderen Länder der EU passiert.</w:t>
            </w:r>
            <w:r w:rsidR="006A3683">
              <w:rPr>
                <w:rStyle w:val="Funotenzeichen"/>
              </w:rPr>
              <w:footnoteReference w:id="1700"/>
            </w:r>
            <w:r w:rsidR="006A3683">
              <w:t xml:space="preserve"> Bei einer möglichen CBAM-Exportkompen</w:t>
            </w:r>
            <w:r w:rsidR="00513791">
              <w:t>s</w:t>
            </w:r>
            <w:r w:rsidR="006A3683">
              <w:t xml:space="preserve">ation </w:t>
            </w:r>
            <w:r w:rsidR="00BD11D9">
              <w:t>fragt sich allerdings für was</w:t>
            </w:r>
            <w:r w:rsidR="006A3683">
              <w:t>?</w:t>
            </w:r>
            <w:r w:rsidR="00BD11D9">
              <w:t xml:space="preserve"> </w:t>
            </w:r>
            <w:r w:rsidR="006A3683">
              <w:t>I</w:t>
            </w:r>
            <w:r w:rsidR="00BD11D9">
              <w:t xml:space="preserve">m Jahr 2020 war im BMWK Handlungskonzept Stahl </w:t>
            </w:r>
            <w:r w:rsidR="006A3683">
              <w:t xml:space="preserve">noch </w:t>
            </w:r>
            <w:r w:rsidR="00BD11D9">
              <w:t>ein wichtiger Punkt</w:t>
            </w:r>
            <w:r w:rsidR="006A3683">
              <w:t>,</w:t>
            </w:r>
            <w:r w:rsidR="00BD11D9">
              <w:t xml:space="preserve"> die kostenlose Zuteilung von Emissionszertifikaten </w:t>
            </w:r>
            <w:r w:rsidR="006A3683">
              <w:t xml:space="preserve">für die Stahlindustrie </w:t>
            </w:r>
            <w:r w:rsidR="00BD11D9">
              <w:t>weiter zu garantieren</w:t>
            </w:r>
            <w:r w:rsidR="00985AF8">
              <w:rPr>
                <w:rStyle w:val="Funotenzeichen"/>
              </w:rPr>
              <w:footnoteReference w:id="1701"/>
            </w:r>
            <w:r w:rsidR="00BD11D9">
              <w:t xml:space="preserve">, dann gibt es die Strompreiskompensation, die für höhere Strompreise, ausgelöst </w:t>
            </w:r>
            <w:r w:rsidR="00513791">
              <w:t>bei den Energieerzeugern durch das</w:t>
            </w:r>
            <w:r w:rsidR="00BD11D9">
              <w:t xml:space="preserve"> ETS, kompensiert. </w:t>
            </w:r>
            <w:r w:rsidR="00012093">
              <w:t>Bald soll die</w:t>
            </w:r>
            <w:r w:rsidR="00513791">
              <w:t xml:space="preserve"> Stromsteuer</w:t>
            </w:r>
            <w:r w:rsidR="00012093">
              <w:t xml:space="preserve"> </w:t>
            </w:r>
            <w:r w:rsidR="00513791">
              <w:t>auf das europäische Mindestmaß verringert</w:t>
            </w:r>
            <w:r w:rsidR="00012093">
              <w:t xml:space="preserve"> werden</w:t>
            </w:r>
            <w:r w:rsidR="00513791">
              <w:t>, Umlagen und Netzentgelte weiter reduziert, für Gas wird die Gasspeicherumlage abgeschafft, auch dank Carsten Franzke vom SKW Piesteritz (siehe Koalitionsvertrag</w:t>
            </w:r>
            <w:r w:rsidR="008F60E0">
              <w:t xml:space="preserve"> CDU/SPD</w:t>
            </w:r>
            <w:r w:rsidR="00513791">
              <w:t>, ‚Energiepreise‘)</w:t>
            </w:r>
            <w:r w:rsidR="00012093">
              <w:t xml:space="preserve">, es wird auch pragmatisch Elektrostahlerzeugern geholfen werden, die nicht in die Stromtarife passen, siehe Teil 2, </w:t>
            </w:r>
            <w:r w:rsidR="004777AD">
              <w:t>in der Diskussion von BDI Energiewende auf Kurs bringen</w:t>
            </w:r>
            <w:r w:rsidR="00513791">
              <w:t xml:space="preserve"> …</w:t>
            </w:r>
            <w:r w:rsidR="00BD11D9">
              <w:t xml:space="preserve"> Erdgas gibt es </w:t>
            </w:r>
            <w:r w:rsidR="00985AF8">
              <w:t>seit einiger Zei</w:t>
            </w:r>
            <w:r w:rsidR="008F60E0">
              <w:t>t</w:t>
            </w:r>
            <w:r w:rsidR="00BD11D9">
              <w:t xml:space="preserve"> </w:t>
            </w:r>
            <w:r w:rsidR="006A3683">
              <w:t xml:space="preserve">bekanntlich </w:t>
            </w:r>
            <w:r w:rsidR="008F60E0">
              <w:t xml:space="preserve">u.a. </w:t>
            </w:r>
            <w:r w:rsidR="00BD11D9">
              <w:t xml:space="preserve">aus Norwegen, mit einem etwas höheren Preis als in den Jahren davor, siehe meine </w:t>
            </w:r>
            <w:r w:rsidR="006A3683">
              <w:t xml:space="preserve">eigenen </w:t>
            </w:r>
            <w:r w:rsidR="00BD11D9">
              <w:t xml:space="preserve">ausführlichen Rechnungen in Teil 2 unter dem Punkt Chemie. </w:t>
            </w:r>
            <w:r w:rsidR="008F60E0">
              <w:t>Der BDI hat</w:t>
            </w:r>
            <w:r w:rsidR="004777AD">
              <w:t xml:space="preserve"> in Energiewende auf Kurs bringen 2025</w:t>
            </w:r>
            <w:r w:rsidR="008F60E0">
              <w:t xml:space="preserve"> die Forderung aufgestellt, dass </w:t>
            </w:r>
            <w:r w:rsidR="008F60E0" w:rsidRPr="008F60E0">
              <w:t>der deutsche Staat Erdgas verbilligen soll</w:t>
            </w:r>
            <w:r w:rsidR="008F60E0">
              <w:rPr>
                <w:u w:val="single"/>
              </w:rPr>
              <w:t>.</w:t>
            </w:r>
            <w:r w:rsidR="008F60E0">
              <w:rPr>
                <w:rStyle w:val="Funotenzeichen"/>
              </w:rPr>
              <w:footnoteReference w:id="1702"/>
            </w:r>
            <w:r w:rsidR="00BD11D9">
              <w:t xml:space="preserve"> </w:t>
            </w:r>
            <w:r w:rsidR="00A52236">
              <w:t xml:space="preserve">Ab </w:t>
            </w:r>
            <w:proofErr w:type="gramStart"/>
            <w:r w:rsidR="00A52236">
              <w:t>irgend einem</w:t>
            </w:r>
            <w:proofErr w:type="gramEnd"/>
            <w:r w:rsidR="00A52236">
              <w:t xml:space="preserve"> Punkt bringt sich dann aber die </w:t>
            </w:r>
            <w:proofErr w:type="gramStart"/>
            <w:r w:rsidR="00A52236">
              <w:t>EU Beihilfekontrolle</w:t>
            </w:r>
            <w:proofErr w:type="gramEnd"/>
            <w:r w:rsidR="00A52236">
              <w:t xml:space="preserve"> ins Spiel, denn dies ist dann nicht mehr fair gegenüber Frankreich</w:t>
            </w:r>
            <w:r w:rsidR="004777AD">
              <w:t xml:space="preserve">, </w:t>
            </w:r>
            <w:r w:rsidR="00A52236">
              <w:t>Italien</w:t>
            </w:r>
            <w:r w:rsidR="004777AD">
              <w:t>, Tschechien, Polen etc.</w:t>
            </w:r>
            <w:r w:rsidR="00A52236">
              <w:t xml:space="preserve"> </w:t>
            </w:r>
            <w:r w:rsidR="008F60E0">
              <w:t>D</w:t>
            </w:r>
            <w:r w:rsidR="00BD11D9">
              <w:t xml:space="preserve">ie Stahlindustrie kann </w:t>
            </w:r>
            <w:r w:rsidR="008F60E0">
              <w:t xml:space="preserve">allerdings </w:t>
            </w:r>
            <w:r w:rsidR="00BD11D9">
              <w:t>trotz diesem Erdgaspreis</w:t>
            </w:r>
            <w:r w:rsidR="004777AD">
              <w:t>es</w:t>
            </w:r>
            <w:r w:rsidR="00BD11D9">
              <w:t xml:space="preserve"> weiter exportieren</w:t>
            </w:r>
            <w:r w:rsidR="00985AF8">
              <w:t xml:space="preserve">, wenngleich die Exporte </w:t>
            </w:r>
            <w:r w:rsidR="008F60E0">
              <w:t>von 2019 bis 2023 leicht, um 0,7 Mill. Tonnen,</w:t>
            </w:r>
            <w:r w:rsidR="00985AF8">
              <w:t xml:space="preserve"> ab</w:t>
            </w:r>
            <w:r w:rsidR="008F60E0">
              <w:t>ge</w:t>
            </w:r>
            <w:r w:rsidR="00985AF8">
              <w:t>s</w:t>
            </w:r>
            <w:r w:rsidR="008F60E0">
              <w:t>u</w:t>
            </w:r>
            <w:r w:rsidR="00985AF8">
              <w:t>nken</w:t>
            </w:r>
            <w:r w:rsidR="008F60E0">
              <w:t xml:space="preserve"> sind</w:t>
            </w:r>
            <w:r w:rsidR="00BD11D9">
              <w:t>.</w:t>
            </w:r>
            <w:r w:rsidR="004777AD">
              <w:rPr>
                <w:rStyle w:val="Funotenzeichen"/>
              </w:rPr>
              <w:footnoteReference w:id="1703"/>
            </w:r>
            <w:r w:rsidR="00BD11D9">
              <w:t xml:space="preserve">  </w:t>
            </w:r>
          </w:p>
        </w:tc>
      </w:tr>
    </w:tbl>
    <w:p w14:paraId="6777D114" w14:textId="77777777" w:rsidR="00DB1CC5" w:rsidRDefault="00DB1CC5" w:rsidP="00112190"/>
    <w:p w14:paraId="46630B1E" w14:textId="77777777" w:rsidR="00112190" w:rsidRDefault="00112190" w:rsidP="00112190">
      <w:r>
        <w:t>Für die Begründung des CBAM siehe die originale Langversion in der Fußnote.</w:t>
      </w:r>
      <w:r>
        <w:rPr>
          <w:rStyle w:val="Funotenzeichen"/>
        </w:rPr>
        <w:footnoteReference w:id="1704"/>
      </w:r>
      <w:r>
        <w:t xml:space="preserve"> </w:t>
      </w:r>
    </w:p>
    <w:p w14:paraId="60AE45C1" w14:textId="77777777" w:rsidR="00112190" w:rsidRDefault="00112190" w:rsidP="00112190"/>
    <w:p w14:paraId="18B6DE5F" w14:textId="77777777" w:rsidR="00112190" w:rsidRDefault="00112190" w:rsidP="00112190">
      <w:r>
        <w:t xml:space="preserve">Es geht um direkte und indirekte Treibhausgasemissionen, die in den Importen dieser Produkte enthalten sind. Indirekte Emissionen werden anfangs nur bei Zement und Düngemitteln berechnet. Ab dem 1. Januar 2025 ist nur noch die </w:t>
      </w:r>
      <w:proofErr w:type="gramStart"/>
      <w:r>
        <w:t>EU Berechnungsmethode</w:t>
      </w:r>
      <w:proofErr w:type="gramEnd"/>
      <w:r>
        <w:t xml:space="preserve"> erlaubt, für komplexe Güter sind Schätzungen möglich, dies ist aber nur für ca. 20 % der Produkte nötig. Wenn das System am 1. Januar 2026 aktiv ist, müssen Importeure dieser Güter für die in ihren Importen enthaltenen Treibhausgasemissionen Zertifikate vom ETS 1 </w:t>
      </w:r>
      <w:proofErr w:type="spellStart"/>
      <w:r>
        <w:t>Markt</w:t>
      </w:r>
      <w:proofErr w:type="spellEnd"/>
      <w:r>
        <w:t xml:space="preserve"> kaufen und damit die Treibhausgasemissionen der Importe abdecken können. Einmal im Jahr muss die Menge der Güter angegeben werden und es muss ein wöchentlicher Durchschnittspreis des </w:t>
      </w:r>
      <w:proofErr w:type="gramStart"/>
      <w:r>
        <w:t>ETS Markt</w:t>
      </w:r>
      <w:proofErr w:type="gramEnd"/>
      <w:r>
        <w:t xml:space="preserve"> bezahlt werden, gekauft wird von einer zentralen EU-CBAM-Plattform. Das System startet nicht sofort im vollen Ausmaß. Zwischen 2026 und 2034 soll graduell die freie Verteilung von Zertifikaten an diese Industrien, die als Carbon-Leakage anfällig angesehen werden, verringert werden und graduell soll der CBAM-CO2-Ausgleich erhoben werden, also nicht sofort in voller Höhe.</w:t>
      </w:r>
      <w:r>
        <w:rPr>
          <w:rStyle w:val="Funotenzeichen"/>
        </w:rPr>
        <w:footnoteReference w:id="1705"/>
      </w:r>
      <w:r>
        <w:t xml:space="preserve"> Die „</w:t>
      </w:r>
      <w:proofErr w:type="spellStart"/>
      <w:r>
        <w:t>full</w:t>
      </w:r>
      <w:proofErr w:type="spellEnd"/>
      <w:r>
        <w:t xml:space="preserve"> </w:t>
      </w:r>
      <w:proofErr w:type="spellStart"/>
      <w:r>
        <w:t>embedded</w:t>
      </w:r>
      <w:proofErr w:type="spellEnd"/>
      <w:r>
        <w:t xml:space="preserve"> </w:t>
      </w:r>
      <w:proofErr w:type="spellStart"/>
      <w:r>
        <w:t>emissions</w:t>
      </w:r>
      <w:proofErr w:type="spellEnd"/>
      <w:r>
        <w:t>“ sollen erst von 2034 an berechnet werden, mit einer Formel, die erst später entwickelt und veröffentlicht werden wird.</w:t>
      </w:r>
      <w:r>
        <w:rPr>
          <w:rStyle w:val="Funotenzeichen"/>
        </w:rPr>
        <w:footnoteReference w:id="1706"/>
      </w:r>
    </w:p>
    <w:p w14:paraId="3A7DB383" w14:textId="77777777" w:rsidR="00112190" w:rsidRDefault="00112190" w:rsidP="00112190"/>
    <w:p w14:paraId="035C69A2" w14:textId="6179AFC0" w:rsidR="00112190" w:rsidRDefault="00112190" w:rsidP="00112190">
      <w:r>
        <w:t>Unterschieden wird zwischen ‚direkten Emissionen‘, aus dem Herstellungsverfahren für Waren, einschließlich Wärme und Kälte und ‚grauen Emissionen‘, ebenfalls direkte Emissionen, die bei der Warenherstellung freigesetzt werden und indirekte Emissionen, die von während der Warenherstellung verbrauchtem Strom stammen, siehe Art. 3 Begriffsbestimmungen, wobei dies in den Durchführungsrechtsakten näher bestimmt wird.</w:t>
      </w:r>
      <w:r>
        <w:rPr>
          <w:rStyle w:val="Funotenzeichen"/>
        </w:rPr>
        <w:footnoteReference w:id="1707"/>
      </w:r>
      <w:r>
        <w:t xml:space="preserve"> Im Anhang II gibt es z.B. Waren, bei denen nur direkte Emissionen zu berücksichtigen sind, etwa Strom</w:t>
      </w:r>
      <w:r>
        <w:rPr>
          <w:rStyle w:val="Funotenzeichen"/>
        </w:rPr>
        <w:footnoteReference w:id="1708"/>
      </w:r>
      <w:r>
        <w:t xml:space="preserve"> und in der Durchführungsverordnung werden auch Vorläuferprodukte</w:t>
      </w:r>
      <w:r>
        <w:rPr>
          <w:rStyle w:val="Funotenzeichen"/>
        </w:rPr>
        <w:footnoteReference w:id="1709"/>
      </w:r>
      <w:r>
        <w:t xml:space="preserve">, die dann im </w:t>
      </w:r>
      <w:proofErr w:type="spellStart"/>
      <w:r>
        <w:t>Guidance</w:t>
      </w:r>
      <w:proofErr w:type="spellEnd"/>
      <w:r>
        <w:t xml:space="preserve"> </w:t>
      </w:r>
      <w:proofErr w:type="spellStart"/>
      <w:r>
        <w:t>Document</w:t>
      </w:r>
      <w:proofErr w:type="spellEnd"/>
      <w:r>
        <w:t xml:space="preserve"> als sog. </w:t>
      </w:r>
      <w:proofErr w:type="spellStart"/>
      <w:r>
        <w:t>Precursors</w:t>
      </w:r>
      <w:proofErr w:type="spellEnd"/>
      <w:r>
        <w:t xml:space="preserve"> bezeichnet </w:t>
      </w:r>
      <w:r>
        <w:lastRenderedPageBreak/>
        <w:t>werden, einbezogen.</w:t>
      </w:r>
      <w:r>
        <w:rPr>
          <w:rStyle w:val="Funotenzeichen"/>
        </w:rPr>
        <w:footnoteReference w:id="1710"/>
      </w:r>
      <w:r>
        <w:t xml:space="preserve"> Nicht unter das CBAM fallen Up-Stream-Emissionen bei Vorläuferprodukten, etwa Rohmaterialien, wenn sie nicht weiterverarbeitet wurden und ebenfalls nicht Down-Stream-Emissionen aus Nutzung und bei Verschrottung bzw. Recycling und auch nicht solche aus dem Transport, auch auf dem Firmengelände, siehe </w:t>
      </w:r>
      <w:proofErr w:type="spellStart"/>
      <w:r>
        <w:t>Guidance</w:t>
      </w:r>
      <w:proofErr w:type="spellEnd"/>
      <w:r>
        <w:t xml:space="preserve"> </w:t>
      </w:r>
      <w:proofErr w:type="spellStart"/>
      <w:r>
        <w:t>Document</w:t>
      </w:r>
      <w:proofErr w:type="spellEnd"/>
      <w:r>
        <w:t xml:space="preserve"> </w:t>
      </w:r>
      <w:proofErr w:type="spellStart"/>
      <w:r>
        <w:t>for</w:t>
      </w:r>
      <w:proofErr w:type="spellEnd"/>
      <w:r>
        <w:t xml:space="preserve"> Installation Operators (2023).</w:t>
      </w:r>
      <w:r>
        <w:rPr>
          <w:rStyle w:val="Funotenzeichen"/>
        </w:rPr>
        <w:footnoteReference w:id="1711"/>
      </w:r>
      <w:r>
        <w:t xml:space="preserve"> </w:t>
      </w:r>
      <w:r w:rsidR="00872F84">
        <w:t>Dies führt zum Problem, dass im CBAM werden vorgelagerte Emissionen etwa von Methan bei der Gasförderung und -verteilung bislang nicht einbezogen sind, dies muss noch geklärt werden.</w:t>
      </w:r>
      <w:r w:rsidR="00872F84">
        <w:rPr>
          <w:rStyle w:val="Funotenzeichen"/>
        </w:rPr>
        <w:footnoteReference w:id="1712"/>
      </w:r>
      <w:r w:rsidR="00872F84">
        <w:t xml:space="preserve"> </w:t>
      </w:r>
      <w:r>
        <w:t>Generell ausgenommen sind Waren von geringem Wert von 150 Euro.</w:t>
      </w:r>
      <w:r>
        <w:rPr>
          <w:rStyle w:val="Funotenzeichen"/>
        </w:rPr>
        <w:footnoteReference w:id="1713"/>
      </w:r>
      <w:r>
        <w:t xml:space="preserve"> Nicht darunter fallen Produkte, die in der EU nur </w:t>
      </w:r>
      <w:proofErr w:type="spellStart"/>
      <w:r>
        <w:t>weiterverabeitet</w:t>
      </w:r>
      <w:proofErr w:type="spellEnd"/>
      <w:r>
        <w:t xml:space="preserve"> werden ‚</w:t>
      </w:r>
      <w:proofErr w:type="spellStart"/>
      <w:r>
        <w:t>inward</w:t>
      </w:r>
      <w:proofErr w:type="spellEnd"/>
      <w:r>
        <w:t xml:space="preserve"> </w:t>
      </w:r>
      <w:proofErr w:type="spellStart"/>
      <w:r>
        <w:t>processing</w:t>
      </w:r>
      <w:proofErr w:type="spellEnd"/>
      <w:r>
        <w:t>‘.</w:t>
      </w:r>
      <w:r>
        <w:rPr>
          <w:rStyle w:val="Funotenzeichen"/>
        </w:rPr>
        <w:footnoteReference w:id="1714"/>
      </w:r>
      <w:r>
        <w:t xml:space="preserve"> Die Sanktionen können hoch sein, siehe Art. 26, siehe CBAM Verordnung 2023/956.</w:t>
      </w:r>
      <w:r>
        <w:rPr>
          <w:rStyle w:val="Funotenzeichen"/>
        </w:rPr>
        <w:footnoteReference w:id="1715"/>
      </w:r>
      <w:r>
        <w:t xml:space="preserve"> Jeder Hersteller muss /darf seine eigenen Daten vorlegen, einschließlich die Daten der Vorprodukte. Die Importeure wiederum müssen für alle Produkte die Daten vorlegen, auch wenn sie viele Zulieferer haben aus verschiedenen Ländern, wobei diese auch die Vorläuferproduktdaten verfügbar machen müssen.</w:t>
      </w:r>
      <w:r>
        <w:rPr>
          <w:rStyle w:val="Funotenzeichen"/>
        </w:rPr>
        <w:footnoteReference w:id="1716"/>
      </w:r>
      <w:r>
        <w:t xml:space="preserve"> Es wird erwartet, dass alle Details angegeben werden, etwa unterschiedliche Emissionen bei unterschiedlichen Qualitäten von Gütern.</w:t>
      </w:r>
      <w:r>
        <w:rPr>
          <w:rStyle w:val="Funotenzeichen"/>
        </w:rPr>
        <w:footnoteReference w:id="1717"/>
      </w:r>
      <w:r>
        <w:t xml:space="preserve"> </w:t>
      </w:r>
    </w:p>
    <w:p w14:paraId="0B4D1271" w14:textId="77777777" w:rsidR="00112190" w:rsidRDefault="00112190" w:rsidP="00112190"/>
    <w:p w14:paraId="26C9416F" w14:textId="77777777" w:rsidR="00112190" w:rsidRDefault="00112190" w:rsidP="00112190">
      <w:r>
        <w:t>Wenn in einem Land ein Emissionshandel besteht, CO2-Preise oder Steuern gelten, dann führt dies letztlich dazu, dass ein Abzug vorgenommen wird von dem CO2-Ausgleichspreis, den der Importeur zahlen muss.</w:t>
      </w:r>
      <w:r>
        <w:rPr>
          <w:rStyle w:val="Funotenzeichen"/>
        </w:rPr>
        <w:footnoteReference w:id="1718"/>
      </w:r>
      <w:r>
        <w:t xml:space="preserve"> Ebenso dürfen Firmen ihre CO2-Emissionen verringert angeben, wenn </w:t>
      </w:r>
      <w:proofErr w:type="gramStart"/>
      <w:r>
        <w:t>CSS Techniken</w:t>
      </w:r>
      <w:proofErr w:type="gramEnd"/>
      <w:r>
        <w:t xml:space="preserve"> genutzt werden.</w:t>
      </w:r>
      <w:r>
        <w:rPr>
          <w:rStyle w:val="Funotenzeichen"/>
        </w:rPr>
        <w:footnoteReference w:id="1719"/>
      </w:r>
    </w:p>
    <w:p w14:paraId="11E004A3" w14:textId="77777777" w:rsidR="00112190" w:rsidRDefault="00112190" w:rsidP="00112190"/>
    <w:p w14:paraId="5A1E955D" w14:textId="77777777" w:rsidR="00112190" w:rsidRDefault="00112190" w:rsidP="00112190">
      <w:r>
        <w:t>Wenn man keine Daten von den Herstellern bekommt, dass dürfen Standardwerte genommen werden (‚</w:t>
      </w:r>
      <w:proofErr w:type="spellStart"/>
      <w:r>
        <w:t>default</w:t>
      </w:r>
      <w:proofErr w:type="spellEnd"/>
      <w:r>
        <w:t xml:space="preserve"> </w:t>
      </w:r>
      <w:proofErr w:type="spellStart"/>
      <w:r>
        <w:t>values</w:t>
      </w:r>
      <w:proofErr w:type="spellEnd"/>
      <w:r>
        <w:t xml:space="preserve">‘); bei komplexen Gütern darf 20 % der Emissionen geschätzt werden; für die Elektrizität aus dem Netz sollen öffentlich verfügbare Daten oder von der </w:t>
      </w:r>
      <w:proofErr w:type="gramStart"/>
      <w:r>
        <w:t>EU Kommission</w:t>
      </w:r>
      <w:proofErr w:type="gramEnd"/>
      <w:r>
        <w:t xml:space="preserve"> zur Verfügung gestellte Emissionsdaten genommen werden. Die ‚</w:t>
      </w:r>
      <w:proofErr w:type="spellStart"/>
      <w:r>
        <w:t>default</w:t>
      </w:r>
      <w:proofErr w:type="spellEnd"/>
      <w:r>
        <w:t xml:space="preserve"> </w:t>
      </w:r>
      <w:proofErr w:type="spellStart"/>
      <w:r>
        <w:t>values</w:t>
      </w:r>
      <w:proofErr w:type="spellEnd"/>
      <w:r>
        <w:t xml:space="preserve">‘ sollen benutzt werden, um bei starken Abweichungen nachzufragen und ggf. die </w:t>
      </w:r>
      <w:proofErr w:type="spellStart"/>
      <w:r>
        <w:t>default</w:t>
      </w:r>
      <w:proofErr w:type="spellEnd"/>
      <w:r>
        <w:t xml:space="preserve"> </w:t>
      </w:r>
      <w:proofErr w:type="spellStart"/>
      <w:r>
        <w:t>values</w:t>
      </w:r>
      <w:proofErr w:type="spellEnd"/>
      <w:r>
        <w:t xml:space="preserve"> einzusetzen.</w:t>
      </w:r>
      <w:r>
        <w:rPr>
          <w:rStyle w:val="Funotenzeichen"/>
        </w:rPr>
        <w:footnoteReference w:id="1720"/>
      </w:r>
      <w:r>
        <w:t xml:space="preserve"> Da er derzeit nur um wenige Güter geht, werden in den Guidelines hier die Güter detailliert diskutiert, und Messmöglichkeiten vorgeschlagen. </w:t>
      </w:r>
    </w:p>
    <w:p w14:paraId="6254FACF" w14:textId="77777777" w:rsidR="00112190" w:rsidRDefault="00112190" w:rsidP="00112190"/>
    <w:p w14:paraId="7126B1DC" w14:textId="77777777" w:rsidR="00112190" w:rsidRDefault="00112190" w:rsidP="00112190">
      <w:r>
        <w:t>In der Durchführungsverordnung (EU) 2023/1773 der Kommission, 17. August 2023</w:t>
      </w:r>
      <w:r>
        <w:rPr>
          <w:rStyle w:val="Funotenzeichen"/>
        </w:rPr>
        <w:footnoteReference w:id="1721"/>
      </w:r>
      <w:r>
        <w:t>, scheint es so zu sein, dass jeder Firma bzw. jede Anlage einzeln gemessen werden kann, hier gibt es umfangreiche Informationen und Anhaltspunkte, aber teilweise auch Mindestanforderungen, etwa bei der Klinkerherstellung ein Standardwert von 0,525 t CO2 pro Tonne, S. 71, B.9.2.2, bei der Kraft-Wärme-</w:t>
      </w:r>
      <w:r>
        <w:lastRenderedPageBreak/>
        <w:t>Kopplung wird eine Standardrechnung vorgeschlagen, C.2.2., für Strom gibt es Standardwerte, hier die schlechtesten Werte aus der EU Industrie, die man benutzen soll, wenn man keine eigenen Werte vorlegen kann, siehe Anhang IV, S. 47 ff.</w:t>
      </w:r>
      <w:r w:rsidRPr="00DE16BC">
        <w:rPr>
          <w:rStyle w:val="Funotenzeichen"/>
        </w:rPr>
        <w:t xml:space="preserve"> </w:t>
      </w:r>
      <w:r>
        <w:rPr>
          <w:rStyle w:val="Funotenzeichen"/>
        </w:rPr>
        <w:footnoteReference w:id="1722"/>
      </w:r>
      <w:r>
        <w:t>, siehe für weitere Berechnungsvorschläge D. Strom in der Durchführungsverordnung (EU) 2023/1773, S. 77, sowie, in Anhang VIII, ab S. 95, eine Sammlung von Standardfaktoren.</w:t>
      </w:r>
      <w:r>
        <w:rPr>
          <w:rStyle w:val="Funotenzeichen"/>
        </w:rPr>
        <w:footnoteReference w:id="1723"/>
      </w:r>
      <w:r>
        <w:t xml:space="preserve"> Dies sind beileibe nicht alle Details dieser Verordnung. Ob hier unfaire Aspekte etwa i.S. des WTO-Rechts enthalten sind, kann hier nicht diskutiert werden, hier reicht es, die grundlegende Funktionsweise darzustellen. </w:t>
      </w:r>
    </w:p>
    <w:p w14:paraId="74823CE1" w14:textId="77777777" w:rsidR="00112190" w:rsidRDefault="00112190" w:rsidP="00112190"/>
    <w:p w14:paraId="43667C99" w14:textId="11AAA140" w:rsidR="00112190" w:rsidRDefault="00112190" w:rsidP="00112190">
      <w:r>
        <w:t>Art. 27 geht auf diverse Umgehungsmöglichkeiten</w:t>
      </w:r>
      <w:r w:rsidR="00872F84">
        <w:t xml:space="preserve"> ein</w:t>
      </w:r>
      <w:r>
        <w:t>, siehe CBAM-</w:t>
      </w:r>
      <w:r w:rsidRPr="009708F7">
        <w:t>Verordnung (EU) 2023/956, vom 10. Mai 2023</w:t>
      </w:r>
      <w:r>
        <w:t xml:space="preserve">. Klar ist, dass durch das </w:t>
      </w:r>
      <w:proofErr w:type="gramStart"/>
      <w:r>
        <w:t>CBAM Druck</w:t>
      </w:r>
      <w:proofErr w:type="gramEnd"/>
      <w:r>
        <w:t xml:space="preserve"> auf viele Länder ausgeübt wird, selbst ein Emissionshandelssystem oder einem CO2-Preis einzureichen, denn dann können von dem CBAM ausgenommen werden und bleibe bzw. werden dadurch für Investitionen aus der EU attraktiv, siehe Art. 1 Abs. (6) a und Art. 1 Abs. (12) und Art. 9. In Anhand III Nr. 1 findet sich hier aber bisher kein Land. In Anhang III Nr. 2 werden Länder genannt, deren Stromlieferungen ausgenommen werden: Island, Liechtenstein, Norwegen und die Schweiz (sowie einige Gebiete).</w:t>
      </w:r>
      <w:r>
        <w:rPr>
          <w:rStyle w:val="Funotenzeichen"/>
        </w:rPr>
        <w:footnoteReference w:id="1724"/>
      </w:r>
      <w:r>
        <w:t xml:space="preserve"> Am 1. Januar 2028 erfolgt eine erste Bewertung, die eine ganze Reihe von Punkten beachtet u.a. auch die Inflation und Rohstoffpreise, die wirtschaftlichen Auswirkungen auf die Union und die wirtschaftliche Situation der am wenigsten entwickelten Länder, siehe: Art. 30.</w:t>
      </w:r>
      <w:r>
        <w:rPr>
          <w:rStyle w:val="Funotenzeichen"/>
        </w:rPr>
        <w:footnoteReference w:id="1725"/>
      </w:r>
      <w:r>
        <w:t xml:space="preserve"> Die Kommission erhält im Rahmen der </w:t>
      </w:r>
      <w:proofErr w:type="spellStart"/>
      <w:r>
        <w:t>Befugnisübertragung</w:t>
      </w:r>
      <w:proofErr w:type="spellEnd"/>
      <w:r>
        <w:t xml:space="preserve"> viele Befugnisse für Durchführungsrechtsakte u.a. auch für die Bestimmung der kostenlosen Zuteilung von Zertifikaten, Art. 31, in der Zwischenphase bis 2034.</w:t>
      </w:r>
      <w:r>
        <w:rPr>
          <w:rStyle w:val="Funotenzeichen"/>
        </w:rPr>
        <w:footnoteReference w:id="1726"/>
      </w:r>
      <w:r>
        <w:t xml:space="preserve">   </w:t>
      </w:r>
    </w:p>
    <w:p w14:paraId="4DC6D2F9" w14:textId="77777777" w:rsidR="00112190" w:rsidRDefault="00112190" w:rsidP="00112190"/>
    <w:p w14:paraId="5F9868AE" w14:textId="77777777" w:rsidR="00112190" w:rsidRDefault="00112190" w:rsidP="00112190">
      <w:r>
        <w:t xml:space="preserve">Die Wirkung vom CBAM ist 2-fach. (1) Eine europäische Firma, die in Europa produziert, wird vor Importen geschützt, die billig sind, weil sie im Land, in dem produziert wird, keinem CO2-Preis unterliegen. Die Importe verteuern sich, und die Preise auf dem europäischen Markt können somit ein höheres Niveau erreichen, sodass die Firma höhere Profite machen kann, womit sie die CO2-Zertifikate bezahlen kann/muss. Wie hoch das Niveau ist, das hängt von der Höhe dieser Gebühren ab. Die Gebühren können nur dann stark ansteigen, wenn der Kohlenstoffpreis in Europa selbst auch stark ansteigt, weil dieser der Berechnung zugrunde liegt. In diesem Fall besteht für die Industrie in Europa auch Zwang, ihre Produktion umzurüsten, da ihre Produkte auch in Europa sich stark verteuert, sodass im Idealfall die Teuerung nur temporär ist, da später dann ohne CO2-Emissionen produziert wird und nicht mehr CO2-Zertifikate benötigt werden. Allerdings fängt der CBAM erst langsam und schrittweise an, für wenige Produkte und in eine an der Höhe der CO2-Zertifikatspreise gebundenen Gebühren. (2) Zweitens wird es den betroffenen Industrien erschwert, sich aus dem europäischen Emissionshandelssystem indirekt zu befreien, in dem sie ihre Produktion </w:t>
      </w:r>
      <w:proofErr w:type="gramStart"/>
      <w:r>
        <w:t>in andere Ländern</w:t>
      </w:r>
      <w:proofErr w:type="gramEnd"/>
      <w:r>
        <w:t xml:space="preserve"> auslagern (</w:t>
      </w:r>
      <w:proofErr w:type="spellStart"/>
      <w:r>
        <w:t>carbon</w:t>
      </w:r>
      <w:proofErr w:type="spellEnd"/>
      <w:r>
        <w:t xml:space="preserve"> </w:t>
      </w:r>
      <w:proofErr w:type="spellStart"/>
      <w:r>
        <w:t>leakage</w:t>
      </w:r>
      <w:proofErr w:type="spellEnd"/>
      <w:r>
        <w:t xml:space="preserve">). Z.B. haben Chemieunternehmen auch in anderen Ländern große Werke aufgebaut, etwa in China, und können dort günstig Grundstoffchemikalien herstellen, ohne CO2-Zertifikate kaufen zu können. Damit könnten sie europäischen Markt beliefern und ihrer Fabriken in Europa stilllegen. Sie machen quasi den Gewinn dann einfach woanders. Dies kann mit dem CBAM verhindert werden. Carbon Leakage zu verhindern gelingt zudem nur dann, wenn die Kosten, die auferlegt werden, auch merklich sind (und dies ist eben, siehe die Verordnung, nur dann der Fall, wenn der CO2-Preis auch hoch ist – dass der Preis aber hoch steigt ist, in der Situation im Moment, kaum für die nächsten Jahren zu erwarten, selbst wenn die Chemieindustrie einbezogen würde, könnte man noch für einige Jahre auf eine Umgehung setzen). Die Chemieindustrie hat somit auch in Zukunft noch einige Möglichkeiten, Belastungen zu umgehen und man sollte vorsichtig sein, wenn die </w:t>
      </w:r>
      <w:r>
        <w:lastRenderedPageBreak/>
        <w:t>Chemieindustrie jammert, vielleicht wird schon im Moment mehr Importiert als zuvor. Nur so ein Gefühl. Auf der anderen Seite scheinen für die Probleme der Chemieindustrie derzeit aber auch lokal begrenzte Probleme verantwortlich zu sein, etwa von BASF mit dem Werk in Ludwigshafen.</w:t>
      </w:r>
      <w:r>
        <w:rPr>
          <w:rStyle w:val="Funotenzeichen"/>
        </w:rPr>
        <w:footnoteReference w:id="1727"/>
      </w:r>
    </w:p>
    <w:p w14:paraId="74F4CD53" w14:textId="77777777" w:rsidR="00112190" w:rsidRDefault="00112190" w:rsidP="00112190"/>
    <w:p w14:paraId="6E75DB7E" w14:textId="77777777" w:rsidR="00112190" w:rsidRDefault="00112190" w:rsidP="00112190">
      <w:r>
        <w:t>In der praktischen Umsetzung wird es diverse Unklarheiten geben. Importeure müssen die Kosten an die Hersteller weiterzugeben, sie wollen aber weiter billig anbieten.</w:t>
      </w:r>
      <w:r>
        <w:rPr>
          <w:rStyle w:val="Funotenzeichen"/>
        </w:rPr>
        <w:footnoteReference w:id="1728"/>
      </w:r>
      <w:r>
        <w:t xml:space="preserve"> Unklar ist, ob hier nicht sogar eine Grauzone entsteht, bei der Produzenten die Importeure auf Umwegen direkt bezahlen und die Preise kaum davon betroffen sind. In diesem Fall wäre dies aber eine Umgehung, die nach Art. 27 verfolgt werden kann.</w:t>
      </w:r>
      <w:r>
        <w:rPr>
          <w:rStyle w:val="Funotenzeichen"/>
        </w:rPr>
        <w:footnoteReference w:id="1729"/>
      </w:r>
      <w:r>
        <w:t xml:space="preserve"> China und vielleicht auch andere Länder, wie Indien, haben durch staatliche Unternehmen und Banken, sowie Subventionen eine gute Ausgangslage für sehr niedrige Preise, dies könnte es ihnen ermöglichen, die Grenzausgleichsgebühr leichter zu zahlen, die Gebühr fällt aber nach Menge an, damit wird dies erschwert. Als Fallgruppe ist dies in Art. 27 nicht genannt.</w:t>
      </w:r>
    </w:p>
    <w:p w14:paraId="3A7251CE" w14:textId="77777777" w:rsidR="00112190" w:rsidRDefault="00112190" w:rsidP="00112190"/>
    <w:p w14:paraId="4EB92E5E" w14:textId="77777777" w:rsidR="00112190" w:rsidRDefault="00112190" w:rsidP="00112190">
      <w:r>
        <w:t>Vom CBAM wird manchmal erwartet, dass es in der Lage sei „Wettbewerbsnachteile auszugleichen“.</w:t>
      </w:r>
      <w:r>
        <w:rPr>
          <w:rStyle w:val="Funotenzeichen"/>
        </w:rPr>
        <w:footnoteReference w:id="1730"/>
      </w:r>
      <w:r>
        <w:t xml:space="preserve"> Dies ist aber sicher nicht sein primärer Zweck. Wenn viel mehr Industrien ab 2034 einbezogen würden, würden sehr viele ‚</w:t>
      </w:r>
      <w:proofErr w:type="spellStart"/>
      <w:r>
        <w:t>Carbonausgleichsgebühren</w:t>
      </w:r>
      <w:proofErr w:type="spellEnd"/>
      <w:r>
        <w:t xml:space="preserve">‘ bestehen, die alle Importe teurer machen würden. Da die moderne Industrieproduktion oft Vorprodukte aus dem Ausland einsetzt und selbst über Produktionsstätten im Ausland verfügt, würden über eine Vielzahl von Wegen Waren in Europa teurer werden, und dies hätte, sicher nicht auf alle, aber auf eine hohe Anzahl von Firmen, negative Auswirkungen auf die Wettbewerbsfähigkeit, auch hinsichtlich des Exports. Dies durch höhere Preisniveaus auf dem Binnenmarkt zu kompensieren, ist zwar gewollt, aber letztlich eine weitere Wette, die von mehreren Faktoren abhängt, denn man muss dies dem Markt erst einmal durchsetzen. Auch Exporte von </w:t>
      </w:r>
      <w:proofErr w:type="gramStart"/>
      <w:r>
        <w:t>EU Firmen</w:t>
      </w:r>
      <w:proofErr w:type="gramEnd"/>
      <w:r>
        <w:t xml:space="preserve"> werden durch das Emissionshandelssystem also verteuert werden und darunter kann ebenfalls die Wettbewerbsfähigkeit leidet. Der BDI hat offenkundig darüber bereits nachgedacht:</w:t>
      </w:r>
    </w:p>
    <w:p w14:paraId="3134A085" w14:textId="77777777" w:rsidR="00112190" w:rsidRDefault="00112190" w:rsidP="00112190"/>
    <w:p w14:paraId="4AFED606" w14:textId="77777777" w:rsidR="00112190" w:rsidRDefault="00112190" w:rsidP="00112190">
      <w:r>
        <w:t>Der BDI formuliert in Klimapfade 2.0 2021 folgenden Kritik: „Aufgrund offener Fragen über die Vereinbarkeit mit WTO-Recht, des Risikos handelspolitischer Gegenreaktionen und von Schwierigkeiten einer Umsetzung einer nachvollziehbaren CO2-Bilanzierung ist die Umsetzung des CO2-Grenzausgleichs derzeit unsicher. Unabhängig davon wäre die Schutzwirkung des CBAM sehr lückenhaft, da beispielsweise Exporte aus der EU ebenfalls keinem Schutz unterliegen. Außerdem kann derzeit nicht abgesehen werden ob damit tatsächlich die ganzen Wertschöpfungsketten vor Carbon-Leakage geschützt werden können.</w:t>
      </w:r>
      <w:r>
        <w:rPr>
          <w:rStyle w:val="Funotenzeichen"/>
        </w:rPr>
        <w:footnoteReference w:id="1731"/>
      </w:r>
      <w:r>
        <w:t xml:space="preserve"> Der BDI merkt weiterhin an, dass Metallgießereien CO2 intensive Produkte importieren?</w:t>
      </w:r>
      <w:r w:rsidRPr="003156E3">
        <w:rPr>
          <w:rStyle w:val="Funotenzeichen"/>
        </w:rPr>
        <w:t xml:space="preserve"> </w:t>
      </w:r>
      <w:r>
        <w:rPr>
          <w:rStyle w:val="Funotenzeichen"/>
        </w:rPr>
        <w:footnoteReference w:id="1732"/>
      </w:r>
      <w:r>
        <w:t xml:space="preserve"> </w:t>
      </w:r>
    </w:p>
    <w:p w14:paraId="2D657780" w14:textId="77777777" w:rsidR="00112190" w:rsidRDefault="00112190" w:rsidP="00112190"/>
    <w:p w14:paraId="6603B81C" w14:textId="5E5C9674" w:rsidR="0042771F" w:rsidRDefault="0042771F" w:rsidP="00112190">
      <w:r>
        <w:t>In der Publikation BMWK Leitmärkte für klimafreundliche Rohstoffe, Mai 2024</w:t>
      </w:r>
      <w:r>
        <w:rPr>
          <w:rStyle w:val="Funotenzeichen"/>
        </w:rPr>
        <w:footnoteReference w:id="1733"/>
      </w:r>
      <w:r>
        <w:t xml:space="preserve"> wird angemerkt, dass im EU ETS und im CBAM nicht der gesamte CO2-Fussabruck von Produkten abgedeckt wird, im CBAM würden die Scope 2 Emissionen aus der Stromnutzung nur bei Zement und Düngemitteln, nicht </w:t>
      </w:r>
      <w:r>
        <w:lastRenderedPageBreak/>
        <w:t>aber bei Metallprodukten erfasst, im ETS offenbar nur wenige Scope 3 Emissionen, aus der Nutzung von Gütern.</w:t>
      </w:r>
      <w:r>
        <w:rPr>
          <w:rStyle w:val="Funotenzeichen"/>
        </w:rPr>
        <w:footnoteReference w:id="1734"/>
      </w:r>
    </w:p>
    <w:p w14:paraId="1A0D4EBE" w14:textId="77777777" w:rsidR="0042771F" w:rsidRDefault="0042771F" w:rsidP="00112190"/>
    <w:p w14:paraId="28A642BE" w14:textId="417F9527" w:rsidR="00112190" w:rsidRDefault="00112190" w:rsidP="00112190">
      <w:r>
        <w:t xml:space="preserve">Bewertung: Dennoch wäre es irreführend zu sagen, dass dieser Mechanismus zu extremer Inflation und einer Disruption der Lieferketten führt. Auf den – zweiten Blick – ergibt sich: Es gibt keine Alternative zum CBAM beim Carbon Leakage Problem. Ohne das CBAM würde Eisen- und Stahl, Aluminium, vielleicht sogar Zement (aber: hohe Transportkosten) und chemische Grundstoffe und </w:t>
      </w:r>
      <w:proofErr w:type="spellStart"/>
      <w:r>
        <w:t>Raffinierieprodukte</w:t>
      </w:r>
      <w:proofErr w:type="spellEnd"/>
      <w:r>
        <w:t xml:space="preserve">, Glas und Gießereiprodukte aus dem Ausland importiert werden, sobald die </w:t>
      </w:r>
      <w:r w:rsidR="00872F84">
        <w:t>CO2-</w:t>
      </w:r>
      <w:r>
        <w:t xml:space="preserve">Preise im </w:t>
      </w:r>
      <w:proofErr w:type="gramStart"/>
      <w:r>
        <w:t>EU Emissionshandelssystem</w:t>
      </w:r>
      <w:proofErr w:type="gramEnd"/>
      <w:r>
        <w:t xml:space="preserve"> ansteigen. Dieser Import muss gestoppt werden, dies versucht die EU nun mit dem CBAM, auf die faire Weise einer Kopplung der Grenzgebühren an die CO2-Preise. </w:t>
      </w:r>
    </w:p>
    <w:p w14:paraId="0D5B3351" w14:textId="77777777" w:rsidR="00112190" w:rsidRDefault="00112190" w:rsidP="00112190"/>
    <w:p w14:paraId="7ECC580E" w14:textId="09315AF7" w:rsidR="00112190" w:rsidRDefault="00112190" w:rsidP="00112190">
      <w:r>
        <w:t xml:space="preserve">Und: </w:t>
      </w:r>
      <w:r w:rsidR="00872F84">
        <w:t>Man kann</w:t>
      </w:r>
      <w:r>
        <w:t xml:space="preserve"> die Komplexität beweinen, die in den Lieferketten vorstellbar ist. Selbst dann, wenn alle Produkte unter das CBAM fallen würden, würden die Lieferketten womöglich doch nicht zusammenbrechen. In den meisten Produkten stecken nicht hundert Tonnen Stahl. So hoch würden die Grenzgebühren für ein Motor- oder Getriebeteil, einen Autositz oder ein fertiges Produkt aus China vielleicht gar nicht sein? Vielleicht kostet dann ein chinesisches Produkt im Baumarkt durch den CBAM im Jahr 2034 wegen seiner Materialien: Eisen, Kunststoff und Kupfer 10 Euro mehr, dies würde aber bei einem Preis von </w:t>
      </w:r>
      <w:r w:rsidR="0042771F">
        <w:t>1</w:t>
      </w:r>
      <w:r>
        <w:t xml:space="preserve">00 Euro kaum auffallen. Kurzum: Abwarten, langsam damit beginnen und wenn nötig, nachsteuern und verändern. Und: an die Chemie irgendwann denken!  </w:t>
      </w:r>
    </w:p>
    <w:p w14:paraId="005B02AE" w14:textId="77777777" w:rsidR="00112190" w:rsidRDefault="00112190" w:rsidP="00112190"/>
    <w:tbl>
      <w:tblPr>
        <w:tblStyle w:val="Tabellenraster"/>
        <w:tblW w:w="0" w:type="auto"/>
        <w:tblLook w:val="04A0" w:firstRow="1" w:lastRow="0" w:firstColumn="1" w:lastColumn="0" w:noHBand="0" w:noVBand="1"/>
      </w:tblPr>
      <w:tblGrid>
        <w:gridCol w:w="9062"/>
      </w:tblGrid>
      <w:tr w:rsidR="00112190" w:rsidRPr="002839D9" w14:paraId="31AC194C" w14:textId="77777777" w:rsidTr="006B301B">
        <w:tc>
          <w:tcPr>
            <w:tcW w:w="9062" w:type="dxa"/>
          </w:tcPr>
          <w:p w14:paraId="5E6F3739" w14:textId="70EF2A98" w:rsidR="00112190" w:rsidRDefault="00112190" w:rsidP="006B301B">
            <w:r>
              <w:t>CBAM</w:t>
            </w:r>
            <w:r w:rsidR="00872F84">
              <w:t>,</w:t>
            </w:r>
            <w:r>
              <w:t xml:space="preserve"> China</w:t>
            </w:r>
            <w:r w:rsidR="00872F84">
              <w:t xml:space="preserve"> und Umgehung</w:t>
            </w:r>
            <w:r>
              <w:t>. Da China derzeit sehr schnell seine erneuerbaren Energien ausbaut und gleichzeitig Kohlekraftwerke baut, tut sich ein Paradox auf. China könnte grünen Stahl nach Europa exportieren, obwohl es steigende Treibhausemissionen aufweist.</w:t>
            </w:r>
            <w:r>
              <w:rPr>
                <w:rStyle w:val="Funotenzeichen"/>
              </w:rPr>
              <w:footnoteReference w:id="1735"/>
            </w:r>
            <w:r>
              <w:t xml:space="preserve"> Diese Art und Weise der Umgehung ist bisher nicht in der Verordnung beachtet worden, kann aber leicht in die </w:t>
            </w:r>
            <w:proofErr w:type="gramStart"/>
            <w:r>
              <w:t>CBAM Verordnung</w:t>
            </w:r>
            <w:proofErr w:type="gramEnd"/>
            <w:r>
              <w:t xml:space="preserve"> eingefügt werden.</w:t>
            </w:r>
          </w:p>
          <w:p w14:paraId="6CF09E63" w14:textId="77777777" w:rsidR="00341A3A" w:rsidRDefault="00341A3A" w:rsidP="006B301B"/>
          <w:p w14:paraId="18CBC705" w14:textId="1A4E548D" w:rsidR="00224A2F" w:rsidRDefault="00224A2F" w:rsidP="00224A2F">
            <w:r>
              <w:t>Die Einführung des EU CBAM 2022 hat China einen Impuls gegeben, sich mit dem Thema CO2 Bestandsaufnahmen für die ganze Wirtschaft zu beschäftigen, um später nicht eine ausländische Einschätzung einfach so hinnehmen zu müssen.</w:t>
            </w:r>
            <w:r>
              <w:rPr>
                <w:rStyle w:val="Funotenzeichen"/>
              </w:rPr>
              <w:footnoteReference w:id="1736"/>
            </w:r>
            <w:r>
              <w:t xml:space="preserve"> </w:t>
            </w:r>
          </w:p>
          <w:p w14:paraId="5C9EB9A5" w14:textId="77777777" w:rsidR="00224A2F" w:rsidRDefault="00224A2F" w:rsidP="00224A2F"/>
          <w:p w14:paraId="3E4C7AC8" w14:textId="77777777" w:rsidR="00341A3A" w:rsidRDefault="00341A3A" w:rsidP="006B301B">
            <w:r>
              <w:t xml:space="preserve">In der Zeit von Klimakommissar Frans Timmermanns gab es einen </w:t>
            </w:r>
            <w:proofErr w:type="gramStart"/>
            <w:r>
              <w:t>CBAM Dialog</w:t>
            </w:r>
            <w:proofErr w:type="gramEnd"/>
            <w:r>
              <w:t xml:space="preserve"> mit China, hier ist der Ansprechpartner Ding </w:t>
            </w:r>
            <w:proofErr w:type="spellStart"/>
            <w:r>
              <w:t>Xuexiang</w:t>
            </w:r>
            <w:proofErr w:type="spellEnd"/>
            <w:r w:rsidR="00985490">
              <w:t>. In China wird ein protektionistischer Mi</w:t>
            </w:r>
            <w:r w:rsidR="008F2CE9">
              <w:t>ss</w:t>
            </w:r>
            <w:r w:rsidR="00985490">
              <w:t>brauch vom CBAM befürchtet, aber einige Personen sehen auch positive Wirkungen auf den Klimaschutz. China baut auch ein CO2-Fussabruck System auf, welches aber noch nicht fertiggestellt ist. S</w:t>
            </w:r>
            <w:r>
              <w:t>iehe das Interview mit Barbara Pongratz, Uni Bremen</w:t>
            </w:r>
            <w:r w:rsidR="00985490">
              <w:t>, vom 22.12.2024</w:t>
            </w:r>
            <w:r>
              <w:t>.</w:t>
            </w:r>
            <w:r>
              <w:rPr>
                <w:rStyle w:val="Funotenzeichen"/>
              </w:rPr>
              <w:footnoteReference w:id="1737"/>
            </w:r>
            <w:r>
              <w:t xml:space="preserve"> Siehe hier </w:t>
            </w:r>
            <w:r w:rsidR="00224A2F">
              <w:t xml:space="preserve">Infos von der </w:t>
            </w:r>
            <w:proofErr w:type="spellStart"/>
            <w:r w:rsidR="00224A2F">
              <w:t>DEHSt</w:t>
            </w:r>
            <w:proofErr w:type="spellEnd"/>
            <w:r w:rsidR="00224A2F">
              <w:t xml:space="preserve"> </w:t>
            </w:r>
            <w:r>
              <w:t>zum Thema Linking von Emissionshandelssystemen.</w:t>
            </w:r>
            <w:r>
              <w:rPr>
                <w:rStyle w:val="Funotenzeichen"/>
              </w:rPr>
              <w:footnoteReference w:id="1738"/>
            </w:r>
          </w:p>
          <w:p w14:paraId="39AD5CAF" w14:textId="77777777" w:rsidR="00872F84" w:rsidRDefault="00872F84" w:rsidP="006B301B"/>
          <w:p w14:paraId="4AC96629" w14:textId="77777777" w:rsidR="00872F84" w:rsidRPr="00224A2F" w:rsidRDefault="00872F84" w:rsidP="00872F84">
            <w:r w:rsidRPr="00224A2F">
              <w:t>Zitate zu einer möglichen U</w:t>
            </w:r>
            <w:r>
              <w:t>mgehung von CBAM, aus dem Draghi Bericht, Teil B, S. 104:</w:t>
            </w:r>
          </w:p>
          <w:p w14:paraId="2B6122C4" w14:textId="77777777" w:rsidR="00872F84" w:rsidRPr="00224A2F" w:rsidRDefault="00872F84" w:rsidP="00872F84"/>
          <w:p w14:paraId="487F73F2" w14:textId="77777777" w:rsidR="00872F84" w:rsidRDefault="00872F84" w:rsidP="00872F84">
            <w:pPr>
              <w:rPr>
                <w:lang w:val="en-GB"/>
              </w:rPr>
            </w:pPr>
            <w:r w:rsidRPr="00C915F5">
              <w:rPr>
                <w:lang w:val="en-GB"/>
              </w:rPr>
              <w:t>„CBAM is potentially easy to circumvent. As an example, as it is structured, exporters to the EU will not be taxed</w:t>
            </w:r>
            <w:r>
              <w:rPr>
                <w:lang w:val="en-GB"/>
              </w:rPr>
              <w:t xml:space="preserve"> </w:t>
            </w:r>
            <w:r w:rsidRPr="00C915F5">
              <w:rPr>
                <w:lang w:val="en-GB"/>
              </w:rPr>
              <w:t>if they serve the European market from their low-emission plant segments and sell CO2-intensive steel on domestic</w:t>
            </w:r>
            <w:r>
              <w:rPr>
                <w:lang w:val="en-GB"/>
              </w:rPr>
              <w:t xml:space="preserve"> </w:t>
            </w:r>
            <w:r w:rsidRPr="00C915F5">
              <w:rPr>
                <w:lang w:val="en-GB"/>
              </w:rPr>
              <w:t>or other third-country markets instead Similarly, the zero-</w:t>
            </w:r>
            <w:r w:rsidRPr="00C915F5">
              <w:rPr>
                <w:lang w:val="en-GB"/>
              </w:rPr>
              <w:lastRenderedPageBreak/>
              <w:t>emissions assumption for recycled material, including</w:t>
            </w:r>
            <w:r>
              <w:rPr>
                <w:lang w:val="en-GB"/>
              </w:rPr>
              <w:t xml:space="preserve"> </w:t>
            </w:r>
            <w:r w:rsidRPr="00C915F5">
              <w:rPr>
                <w:lang w:val="en-GB"/>
              </w:rPr>
              <w:t>industry scrap, could provide incentives for deliberate scrap generation to export the secondary material (exempt</w:t>
            </w:r>
            <w:r>
              <w:rPr>
                <w:lang w:val="en-GB"/>
              </w:rPr>
              <w:t xml:space="preserve"> f</w:t>
            </w:r>
            <w:r w:rsidRPr="00C915F5">
              <w:rPr>
                <w:lang w:val="en-GB"/>
              </w:rPr>
              <w:t>rom CBAM) instead of the primary one (within CBAM) to Europe (relevant, notably, for aluminium where recycling</w:t>
            </w:r>
            <w:r>
              <w:rPr>
                <w:lang w:val="en-GB"/>
              </w:rPr>
              <w:t xml:space="preserve"> </w:t>
            </w:r>
            <w:r w:rsidRPr="00C915F5">
              <w:rPr>
                <w:lang w:val="en-GB"/>
              </w:rPr>
              <w:t>costs are low) Moreover, monitoring and verification may be very difficult without strong cooperation</w:t>
            </w:r>
            <w:r>
              <w:rPr>
                <w:lang w:val="en-GB"/>
              </w:rPr>
              <w:t xml:space="preserve">.” </w:t>
            </w:r>
          </w:p>
          <w:p w14:paraId="5C8FF456" w14:textId="77777777" w:rsidR="00872F84" w:rsidRDefault="00872F84" w:rsidP="00872F84">
            <w:pPr>
              <w:rPr>
                <w:lang w:val="en-GB"/>
              </w:rPr>
            </w:pPr>
          </w:p>
          <w:p w14:paraId="199D76E3" w14:textId="77777777" w:rsidR="00872F84" w:rsidRPr="00C915F5" w:rsidRDefault="00872F84" w:rsidP="00872F84">
            <w:pPr>
              <w:rPr>
                <w:lang w:val="en-GB"/>
              </w:rPr>
            </w:pPr>
            <w:r>
              <w:rPr>
                <w:lang w:val="en-GB"/>
              </w:rPr>
              <w:t>“</w:t>
            </w:r>
            <w:r w:rsidRPr="00C915F5">
              <w:rPr>
                <w:lang w:val="en-GB"/>
              </w:rPr>
              <w:t>There is a risk of downstream carbon leakage. With EIIs covered by CBAM and downstream industries</w:t>
            </w:r>
            <w:r>
              <w:rPr>
                <w:lang w:val="en-GB"/>
              </w:rPr>
              <w:t xml:space="preserve"> </w:t>
            </w:r>
            <w:r w:rsidRPr="00C915F5">
              <w:rPr>
                <w:lang w:val="en-GB"/>
              </w:rPr>
              <w:t>exempted, imports may shift to downstream products to circumvent or avoid the border tax Downstream leakage</w:t>
            </w:r>
            <w:r>
              <w:rPr>
                <w:lang w:val="en-GB"/>
              </w:rPr>
              <w:t xml:space="preserve"> </w:t>
            </w:r>
            <w:r w:rsidRPr="00C915F5">
              <w:rPr>
                <w:lang w:val="en-GB"/>
              </w:rPr>
              <w:t>risk is amplified by the fact that the ETS integration of industry segments to be covered by CBAM will likely increase</w:t>
            </w:r>
            <w:r>
              <w:rPr>
                <w:lang w:val="en-GB"/>
              </w:rPr>
              <w:t xml:space="preserve"> </w:t>
            </w:r>
            <w:r w:rsidRPr="00C915F5">
              <w:rPr>
                <w:lang w:val="en-GB"/>
              </w:rPr>
              <w:t>production costs also for domestic downstream industries outside of CBAM (e g plastics, using basic chemicals</w:t>
            </w:r>
            <w:r>
              <w:rPr>
                <w:lang w:val="en-GB"/>
              </w:rPr>
              <w:t xml:space="preserve"> </w:t>
            </w:r>
            <w:r w:rsidRPr="00C915F5">
              <w:rPr>
                <w:lang w:val="en-GB"/>
              </w:rPr>
              <w:t>as input) This would translate into larger cost differentials compared to foreign competitors in downstream industries</w:t>
            </w:r>
            <w:r>
              <w:rPr>
                <w:lang w:val="en-GB"/>
              </w:rPr>
              <w:t>.</w:t>
            </w:r>
            <w:r w:rsidRPr="00C915F5">
              <w:rPr>
                <w:lang w:val="en-GB"/>
              </w:rPr>
              <w:t xml:space="preserve"> Available</w:t>
            </w:r>
            <w:r>
              <w:rPr>
                <w:lang w:val="en-GB"/>
              </w:rPr>
              <w:t xml:space="preserve"> </w:t>
            </w:r>
            <w:r w:rsidRPr="00C915F5">
              <w:rPr>
                <w:lang w:val="en-GB"/>
              </w:rPr>
              <w:t>research finds some evidence that the inclusion of EIIs in the ETS would increase carbon leakage</w:t>
            </w:r>
          </w:p>
          <w:p w14:paraId="48E6AEAB" w14:textId="3AF89AE0" w:rsidR="00872F84" w:rsidRDefault="00872F84" w:rsidP="00872F84">
            <w:pPr>
              <w:rPr>
                <w:lang w:val="en-GB"/>
              </w:rPr>
            </w:pPr>
            <w:r w:rsidRPr="00C915F5">
              <w:rPr>
                <w:lang w:val="en-GB"/>
              </w:rPr>
              <w:t>and production costs for downstream industries sourcing domestically Multinational companies</w:t>
            </w:r>
            <w:r>
              <w:rPr>
                <w:lang w:val="en-GB"/>
              </w:rPr>
              <w:t xml:space="preserve"> </w:t>
            </w:r>
            <w:r w:rsidRPr="00C915F5">
              <w:rPr>
                <w:lang w:val="en-GB"/>
              </w:rPr>
              <w:t>are more likely to</w:t>
            </w:r>
            <w:r>
              <w:rPr>
                <w:lang w:val="en-GB"/>
              </w:rPr>
              <w:t xml:space="preserve"> </w:t>
            </w:r>
            <w:r w:rsidRPr="00C915F5">
              <w:rPr>
                <w:lang w:val="en-GB"/>
              </w:rPr>
              <w:t>relocate activity in response, while (exclusively) domestic companies lose cost competitiveness Future increases</w:t>
            </w:r>
            <w:r>
              <w:rPr>
                <w:lang w:val="en-GB"/>
              </w:rPr>
              <w:t xml:space="preserve"> </w:t>
            </w:r>
            <w:r w:rsidRPr="00C915F5">
              <w:rPr>
                <w:lang w:val="en-GB"/>
              </w:rPr>
              <w:t>in cost gaps (notably, starting in 2030 with the ramping up of the</w:t>
            </w:r>
            <w:r>
              <w:rPr>
                <w:lang w:val="en-GB"/>
              </w:rPr>
              <w:t xml:space="preserve"> </w:t>
            </w:r>
            <w:r w:rsidRPr="00C915F5">
              <w:rPr>
                <w:lang w:val="en-GB"/>
              </w:rPr>
              <w:t>CBAM levy) may streng</w:t>
            </w:r>
            <w:r w:rsidR="00695FBD">
              <w:rPr>
                <w:lang w:val="en-GB"/>
              </w:rPr>
              <w:t>t</w:t>
            </w:r>
            <w:r w:rsidRPr="00C915F5">
              <w:rPr>
                <w:lang w:val="en-GB"/>
              </w:rPr>
              <w:t>hen the incentive to</w:t>
            </w:r>
            <w:r>
              <w:rPr>
                <w:lang w:val="en-GB"/>
              </w:rPr>
              <w:t xml:space="preserve"> </w:t>
            </w:r>
            <w:r w:rsidRPr="00C915F5">
              <w:rPr>
                <w:lang w:val="en-GB"/>
              </w:rPr>
              <w:t>relocate downstream activities</w:t>
            </w:r>
            <w:r>
              <w:rPr>
                <w:lang w:val="en-GB"/>
              </w:rPr>
              <w:t xml:space="preserve">.” </w:t>
            </w:r>
          </w:p>
          <w:p w14:paraId="54C7A58B" w14:textId="77777777" w:rsidR="00872F84" w:rsidRDefault="00872F84" w:rsidP="00872F84">
            <w:pPr>
              <w:rPr>
                <w:lang w:val="en-GB"/>
              </w:rPr>
            </w:pPr>
          </w:p>
          <w:p w14:paraId="3E828EC6" w14:textId="0A26B405" w:rsidR="00872F84" w:rsidRPr="00872F84" w:rsidRDefault="00872F84" w:rsidP="00872F84">
            <w:pPr>
              <w:rPr>
                <w:lang w:val="en-GB"/>
              </w:rPr>
            </w:pPr>
            <w:r>
              <w:rPr>
                <w:lang w:val="en-GB"/>
              </w:rPr>
              <w:t>“</w:t>
            </w:r>
            <w:r w:rsidRPr="00C915F5">
              <w:rPr>
                <w:lang w:val="en-GB"/>
              </w:rPr>
              <w:t>CBAM does not level the playing field for exporters. CBAM levels the playing field on the import side, but</w:t>
            </w:r>
            <w:r>
              <w:rPr>
                <w:lang w:val="en-GB"/>
              </w:rPr>
              <w:t xml:space="preserve"> </w:t>
            </w:r>
            <w:r w:rsidRPr="00C915F5">
              <w:rPr>
                <w:lang w:val="en-GB"/>
              </w:rPr>
              <w:t>exporters will face a cost disadvantage as ETS certificates are not reimbursed (supporting emission-intensive</w:t>
            </w:r>
            <w:r>
              <w:rPr>
                <w:lang w:val="en-GB"/>
              </w:rPr>
              <w:t xml:space="preserve"> </w:t>
            </w:r>
            <w:r w:rsidRPr="00C915F5">
              <w:rPr>
                <w:lang w:val="en-GB"/>
              </w:rPr>
              <w:t>exports would go against the objective of incentivising greener production elsewhere) This may</w:t>
            </w:r>
            <w:r>
              <w:rPr>
                <w:lang w:val="en-GB"/>
              </w:rPr>
              <w:t xml:space="preserve"> </w:t>
            </w:r>
            <w:r w:rsidRPr="00C915F5">
              <w:rPr>
                <w:lang w:val="en-GB"/>
              </w:rPr>
              <w:t>feed back to the</w:t>
            </w:r>
            <w:r>
              <w:rPr>
                <w:lang w:val="en-GB"/>
              </w:rPr>
              <w:t xml:space="preserve"> </w:t>
            </w:r>
            <w:r w:rsidRPr="00C915F5">
              <w:rPr>
                <w:lang w:val="en-GB"/>
              </w:rPr>
              <w:t>domestic market in segments where products are differentiated (</w:t>
            </w:r>
            <w:proofErr w:type="spellStart"/>
            <w:r w:rsidRPr="00C915F5">
              <w:rPr>
                <w:lang w:val="en-GB"/>
              </w:rPr>
              <w:t>i</w:t>
            </w:r>
            <w:proofErr w:type="spellEnd"/>
            <w:r w:rsidRPr="00C915F5">
              <w:rPr>
                <w:lang w:val="en-GB"/>
              </w:rPr>
              <w:t xml:space="preserve"> e the European market of limited size) and scale</w:t>
            </w:r>
            <w:r>
              <w:rPr>
                <w:lang w:val="en-GB"/>
              </w:rPr>
              <w:t xml:space="preserve"> </w:t>
            </w:r>
            <w:r w:rsidRPr="00C915F5">
              <w:rPr>
                <w:lang w:val="en-GB"/>
              </w:rPr>
              <w:t>is important for efficient production</w:t>
            </w:r>
            <w:r>
              <w:rPr>
                <w:lang w:val="en-GB"/>
              </w:rPr>
              <w:t>.”</w:t>
            </w:r>
            <w:r>
              <w:rPr>
                <w:rStyle w:val="Funotenzeichen"/>
                <w:lang w:val="en-GB"/>
              </w:rPr>
              <w:footnoteReference w:id="1739"/>
            </w:r>
          </w:p>
        </w:tc>
      </w:tr>
    </w:tbl>
    <w:p w14:paraId="1F92003F" w14:textId="77777777" w:rsidR="00872F84" w:rsidRPr="00C915F5" w:rsidRDefault="00872F84" w:rsidP="00112190">
      <w:pPr>
        <w:rPr>
          <w:lang w:val="en-GB"/>
        </w:rPr>
      </w:pPr>
    </w:p>
    <w:p w14:paraId="0CFB853B" w14:textId="12ECC4CA" w:rsidR="00112190" w:rsidRDefault="00112190" w:rsidP="00112190">
      <w:r>
        <w:t>Strommarkt</w:t>
      </w:r>
      <w:r w:rsidR="00872F84">
        <w:t xml:space="preserve">. </w:t>
      </w:r>
      <w:r>
        <w:t>Auch die Regulierung der Energiemärkte (Strom, Gas etc.) und der Art und Weise, wie Strom gehandelt wird, hat erhebliche Auswirkungen auf den Preis für die Verbraucher und den Ausbau erneuerbarer Energien und zudem die Möglichkeiten eventueller Subventionierung (wobei hier noch das EU-Wettbewerbsrecht eine Rolle spielt). Strom wird im Fallrecht des EuGH als Gut angesehen, das unter den freie Warenverkehr nach Art. 34 AEUV fällt.</w:t>
      </w:r>
      <w:r>
        <w:rPr>
          <w:rStyle w:val="Funotenzeichen"/>
        </w:rPr>
        <w:footnoteReference w:id="1740"/>
      </w:r>
      <w:r>
        <w:t xml:space="preserve"> Die erste Strommarktrichtlinie wurde 1996 beschlossen, 2003 und 2009 geht es vor allem um die Trennung von Eigentum von Produktion und Netz sowie um die Etablierung nationaler Aufsichtsbehörden. Die Richtlinie aus dem Jahr 2019 enthielt Regeln, die für die Einspeisung erneuerbarer Energien wichtig sind. So dürfen Konsumenten und Bürgerenergiegemeinschaften auch Strom einspeisen. Jeder Konsument soll überall in Europa Strom kaufen dürfen. Schließlich sollen die Strommärkte miteinander verbunden werden, um Import und Export von Strom zu ermöglichen.</w:t>
      </w:r>
      <w:r>
        <w:rPr>
          <w:rStyle w:val="Funotenzeichen"/>
        </w:rPr>
        <w:footnoteReference w:id="1741"/>
      </w:r>
      <w:r>
        <w:t xml:space="preserve"> Um diese zu ermöglichen ist die Zusammenarbeit nationaler Regulierungsbehörden nötig, genannt European Network </w:t>
      </w:r>
      <w:proofErr w:type="spellStart"/>
      <w:r>
        <w:t>of</w:t>
      </w:r>
      <w:proofErr w:type="spellEnd"/>
      <w:r>
        <w:t xml:space="preserve"> Transmission System Operator, </w:t>
      </w:r>
      <w:proofErr w:type="spellStart"/>
      <w:r>
        <w:t>E</w:t>
      </w:r>
      <w:r w:rsidR="00C24FE8">
        <w:t>ntso</w:t>
      </w:r>
      <w:proofErr w:type="spellEnd"/>
      <w:r w:rsidR="00C24FE8">
        <w:t>-e</w:t>
      </w:r>
      <w:r>
        <w:t>, wobei diese seit 2019 in einer Organisation auf europäischer Ebene zusammengeschlossen sind, der EU DSO Entity (DSO = Distribution System Operators)</w:t>
      </w:r>
      <w:r w:rsidRPr="00C10114">
        <w:rPr>
          <w:rStyle w:val="Funotenzeichen"/>
        </w:rPr>
        <w:t xml:space="preserve"> </w:t>
      </w:r>
      <w:r>
        <w:rPr>
          <w:rStyle w:val="Funotenzeichen"/>
        </w:rPr>
        <w:footnoteReference w:id="1742"/>
      </w:r>
      <w:r>
        <w:t>.</w:t>
      </w:r>
      <w:r>
        <w:rPr>
          <w:rStyle w:val="Funotenzeichen"/>
        </w:rPr>
        <w:footnoteReference w:id="1743"/>
      </w:r>
      <w:r>
        <w:t xml:space="preserve"> Es geht hier im Strombereich um mehrere Verordnungen: Strommarktrichtlinie, Strommarktverordnung, ACER-Verordnung und Risikovorsorge-Verordnung.</w:t>
      </w:r>
      <w:r>
        <w:rPr>
          <w:rStyle w:val="Funotenzeichen"/>
        </w:rPr>
        <w:footnoteReference w:id="1744"/>
      </w:r>
      <w:r>
        <w:t xml:space="preserve"> </w:t>
      </w:r>
      <w:r w:rsidR="00C24FE8">
        <w:t xml:space="preserve">Die ACER ist die </w:t>
      </w:r>
      <w:r w:rsidR="00C24FE8">
        <w:lastRenderedPageBreak/>
        <w:t>Europäische Agentur für die Kooperation der Energieregulierungsbehörden.</w:t>
      </w:r>
      <w:bookmarkStart w:id="93" w:name="_Hlk200366099"/>
      <w:r w:rsidR="00C24FE8">
        <w:rPr>
          <w:rStyle w:val="Funotenzeichen"/>
        </w:rPr>
        <w:footnoteReference w:id="1745"/>
      </w:r>
      <w:bookmarkEnd w:id="93"/>
      <w:r w:rsidR="00C24FE8">
        <w:t xml:space="preserve"> Die ACER überprüft auch die Strommärkte auf eventuelle betrügerische Geschäft</w:t>
      </w:r>
      <w:r w:rsidR="00896DB5">
        <w:t>s</w:t>
      </w:r>
      <w:r w:rsidR="00C24FE8">
        <w:t>praktiken, mit sog. REMIT-Berichten.</w:t>
      </w:r>
      <w:r w:rsidR="00C24FE8">
        <w:rPr>
          <w:rStyle w:val="Funotenzeichen"/>
        </w:rPr>
        <w:footnoteReference w:id="1746"/>
      </w:r>
    </w:p>
    <w:p w14:paraId="2832D95D" w14:textId="77777777" w:rsidR="00112190" w:rsidRDefault="00112190" w:rsidP="00112190"/>
    <w:p w14:paraId="41C98FB7" w14:textId="77777777" w:rsidR="00112190" w:rsidRDefault="00112190" w:rsidP="00112190">
      <w:r>
        <w:t>Im Jahr 2023 wurde in der EU über eine Reform des Energiemarktes verhandelt.</w:t>
      </w:r>
      <w:r>
        <w:rPr>
          <w:rStyle w:val="Funotenzeichen"/>
        </w:rPr>
        <w:footnoteReference w:id="1747"/>
      </w:r>
      <w:r>
        <w:t xml:space="preserve"> Am 17. Oktober 2023 hat der Rat eine Einigung erzielt, nun wird mit dem Europäischen Parlament darüber endgültig verhandelt.</w:t>
      </w:r>
      <w:r>
        <w:rPr>
          <w:rStyle w:val="Funotenzeichen"/>
        </w:rPr>
        <w:footnoteReference w:id="1748"/>
      </w:r>
      <w:r>
        <w:t xml:space="preserve"> Diese Materie ist kompliziert, es ist schwer möglich, die Auswirkungen vorherzusehen. Ein Ergebnis war bisher, dass Kohlekraftwerke u.a. in Polen und Kernkraftwerke in Frankreich bevorzugt behandelt werden.</w:t>
      </w:r>
      <w:r>
        <w:rPr>
          <w:rStyle w:val="Funotenzeichen"/>
        </w:rPr>
        <w:footnoteReference w:id="1749"/>
      </w:r>
      <w:r>
        <w:t xml:space="preserve"> Seit Juni 2018 und in einem zweiten Schritt im November 2019 sind die europäischen Stromhandelsmärkte miteinander gekoppelt worden.</w:t>
      </w:r>
      <w:r>
        <w:rPr>
          <w:rStyle w:val="Funotenzeichen"/>
        </w:rPr>
        <w:footnoteReference w:id="1750"/>
      </w:r>
      <w:r>
        <w:t xml:space="preserve"> </w:t>
      </w:r>
    </w:p>
    <w:p w14:paraId="6C9B2B88" w14:textId="77777777" w:rsidR="00112190" w:rsidRDefault="00112190" w:rsidP="00112190"/>
    <w:p w14:paraId="17E1E842" w14:textId="43F8B561" w:rsidR="00112190" w:rsidRDefault="00112190" w:rsidP="00112190">
      <w:r>
        <w:t xml:space="preserve">Ein Zielwert für den europäischen Strommarkt ist, dass bis Ende 2025 schrittweise 70 % der Übertragungskapazität für den grenzüberschreitenden Handel zur Verfügung gestellt werden. Hier hat die Kommission offenbar eine Sanktionsmöglichkeit, einen Neuzuschnitt der Gebotszonen. Deutschland hat hierzu 2019 einen Aktionsplan vorgelegt. Es gibt hierzu viele regionalen Kooperationsformate. Ein </w:t>
      </w:r>
      <w:proofErr w:type="spellStart"/>
      <w:r>
        <w:t>Smartgrid</w:t>
      </w:r>
      <w:proofErr w:type="spellEnd"/>
      <w:r>
        <w:t xml:space="preserve">-Projekt zwischen Deutschland und Frankreich wurde als Project </w:t>
      </w:r>
      <w:proofErr w:type="spellStart"/>
      <w:r>
        <w:t>of</w:t>
      </w:r>
      <w:proofErr w:type="spellEnd"/>
      <w:r>
        <w:t xml:space="preserve"> Common Interest (PCI) gefördert.</w:t>
      </w:r>
      <w:r>
        <w:rPr>
          <w:rStyle w:val="Funotenzeichen"/>
        </w:rPr>
        <w:footnoteReference w:id="1751"/>
      </w:r>
      <w:r w:rsidR="00C24FE8">
        <w:t xml:space="preserve"> Deutschland hat erst 41 % der Übertragungskapazität erreicht, es mauert offenbar in Bayern, die Durchleitung an den Grenzen ist etwa nach Österreich oder in die Schweiz niedrig, weil befürchtet wird, dass dann ein Stromengpass in Bayern oder Baden-Württemberg ausgelöst werden kann, wenn Österreich z.B. Strom importieren will.</w:t>
      </w:r>
      <w:r w:rsidR="00C24FE8">
        <w:rPr>
          <w:rStyle w:val="Funotenzeichen"/>
        </w:rPr>
        <w:footnoteReference w:id="1752"/>
      </w:r>
      <w:r w:rsidR="00C24FE8">
        <w:t xml:space="preserve"> Inwieweit hier Fortschritte gemacht werden, wird von der ACER überprüft</w:t>
      </w:r>
      <w:r w:rsidR="00896DB5">
        <w:t>, mit dem nächsten Bericht über 2024 im Sommer 2025</w:t>
      </w:r>
      <w:r w:rsidR="00C24FE8">
        <w:t>.</w:t>
      </w:r>
      <w:r w:rsidR="00C24FE8">
        <w:rPr>
          <w:rStyle w:val="Funotenzeichen"/>
        </w:rPr>
        <w:footnoteReference w:id="1753"/>
      </w:r>
    </w:p>
    <w:p w14:paraId="596305B7" w14:textId="77777777" w:rsidR="00D551C9" w:rsidRDefault="00D551C9" w:rsidP="00112190"/>
    <w:p w14:paraId="71BF84A2" w14:textId="77777777" w:rsidR="00112190" w:rsidRDefault="00112190" w:rsidP="00112190">
      <w:r>
        <w:t xml:space="preserve">Richtlinien der EU sind für den deutschen Strom- und Erdgasmarkt relevant, so ist es ein Grund für das Urteil des EuGH über die Bundesnetzagentur, s.o., gewesen, dass Deutschland offenbar </w:t>
      </w:r>
      <w:proofErr w:type="gramStart"/>
      <w:r>
        <w:t>EU Richtlinien</w:t>
      </w:r>
      <w:proofErr w:type="gramEnd"/>
      <w:r>
        <w:t xml:space="preserve"> unzureichend in deutsches Recht umgesetzt hat, hier geht es um die Richtlinien 2009/72/EG (Elektrizitätsrichtlinie) und 2009/73/EG (Erdgasrichtlinie).</w:t>
      </w:r>
      <w:r>
        <w:rPr>
          <w:rStyle w:val="Funotenzeichen"/>
        </w:rPr>
        <w:footnoteReference w:id="1754"/>
      </w:r>
      <w:r>
        <w:t xml:space="preserve"> </w:t>
      </w:r>
    </w:p>
    <w:p w14:paraId="5B502087" w14:textId="77777777" w:rsidR="00112190" w:rsidRDefault="00112190" w:rsidP="00112190"/>
    <w:p w14:paraId="2BFCC79E" w14:textId="77777777" w:rsidR="00112190" w:rsidRDefault="00112190" w:rsidP="00112190">
      <w:r w:rsidRPr="003A0A52">
        <w:t xml:space="preserve">Eine der vielen Initiativen der </w:t>
      </w:r>
      <w:proofErr w:type="gramStart"/>
      <w:r w:rsidRPr="003A0A52">
        <w:t xml:space="preserve">EU </w:t>
      </w:r>
      <w:r>
        <w:t>Standards</w:t>
      </w:r>
      <w:proofErr w:type="gramEnd"/>
      <w:r>
        <w:t xml:space="preserve"> für nachhaltige Produktion, für die Produktion von Wasserstoff etc. zu entwickeln, ist die </w:t>
      </w:r>
      <w:r w:rsidRPr="003A0A52">
        <w:t xml:space="preserve">EU </w:t>
      </w:r>
      <w:proofErr w:type="spellStart"/>
      <w:r w:rsidRPr="003A0A52">
        <w:t>Taxonomy</w:t>
      </w:r>
      <w:proofErr w:type="spellEnd"/>
      <w:r>
        <w:rPr>
          <w:rStyle w:val="Funotenzeichen"/>
        </w:rPr>
        <w:footnoteReference w:id="1755"/>
      </w:r>
      <w:r w:rsidRPr="003A0A52">
        <w:t xml:space="preserve">, siehe </w:t>
      </w:r>
      <w:r>
        <w:t>auch den</w:t>
      </w:r>
      <w:r w:rsidRPr="003A0A52">
        <w:t xml:space="preserve"> </w:t>
      </w:r>
      <w:proofErr w:type="spellStart"/>
      <w:r w:rsidRPr="003A0A52">
        <w:t>Taxonomy</w:t>
      </w:r>
      <w:proofErr w:type="spellEnd"/>
      <w:r w:rsidRPr="003A0A52">
        <w:t xml:space="preserve"> User Guide.</w:t>
      </w:r>
      <w:r>
        <w:rPr>
          <w:rStyle w:val="Funotenzeichen"/>
          <w:lang w:val="en-GB"/>
        </w:rPr>
        <w:footnoteReference w:id="1756"/>
      </w:r>
    </w:p>
    <w:p w14:paraId="10B5C588" w14:textId="77777777" w:rsidR="00D551C9" w:rsidRDefault="00D551C9" w:rsidP="00112190"/>
    <w:p w14:paraId="4DA09380" w14:textId="0DCE0AE3" w:rsidR="00E823F2" w:rsidRDefault="00112190" w:rsidP="00112190">
      <w:r>
        <w:lastRenderedPageBreak/>
        <w:t xml:space="preserve">Fazit mit einer </w:t>
      </w:r>
      <w:r w:rsidR="00E823F2">
        <w:t xml:space="preserve">kurzen </w:t>
      </w:r>
      <w:r w:rsidRPr="00FB559B">
        <w:rPr>
          <w:b/>
          <w:bCs/>
          <w:u w:val="single"/>
        </w:rPr>
        <w:t>Bewertung</w:t>
      </w:r>
      <w:r>
        <w:t xml:space="preserve"> </w:t>
      </w:r>
      <w:r w:rsidR="005C1ABA">
        <w:t xml:space="preserve">u.a. der industriepolitischen Effektivität der </w:t>
      </w:r>
      <w:proofErr w:type="gramStart"/>
      <w:r>
        <w:t>EU Programme</w:t>
      </w:r>
      <w:proofErr w:type="gramEnd"/>
      <w:r>
        <w:t xml:space="preserve">. </w:t>
      </w:r>
    </w:p>
    <w:p w14:paraId="3D55A964" w14:textId="77777777" w:rsidR="00F62895" w:rsidRDefault="00F62895" w:rsidP="00112190"/>
    <w:p w14:paraId="7ECAD2C7" w14:textId="6C86C872" w:rsidR="00C46ED4" w:rsidRDefault="00B07432" w:rsidP="00112190">
      <w:r>
        <w:t xml:space="preserve">Die </w:t>
      </w:r>
      <w:proofErr w:type="gramStart"/>
      <w:r>
        <w:t>EU Regulierungen</w:t>
      </w:r>
      <w:proofErr w:type="gramEnd"/>
      <w:r>
        <w:t xml:space="preserve"> sind teilweise tatsächlich sehr komplex, dies </w:t>
      </w:r>
      <w:r w:rsidR="00872F84">
        <w:t>hat unterschiedliche Gründe, etwa</w:t>
      </w:r>
      <w:r>
        <w:t xml:space="preserve"> dass mathematische Berechnungen enthalten sind, etwa im CBAM</w:t>
      </w:r>
      <w:r w:rsidR="0006259A">
        <w:t xml:space="preserve">. </w:t>
      </w:r>
      <w:r w:rsidR="00872F84">
        <w:t xml:space="preserve">In RED III sind </w:t>
      </w:r>
      <w:r>
        <w:t xml:space="preserve">über viele Seiten bereichsspezifische </w:t>
      </w:r>
      <w:r w:rsidR="00482647">
        <w:t>Prozent-</w:t>
      </w:r>
      <w:r>
        <w:t>Regeln enthalten</w:t>
      </w:r>
      <w:r w:rsidR="00482647">
        <w:t xml:space="preserve">, für die es </w:t>
      </w:r>
      <w:r w:rsidR="00872F84">
        <w:t xml:space="preserve">unverständlicherweise </w:t>
      </w:r>
      <w:r w:rsidR="00482647">
        <w:t>wiederum Ausnahmen gibt</w:t>
      </w:r>
      <w:r w:rsidR="00C167E9">
        <w:t>.</w:t>
      </w:r>
      <w:r>
        <w:t xml:space="preserve"> </w:t>
      </w:r>
      <w:r w:rsidR="00872F84">
        <w:t xml:space="preserve">Einige </w:t>
      </w:r>
      <w:proofErr w:type="gramStart"/>
      <w:r w:rsidR="00872F84">
        <w:t>EU Regulierungen</w:t>
      </w:r>
      <w:proofErr w:type="gramEnd"/>
      <w:r w:rsidR="00872F84">
        <w:t xml:space="preserve"> sind unrealistisc</w:t>
      </w:r>
      <w:r w:rsidR="005C1ABA">
        <w:t>h, h</w:t>
      </w:r>
      <w:r w:rsidR="00B3348C">
        <w:t xml:space="preserve">ier fällt </w:t>
      </w:r>
      <w:r w:rsidR="005C1ABA">
        <w:t xml:space="preserve">sofort das </w:t>
      </w:r>
      <w:r w:rsidR="00B3348C">
        <w:t xml:space="preserve">RED III ein. </w:t>
      </w:r>
      <w:r w:rsidR="00872F84">
        <w:t>Das</w:t>
      </w:r>
      <w:r w:rsidR="00C46ED4">
        <w:t xml:space="preserve"> </w:t>
      </w:r>
      <w:r>
        <w:t xml:space="preserve">Gesamtziel von 42,5 bzw. 45 % erneuerbarer Energien am </w:t>
      </w:r>
      <w:r w:rsidR="00C167E9">
        <w:t>E</w:t>
      </w:r>
      <w:r>
        <w:t xml:space="preserve">nergieverbrauch </w:t>
      </w:r>
      <w:r w:rsidR="00C167E9">
        <w:t xml:space="preserve">von Strom, Wärme/Kälte und Verkehr bis 2030 </w:t>
      </w:r>
      <w:r w:rsidR="00872F84">
        <w:t>zu erreichen</w:t>
      </w:r>
      <w:r w:rsidR="005C1ABA">
        <w:t>, erscheint einem Außenstehenden wenigstens schwer</w:t>
      </w:r>
      <w:r w:rsidR="00872F84">
        <w:t xml:space="preserve">, </w:t>
      </w:r>
      <w:r w:rsidR="005C1ABA">
        <w:t>auch 5</w:t>
      </w:r>
      <w:r w:rsidR="00B3348C">
        <w:t xml:space="preserve"> </w:t>
      </w:r>
      <w:r w:rsidR="00872F84">
        <w:t xml:space="preserve">Mitgliedstaaten </w:t>
      </w:r>
      <w:r w:rsidR="005C1ABA">
        <w:t xml:space="preserve">haben dies </w:t>
      </w:r>
      <w:r w:rsidR="00872F84">
        <w:t xml:space="preserve">offiziell </w:t>
      </w:r>
      <w:r w:rsidR="005C1ABA">
        <w:t>festhalten lassen</w:t>
      </w:r>
      <w:r w:rsidR="00872F84">
        <w:t xml:space="preserve">. </w:t>
      </w:r>
      <w:r w:rsidR="00C167E9">
        <w:t xml:space="preserve">Mich stört </w:t>
      </w:r>
      <w:r w:rsidR="00872F84">
        <w:t>an</w:t>
      </w:r>
      <w:r w:rsidR="00C167E9">
        <w:t xml:space="preserve"> RED III</w:t>
      </w:r>
      <w:r w:rsidR="00872F84">
        <w:t>, dass es</w:t>
      </w:r>
      <w:r w:rsidR="00C167E9">
        <w:t xml:space="preserve"> </w:t>
      </w:r>
      <w:r w:rsidR="00482647">
        <w:t>vo</w:t>
      </w:r>
      <w:r w:rsidR="00C46ED4">
        <w:t>n der</w:t>
      </w:r>
      <w:r w:rsidR="00482647">
        <w:t xml:space="preserve"> Kern</w:t>
      </w:r>
      <w:r w:rsidR="00C46ED4">
        <w:t>aufgabe</w:t>
      </w:r>
      <w:r w:rsidR="00482647">
        <w:t xml:space="preserve"> der Energiewende</w:t>
      </w:r>
      <w:r w:rsidR="00C167E9">
        <w:t xml:space="preserve"> ab</w:t>
      </w:r>
      <w:r w:rsidR="005C1ABA">
        <w:t>lenkt</w:t>
      </w:r>
      <w:r w:rsidR="00482647">
        <w:t xml:space="preserve">, </w:t>
      </w:r>
      <w:r w:rsidR="00872F84">
        <w:t xml:space="preserve">den </w:t>
      </w:r>
      <w:r w:rsidR="00482647">
        <w:t xml:space="preserve">Aufbau erneuerbarer Energie als System gesicherter Leistung mit </w:t>
      </w:r>
      <w:r w:rsidR="00872F84">
        <w:t xml:space="preserve">Elektrolyseuren, Wasserstoff, </w:t>
      </w:r>
      <w:r w:rsidR="00482647">
        <w:t xml:space="preserve">Speichern, Großbatterien und Wasserstoffkraftwerken haben und </w:t>
      </w:r>
      <w:r w:rsidR="00C46ED4">
        <w:t xml:space="preserve">zweitens </w:t>
      </w:r>
      <w:r w:rsidR="00482647">
        <w:t>davon, dass die Industrie auf neue Grundstoffe umgestellt werden muss</w:t>
      </w:r>
      <w:r>
        <w:t xml:space="preserve">. </w:t>
      </w:r>
      <w:r w:rsidR="00482647">
        <w:t>Es hilft nicht, wenn bis 2030</w:t>
      </w:r>
      <w:r w:rsidR="00C167E9">
        <w:t xml:space="preserve"> mit hoher Priorität</w:t>
      </w:r>
      <w:r w:rsidR="00482647">
        <w:t xml:space="preserve"> </w:t>
      </w:r>
      <w:r w:rsidR="00C167E9">
        <w:t xml:space="preserve">und viel Geld </w:t>
      </w:r>
      <w:r w:rsidR="00872F84">
        <w:t xml:space="preserve">Kapazitäten für biogene </w:t>
      </w:r>
      <w:r w:rsidR="00482647">
        <w:t xml:space="preserve">erneuerbare Treibstoffe aus Frittenfett und sonstigen Abfällen aufgebaut werden, wenn biogene Stoffe generell begrenzt sind und die Luftfahrt </w:t>
      </w:r>
      <w:r w:rsidR="005C1ABA">
        <w:t xml:space="preserve">einige Jahren später </w:t>
      </w:r>
      <w:r w:rsidR="00482647">
        <w:t>damit</w:t>
      </w:r>
      <w:r w:rsidR="00C46ED4">
        <w:t xml:space="preserve"> sowieso nicht</w:t>
      </w:r>
      <w:r w:rsidR="00482647">
        <w:t>,</w:t>
      </w:r>
      <w:r w:rsidR="00C46ED4">
        <w:t xml:space="preserve"> </w:t>
      </w:r>
      <w:r w:rsidR="00482647">
        <w:t xml:space="preserve">wie gewohnt, fliegen kann. </w:t>
      </w:r>
      <w:r w:rsidR="00C167E9">
        <w:t>Der Aufbau</w:t>
      </w:r>
      <w:r w:rsidR="00C46ED4">
        <w:t xml:space="preserve"> einer</w:t>
      </w:r>
      <w:r w:rsidR="00C167E9">
        <w:t xml:space="preserve"> Biomethan</w:t>
      </w:r>
      <w:r w:rsidR="00C46ED4">
        <w:t>-Produktion</w:t>
      </w:r>
      <w:r w:rsidR="00C167E9">
        <w:t xml:space="preserve"> mag teils sinnvoll sein, wenn man dies etwas aus Klärschlamm und sonstigen kaum nutzbaren Dingen herstell</w:t>
      </w:r>
      <w:r w:rsidR="00872F84">
        <w:t>t</w:t>
      </w:r>
      <w:r w:rsidR="00C46ED4">
        <w:t>, aber dies könnte separat geregelt werden</w:t>
      </w:r>
      <w:r w:rsidR="005C1ABA">
        <w:t>, sprich: mit RED III werden falsche Prioritäten gesetzt.</w:t>
      </w:r>
      <w:r w:rsidR="00C167E9">
        <w:t xml:space="preserve"> </w:t>
      </w:r>
    </w:p>
    <w:p w14:paraId="4CC42A3A" w14:textId="77777777" w:rsidR="00C46ED4" w:rsidRDefault="00C46ED4" w:rsidP="00112190"/>
    <w:p w14:paraId="7C443FEF" w14:textId="4487AEAB" w:rsidR="00482647" w:rsidRDefault="00482647" w:rsidP="00112190">
      <w:r>
        <w:t xml:space="preserve">Die Ökodesign-Richtlinie mit Mindestanforderungen </w:t>
      </w:r>
      <w:r w:rsidR="00C167E9">
        <w:t xml:space="preserve">für fast alle Produkte </w:t>
      </w:r>
      <w:r w:rsidR="002B044D">
        <w:t xml:space="preserve">ist </w:t>
      </w:r>
      <w:r w:rsidR="00B3348C">
        <w:t>ebenso</w:t>
      </w:r>
      <w:r w:rsidR="005C1ABA">
        <w:t xml:space="preserve"> </w:t>
      </w:r>
      <w:r w:rsidR="00B3348C">
        <w:t>schwer zu schlucken</w:t>
      </w:r>
      <w:r>
        <w:t xml:space="preserve">. </w:t>
      </w:r>
      <w:r w:rsidR="002B044D">
        <w:t xml:space="preserve">Es kommt hier stark darauf, wie sie umgesetzt wird. </w:t>
      </w:r>
      <w:r>
        <w:t>Sinnvol</w:t>
      </w:r>
      <w:r w:rsidR="002B044D">
        <w:t>l</w:t>
      </w:r>
      <w:r>
        <w:t xml:space="preserve"> wäre es, den Aspekt der Recycelbarkeit der Inhaltsstoffe zu betonen (also Plastik oder Eisen in Zusammensetzungen, die nicht so minderwertig sind, dass sie nur noch entsorgt werden können bzw. das</w:t>
      </w:r>
      <w:r w:rsidR="00F62895">
        <w:t>s</w:t>
      </w:r>
      <w:r>
        <w:t xml:space="preserve"> Recycling </w:t>
      </w:r>
      <w:r w:rsidR="00F62895">
        <w:t xml:space="preserve">für möglichst viele Produkte </w:t>
      </w:r>
      <w:r>
        <w:t>wirklich genutzt werden kann)</w:t>
      </w:r>
      <w:r w:rsidR="00F62895">
        <w:t>.</w:t>
      </w:r>
      <w:r w:rsidR="002B044D">
        <w:t xml:space="preserve"> </w:t>
      </w:r>
      <w:r w:rsidR="00F62895">
        <w:t>D</w:t>
      </w:r>
      <w:r w:rsidR="002B044D">
        <w:t xml:space="preserve">ies bedarf aber </w:t>
      </w:r>
      <w:proofErr w:type="gramStart"/>
      <w:r w:rsidR="002B044D">
        <w:t>eine längeren Vorbereitung</w:t>
      </w:r>
      <w:proofErr w:type="gramEnd"/>
      <w:r w:rsidR="002B044D">
        <w:t xml:space="preserve"> und einen engen Austausch von Erfahrungen mit der derzeit </w:t>
      </w:r>
      <w:r w:rsidR="005C1ABA">
        <w:t xml:space="preserve">erst </w:t>
      </w:r>
      <w:r w:rsidR="002B044D">
        <w:t>entstehenden großtechnischen Recyclingindustrie</w:t>
      </w:r>
      <w:r>
        <w:t xml:space="preserve">. </w:t>
      </w:r>
      <w:r w:rsidR="00B3348C">
        <w:t>Die</w:t>
      </w:r>
      <w:r>
        <w:t xml:space="preserve"> Ökodesignrichtlinie </w:t>
      </w:r>
      <w:r w:rsidR="005C1ABA">
        <w:t>will auch</w:t>
      </w:r>
      <w:r w:rsidR="00B3348C">
        <w:t xml:space="preserve"> </w:t>
      </w:r>
      <w:r>
        <w:t>CO2 Vorgaben</w:t>
      </w:r>
      <w:r w:rsidR="005C1ABA">
        <w:t xml:space="preserve"> machen</w:t>
      </w:r>
      <w:r>
        <w:t xml:space="preserve">, </w:t>
      </w:r>
      <w:r w:rsidR="005C1ABA">
        <w:t xml:space="preserve">auch </w:t>
      </w:r>
      <w:r w:rsidR="00B3348C">
        <w:t>für ausländische Produkt</w:t>
      </w:r>
      <w:r w:rsidR="005C1ABA">
        <w:t>e</w:t>
      </w:r>
      <w:r w:rsidR="00B3348C">
        <w:t xml:space="preserve">, </w:t>
      </w:r>
      <w:r w:rsidR="005C1ABA">
        <w:t>dies ist</w:t>
      </w:r>
      <w:r w:rsidR="002B044D">
        <w:t xml:space="preserve"> </w:t>
      </w:r>
      <w:r>
        <w:t>eine Dopplung vo</w:t>
      </w:r>
      <w:r w:rsidR="00F62895">
        <w:t>m</w:t>
      </w:r>
      <w:r>
        <w:t xml:space="preserve"> CBAM</w:t>
      </w:r>
      <w:r w:rsidR="0006259A">
        <w:t xml:space="preserve">. </w:t>
      </w:r>
      <w:r w:rsidR="00B3348C">
        <w:t xml:space="preserve">Vielleicht ist die Ökodesignrichtlinien in dieser Hinsicht aber eine gute Vorbereitung für eine Ausdehnung des CBAM. </w:t>
      </w:r>
      <w:r w:rsidR="002B044D">
        <w:t xml:space="preserve">Mit der Ökodesign Richtlinie können </w:t>
      </w:r>
      <w:r w:rsidR="00B3348C">
        <w:t>allerdings</w:t>
      </w:r>
      <w:r w:rsidR="002B044D">
        <w:t xml:space="preserve"> nur Mindeststandards für CO2 festgelegt werden, die die allermeisten Produkte einhalten können</w:t>
      </w:r>
      <w:r w:rsidR="0006259A">
        <w:t>, das sonst</w:t>
      </w:r>
      <w:r w:rsidR="002B044D">
        <w:t xml:space="preserve"> </w:t>
      </w:r>
      <w:proofErr w:type="gramStart"/>
      <w:r w:rsidR="002B044D">
        <w:t>der internationale Handels</w:t>
      </w:r>
      <w:proofErr w:type="gramEnd"/>
      <w:r w:rsidR="002B044D">
        <w:t xml:space="preserve"> zusammenbrechen</w:t>
      </w:r>
      <w:r w:rsidR="0006259A">
        <w:t xml:space="preserve"> würde (denn </w:t>
      </w:r>
      <w:r w:rsidR="005C1ABA">
        <w:t xml:space="preserve">sonst </w:t>
      </w:r>
      <w:r w:rsidR="0006259A">
        <w:t xml:space="preserve">dürfen </w:t>
      </w:r>
      <w:r w:rsidR="005C1ABA">
        <w:t xml:space="preserve">diese Produkte nicht in der EU </w:t>
      </w:r>
      <w:r w:rsidR="0006259A">
        <w:t xml:space="preserve">in </w:t>
      </w:r>
      <w:r w:rsidR="005C1ABA">
        <w:t xml:space="preserve">den </w:t>
      </w:r>
      <w:r w:rsidR="0006259A">
        <w:t>Verkehr gebracht werden)</w:t>
      </w:r>
      <w:r w:rsidR="002B044D">
        <w:t xml:space="preserve">. </w:t>
      </w:r>
      <w:r w:rsidR="0006259A">
        <w:t xml:space="preserve">Diese </w:t>
      </w:r>
      <w:r w:rsidR="002B044D">
        <w:t>Mindeststandards</w:t>
      </w:r>
      <w:r w:rsidR="00B3348C">
        <w:t xml:space="preserve"> muss man somit sowieso an die</w:t>
      </w:r>
      <w:r w:rsidR="002B044D">
        <w:t xml:space="preserve"> Möglichkeiten der Industrie</w:t>
      </w:r>
      <w:r w:rsidR="0006259A">
        <w:t xml:space="preserve"> anpassen</w:t>
      </w:r>
      <w:r w:rsidR="002B044D">
        <w:t>, wie dies etwa in der Leitmärkte für klimafreundliche Grundstoffe Publikation des BMWK von 2024</w:t>
      </w:r>
      <w:r w:rsidR="00B3348C">
        <w:t>,</w:t>
      </w:r>
      <w:r w:rsidR="002B044D">
        <w:t xml:space="preserve"> auf S. 39, </w:t>
      </w:r>
      <w:r w:rsidR="00B3348C">
        <w:t>formuliert</w:t>
      </w:r>
      <w:r w:rsidR="0006259A">
        <w:t xml:space="preserve"> wird. </w:t>
      </w:r>
      <w:r w:rsidR="00F62895">
        <w:t>Damit</w:t>
      </w:r>
      <w:r w:rsidR="00B3348C">
        <w:t xml:space="preserve"> wäre die Ökodesign-Richtlinie eher</w:t>
      </w:r>
      <w:r w:rsidR="00F62895">
        <w:t xml:space="preserve"> ein Informationsbroschüre, </w:t>
      </w:r>
      <w:r w:rsidR="00B3348C">
        <w:t>ohne</w:t>
      </w:r>
      <w:r w:rsidR="005C1ABA">
        <w:t xml:space="preserve"> oder nur mit wenig</w:t>
      </w:r>
      <w:r w:rsidR="00F62895">
        <w:t xml:space="preserve"> lenkende</w:t>
      </w:r>
      <w:r w:rsidR="005C1ABA">
        <w:t>r</w:t>
      </w:r>
      <w:r w:rsidR="00F62895">
        <w:t xml:space="preserve"> Funktio</w:t>
      </w:r>
      <w:r w:rsidR="00B3348C">
        <w:t>n</w:t>
      </w:r>
      <w:r w:rsidR="00F62895">
        <w:t xml:space="preserve">. Die wäre nicht schlimm, sie würde dann </w:t>
      </w:r>
      <w:r w:rsidR="00424E87">
        <w:t xml:space="preserve">immerhin </w:t>
      </w:r>
      <w:r w:rsidR="00B3348C">
        <w:t>n</w:t>
      </w:r>
      <w:r w:rsidR="00F62895">
        <w:t xml:space="preserve">icht wirtschaftlich destruktiv wirken. </w:t>
      </w:r>
      <w:r w:rsidR="00B3348C">
        <w:t xml:space="preserve">Kurz: Die Ökodesign-Richtlinien </w:t>
      </w:r>
      <w:proofErr w:type="gramStart"/>
      <w:r w:rsidR="00B3348C">
        <w:t>wird</w:t>
      </w:r>
      <w:proofErr w:type="gramEnd"/>
      <w:r w:rsidR="00B3348C">
        <w:t xml:space="preserve"> in der Realität nicht viel Auswirkungen haben. Ein</w:t>
      </w:r>
      <w:r w:rsidR="00F62895">
        <w:t xml:space="preserve"> ‚langsam</w:t>
      </w:r>
      <w:r w:rsidR="00B3348C">
        <w:t>es</w:t>
      </w:r>
      <w:r w:rsidR="00F62895">
        <w:t xml:space="preserve"> </w:t>
      </w:r>
      <w:r w:rsidR="00B3348C">
        <w:t>A</w:t>
      </w:r>
      <w:r w:rsidR="00F62895">
        <w:t xml:space="preserve">npassen‘ </w:t>
      </w:r>
      <w:r w:rsidR="00B3348C">
        <w:t xml:space="preserve">und immer höher setzen der Mindeststandards ist zudem </w:t>
      </w:r>
      <w:proofErr w:type="gramStart"/>
      <w:r w:rsidR="00F62895">
        <w:t>aus folgenden</w:t>
      </w:r>
      <w:proofErr w:type="gramEnd"/>
      <w:r w:rsidR="00F62895">
        <w:t xml:space="preserve"> Gründen </w:t>
      </w:r>
      <w:r w:rsidR="00B3348C">
        <w:t>problematisch</w:t>
      </w:r>
      <w:r w:rsidR="00F62895">
        <w:t>:</w:t>
      </w:r>
      <w:r w:rsidR="0006259A">
        <w:t xml:space="preserve"> </w:t>
      </w:r>
      <w:r w:rsidR="00F62895">
        <w:t>I</w:t>
      </w:r>
      <w:r w:rsidR="0006259A">
        <w:t xml:space="preserve">n der Energiewende sind kontinuierliche Übergänge </w:t>
      </w:r>
      <w:r w:rsidR="00424E87">
        <w:t>schwer</w:t>
      </w:r>
      <w:r w:rsidR="0006259A">
        <w:t xml:space="preserve"> zu realisieren (außer man hätte ganz viel </w:t>
      </w:r>
      <w:proofErr w:type="gramStart"/>
      <w:r w:rsidR="0006259A">
        <w:t>CCS Möglichkeiten</w:t>
      </w:r>
      <w:proofErr w:type="gramEnd"/>
      <w:r w:rsidR="0006259A">
        <w:t xml:space="preserve"> zur Verfügung und könnte dosiert immer weniger CO2 verbrauchen)</w:t>
      </w:r>
      <w:r w:rsidR="00424E87">
        <w:t>. Wie dem auch sei, kontinuierliche Übergänge sind jedenfalls nicht sonderlich sinnvoll, denn d</w:t>
      </w:r>
      <w:r w:rsidR="0006259A">
        <w:t>er letzte Sprung zu einer CO2-neutralen bzw. Nullemissionen-Produktion bzw. ‚</w:t>
      </w:r>
      <w:proofErr w:type="spellStart"/>
      <w:r w:rsidR="0006259A">
        <w:t>near</w:t>
      </w:r>
      <w:proofErr w:type="spellEnd"/>
      <w:r w:rsidR="0006259A">
        <w:t xml:space="preserve"> </w:t>
      </w:r>
      <w:proofErr w:type="spellStart"/>
      <w:r w:rsidR="0006259A">
        <w:t>zero</w:t>
      </w:r>
      <w:proofErr w:type="spellEnd"/>
      <w:r w:rsidR="0006259A">
        <w:t xml:space="preserve">‘ ist ein größerer Sprung. Diesen Sprung kann die Ökodesign Richtlinie aber nicht vorgeben, </w:t>
      </w:r>
      <w:r w:rsidR="00F62895">
        <w:t>sonst würde sie eine Vielzahl von Produkten vom Markt nehmen und wirtschaftliches Chaos verursachen</w:t>
      </w:r>
      <w:r w:rsidR="00B3348C">
        <w:t xml:space="preserve">. Dies </w:t>
      </w:r>
      <w:r w:rsidR="0006259A">
        <w:t xml:space="preserve">die Aufgabe des EU Emissionshandelssystems ETS. </w:t>
      </w:r>
    </w:p>
    <w:p w14:paraId="2CE8D322" w14:textId="77777777" w:rsidR="00482647" w:rsidRDefault="00482647" w:rsidP="00112190"/>
    <w:p w14:paraId="32918158" w14:textId="7E178A04" w:rsidR="00D76302" w:rsidRDefault="00000AC7" w:rsidP="00112190">
      <w:r>
        <w:t>Gefallen ha</w:t>
      </w:r>
      <w:r w:rsidR="00B3348C">
        <w:t xml:space="preserve">t mir die Zunahmen von Flexibilität </w:t>
      </w:r>
      <w:r>
        <w:t xml:space="preserve">in den </w:t>
      </w:r>
      <w:r w:rsidR="00E823F2">
        <w:t xml:space="preserve">beihilferechtlichen </w:t>
      </w:r>
      <w:r>
        <w:t xml:space="preserve">Regulierungen, so hat die Kommission bei der beihilferechtlichen Bewertung der </w:t>
      </w:r>
      <w:proofErr w:type="spellStart"/>
      <w:r>
        <w:t>Important</w:t>
      </w:r>
      <w:proofErr w:type="spellEnd"/>
      <w:r>
        <w:t xml:space="preserve"> Projects </w:t>
      </w:r>
      <w:proofErr w:type="spellStart"/>
      <w:r>
        <w:t>of</w:t>
      </w:r>
      <w:proofErr w:type="spellEnd"/>
      <w:r>
        <w:t xml:space="preserve"> Common European Interest IPCEI </w:t>
      </w:r>
      <w:r w:rsidR="00424E87">
        <w:t xml:space="preserve">z.B. </w:t>
      </w:r>
      <w:r>
        <w:t xml:space="preserve">in Art. 4 Abs. 38 festgehalten, dass Beihilfen weitergezahlt werden können, wenn </w:t>
      </w:r>
      <w:r>
        <w:lastRenderedPageBreak/>
        <w:t>im Ausland auch Beihilfen eingesetzt werden.</w:t>
      </w:r>
      <w:r>
        <w:rPr>
          <w:rStyle w:val="Funotenzeichen"/>
        </w:rPr>
        <w:footnoteReference w:id="1757"/>
      </w:r>
      <w:r>
        <w:t xml:space="preserve"> Auch bei der Bewertung nationaler Beihilfen, </w:t>
      </w:r>
      <w:r w:rsidR="00424E87">
        <w:t xml:space="preserve">dem </w:t>
      </w:r>
      <w:r>
        <w:t xml:space="preserve">sog. KUEBLL, </w:t>
      </w:r>
      <w:r w:rsidRPr="00E823F2">
        <w:rPr>
          <w:b/>
          <w:bCs/>
        </w:rPr>
        <w:t xml:space="preserve">hat sich die </w:t>
      </w:r>
      <w:proofErr w:type="gramStart"/>
      <w:r w:rsidRPr="00E823F2">
        <w:rPr>
          <w:b/>
          <w:bCs/>
        </w:rPr>
        <w:t>EU Mühe</w:t>
      </w:r>
      <w:proofErr w:type="gramEnd"/>
      <w:r w:rsidRPr="00E823F2">
        <w:rPr>
          <w:b/>
          <w:bCs/>
        </w:rPr>
        <w:t xml:space="preserve"> gegeben, deutlich mehr Spielräume einzuräumen</w:t>
      </w:r>
      <w:r>
        <w:t xml:space="preserve">. Damit haben die einzelnen </w:t>
      </w:r>
      <w:proofErr w:type="gramStart"/>
      <w:r>
        <w:t>EU Mitgliedstaaten</w:t>
      </w:r>
      <w:proofErr w:type="gramEnd"/>
      <w:r>
        <w:t xml:space="preserve"> mehr </w:t>
      </w:r>
      <w:r w:rsidR="00B3348C">
        <w:t>Möglichkeiten</w:t>
      </w:r>
      <w:r>
        <w:t xml:space="preserve">, </w:t>
      </w:r>
      <w:r w:rsidR="00630E7E">
        <w:t xml:space="preserve">den Aufbau von Industrien zu fördern. </w:t>
      </w:r>
      <w:r w:rsidR="00D76302">
        <w:t xml:space="preserve">Dies gilt z.B. für die Solarindustrie, die derzeit </w:t>
      </w:r>
      <w:r w:rsidR="00B3348C">
        <w:t xml:space="preserve">in der EU </w:t>
      </w:r>
      <w:r w:rsidR="00D76302">
        <w:t>neu aufgebaut w</w:t>
      </w:r>
      <w:r w:rsidR="00B3348C">
        <w:t>erden soll</w:t>
      </w:r>
      <w:r w:rsidR="00424E87">
        <w:t>, bei der auch Subventionen gezahlt werden, die nicht öffentlich bekannt sind</w:t>
      </w:r>
      <w:r w:rsidR="00D76302">
        <w:t xml:space="preserve">. </w:t>
      </w:r>
    </w:p>
    <w:p w14:paraId="2DB2248F" w14:textId="77777777" w:rsidR="00D76302" w:rsidRDefault="00D76302" w:rsidP="00112190"/>
    <w:p w14:paraId="53A8B1FC" w14:textId="22CE779D" w:rsidR="00130912" w:rsidRDefault="00E823F2" w:rsidP="00130912">
      <w:r w:rsidRPr="003876A1">
        <w:rPr>
          <w:b/>
          <w:bCs/>
        </w:rPr>
        <w:t xml:space="preserve">Die IPCEIs, PCIs und PMIs etc. gefallen mir, weil die EU dadurch </w:t>
      </w:r>
      <w:r w:rsidR="00F62895">
        <w:rPr>
          <w:b/>
          <w:bCs/>
        </w:rPr>
        <w:t xml:space="preserve">viele </w:t>
      </w:r>
      <w:r w:rsidRPr="003876A1">
        <w:rPr>
          <w:b/>
          <w:bCs/>
        </w:rPr>
        <w:t>Entwicklung</w:t>
      </w:r>
      <w:r w:rsidR="00F62895">
        <w:rPr>
          <w:b/>
          <w:bCs/>
        </w:rPr>
        <w:t>en</w:t>
      </w:r>
      <w:r w:rsidRPr="003876A1">
        <w:rPr>
          <w:b/>
          <w:bCs/>
        </w:rPr>
        <w:t xml:space="preserve"> anstößt</w:t>
      </w:r>
      <w:r>
        <w:t>. Diese Projekte müssen nicht immer Großprojekte sein</w:t>
      </w:r>
      <w:r w:rsidR="00424E87">
        <w:t>, um sinnvoll zu sein</w:t>
      </w:r>
      <w:r>
        <w:t xml:space="preserve">. </w:t>
      </w:r>
      <w:r w:rsidR="00425AB3">
        <w:t>Es ist auffällig, dass di</w:t>
      </w:r>
      <w:r w:rsidR="00100EB0">
        <w:t xml:space="preserve">e </w:t>
      </w:r>
      <w:r w:rsidR="00425AB3">
        <w:t xml:space="preserve">EU </w:t>
      </w:r>
      <w:r w:rsidR="00100EB0">
        <w:t xml:space="preserve">in diesen Bereichen, etwa Solar-, Wind-, Batterien- und Wasserstoff </w:t>
      </w:r>
      <w:r w:rsidR="00425AB3">
        <w:t xml:space="preserve">eine große Dynamik </w:t>
      </w:r>
      <w:r w:rsidR="00100EB0">
        <w:t>erzeugt hat, durch groß angelegte Treffen von Politik, Forschung und Unternehmen</w:t>
      </w:r>
      <w:r w:rsidR="00424E87">
        <w:t>,</w:t>
      </w:r>
      <w:r w:rsidR="00100EB0">
        <w:t xml:space="preserve"> </w:t>
      </w:r>
      <w:r w:rsidR="00425AB3">
        <w:t>die sicher Wissensdiffusion, Forschung etc. befördert ha</w:t>
      </w:r>
      <w:r w:rsidR="00100EB0">
        <w:t>ben</w:t>
      </w:r>
      <w:r w:rsidR="00425AB3">
        <w:t>.</w:t>
      </w:r>
      <w:r w:rsidR="00353F84">
        <w:rPr>
          <w:rStyle w:val="Funotenzeichen"/>
        </w:rPr>
        <w:footnoteReference w:id="1758"/>
      </w:r>
      <w:r w:rsidR="00425AB3">
        <w:t xml:space="preserve"> </w:t>
      </w:r>
      <w:r w:rsidR="00C35BE1">
        <w:t xml:space="preserve">Siehe die </w:t>
      </w:r>
      <w:proofErr w:type="gramStart"/>
      <w:r w:rsidR="00C35BE1">
        <w:t>EU Solarcharta</w:t>
      </w:r>
      <w:proofErr w:type="gramEnd"/>
      <w:r w:rsidR="00C35BE1">
        <w:rPr>
          <w:rStyle w:val="Funotenzeichen"/>
        </w:rPr>
        <w:footnoteReference w:id="1759"/>
      </w:r>
      <w:r w:rsidR="00C35BE1">
        <w:t xml:space="preserve"> und die </w:t>
      </w:r>
      <w:proofErr w:type="gramStart"/>
      <w:r w:rsidR="00C35BE1">
        <w:t>EU Windkraftcharta</w:t>
      </w:r>
      <w:proofErr w:type="gramEnd"/>
      <w:r w:rsidR="00C35BE1">
        <w:t>.</w:t>
      </w:r>
      <w:r w:rsidR="00C35BE1">
        <w:rPr>
          <w:rStyle w:val="Funotenzeichen"/>
        </w:rPr>
        <w:footnoteReference w:id="1760"/>
      </w:r>
      <w:r w:rsidR="00C35BE1">
        <w:t xml:space="preserve"> </w:t>
      </w:r>
      <w:r w:rsidR="00130912">
        <w:t xml:space="preserve">In </w:t>
      </w:r>
      <w:r>
        <w:t xml:space="preserve">Europa </w:t>
      </w:r>
      <w:r w:rsidR="00130912">
        <w:t xml:space="preserve">passiert viel, dies zu zeigen, ist auch </w:t>
      </w:r>
      <w:r w:rsidR="00425AB3">
        <w:t xml:space="preserve">ein </w:t>
      </w:r>
      <w:r w:rsidR="00130912">
        <w:t xml:space="preserve">Sinn dieses Textes. Weiterhin ist </w:t>
      </w:r>
      <w:r>
        <w:t xml:space="preserve">zu beobachten, dass auf regionaler Ebene, jedenfalls in Deutschland, viel passiert </w:t>
      </w:r>
      <w:r w:rsidR="00424E87">
        <w:t>(und auch etwas schiefläuft). Es haben aber</w:t>
      </w:r>
      <w:r>
        <w:t xml:space="preserve"> viele </w:t>
      </w:r>
      <w:r w:rsidR="00130912">
        <w:t xml:space="preserve">kleinere </w:t>
      </w:r>
      <w:r>
        <w:t>Firmen Fähigkeiten erworben mit erneuerbaren Energien umzugehen, es gibt überall Wasserstoffprojekte, kleine Firmen bauen Wärmepumpen etc.</w:t>
      </w:r>
      <w:r w:rsidR="00F62895">
        <w:rPr>
          <w:rStyle w:val="Funotenzeichen"/>
        </w:rPr>
        <w:footnoteReference w:id="1761"/>
      </w:r>
      <w:r>
        <w:t xml:space="preserve"> </w:t>
      </w:r>
      <w:r w:rsidR="00425AB3">
        <w:t>Es gibt auch andere Schwerpunkt</w:t>
      </w:r>
      <w:r w:rsidR="00100EB0">
        <w:t>e</w:t>
      </w:r>
      <w:r w:rsidR="00425AB3">
        <w:t xml:space="preserve">, die aber auch sinnvoll erscheinen: </w:t>
      </w:r>
      <w:r w:rsidR="00130912">
        <w:t xml:space="preserve">Viele der </w:t>
      </w:r>
      <w:r w:rsidR="00100EB0">
        <w:t xml:space="preserve">dieser </w:t>
      </w:r>
      <w:proofErr w:type="gramStart"/>
      <w:r w:rsidR="00130912">
        <w:t>EU Projekt</w:t>
      </w:r>
      <w:r w:rsidR="00424E87">
        <w:t>e</w:t>
      </w:r>
      <w:proofErr w:type="gramEnd"/>
      <w:r w:rsidR="00424E87">
        <w:t xml:space="preserve"> widmen sich </w:t>
      </w:r>
      <w:r w:rsidR="00130912">
        <w:t>dem Stromnetzausbau z.B. in osteuropäischen Ländern, im Bereich Wasserstoff werden Pipelines gefördert, dies ist gut.</w:t>
      </w:r>
    </w:p>
    <w:p w14:paraId="14CE1FD6" w14:textId="77777777" w:rsidR="00E823F2" w:rsidRDefault="00E823F2" w:rsidP="00E823F2"/>
    <w:p w14:paraId="1A53F17B" w14:textId="2ED522EE" w:rsidR="003876A1" w:rsidRDefault="00F62895" w:rsidP="003876A1">
      <w:r>
        <w:t xml:space="preserve">Hier nochmal die Links zu den Beispielen, jeder kann sich selbst eine Meinung bilden: </w:t>
      </w:r>
      <w:r w:rsidR="003876A1">
        <w:t xml:space="preserve">Diese wurden oben im Text bereits erwähnt. </w:t>
      </w:r>
      <w:r w:rsidR="003876A1" w:rsidRPr="00601FCC">
        <w:rPr>
          <w:lang w:val="en-GB"/>
        </w:rPr>
        <w:t xml:space="preserve">Z.B. </w:t>
      </w:r>
      <w:proofErr w:type="spellStart"/>
      <w:r w:rsidR="003876A1" w:rsidRPr="00601FCC">
        <w:rPr>
          <w:lang w:val="en-GB"/>
        </w:rPr>
        <w:t>hier</w:t>
      </w:r>
      <w:proofErr w:type="spellEnd"/>
      <w:r w:rsidR="003876A1" w:rsidRPr="00601FCC">
        <w:rPr>
          <w:lang w:val="en-GB"/>
        </w:rPr>
        <w:t>.</w:t>
      </w:r>
      <w:r w:rsidR="003876A1">
        <w:rPr>
          <w:rStyle w:val="Funotenzeichen"/>
        </w:rPr>
        <w:footnoteReference w:id="1762"/>
      </w:r>
      <w:r w:rsidR="003876A1" w:rsidRPr="00601FCC">
        <w:rPr>
          <w:lang w:val="en-GB"/>
        </w:rPr>
        <w:t xml:space="preserve"> </w:t>
      </w:r>
      <w:r w:rsidR="003876A1" w:rsidRPr="00FC70DF">
        <w:rPr>
          <w:lang w:val="en-GB"/>
        </w:rPr>
        <w:t xml:space="preserve">Und </w:t>
      </w:r>
      <w:proofErr w:type="spellStart"/>
      <w:r w:rsidR="003876A1" w:rsidRPr="00FC70DF">
        <w:rPr>
          <w:lang w:val="en-GB"/>
        </w:rPr>
        <w:t>hier</w:t>
      </w:r>
      <w:proofErr w:type="spellEnd"/>
      <w:r w:rsidR="003876A1" w:rsidRPr="00FC70DF">
        <w:rPr>
          <w:lang w:val="en-GB"/>
        </w:rPr>
        <w:t xml:space="preserve"> Projects of Common Interest (PCIs) und Projects of Mutual Interest (PMIs). </w:t>
      </w:r>
      <w:r w:rsidR="003876A1">
        <w:t>Eine aktuelle Liste der mittlerweile 166 Projekte findet sich hier</w:t>
      </w:r>
      <w:r w:rsidR="003876A1">
        <w:rPr>
          <w:rStyle w:val="Funotenzeichen"/>
        </w:rPr>
        <w:footnoteReference w:id="1763"/>
      </w:r>
      <w:r w:rsidR="003876A1">
        <w:t>, bzw. als Direktlink hier.</w:t>
      </w:r>
      <w:r w:rsidR="003876A1">
        <w:rPr>
          <w:rStyle w:val="Funotenzeichen"/>
        </w:rPr>
        <w:footnoteReference w:id="1764"/>
      </w:r>
      <w:r w:rsidR="003876A1">
        <w:t xml:space="preserve"> Der Modernisierungsfond hat seit seiner Gründung 2021 nun 9,69 Mrd. Euro ausgeschüttet, in Projekte, oft geht es um Netzausbau, Ladestationen etc. ärmerer EU-Staaten wie Bulgarien, Kroatien, Tschechei, Estland, Lettland, Litauen, Polen, Slowakei, mit Rumänien in führender Position mit 2,1 Mrd. Euro.</w:t>
      </w:r>
      <w:r w:rsidR="003876A1">
        <w:rPr>
          <w:rStyle w:val="Funotenzeichen"/>
        </w:rPr>
        <w:footnoteReference w:id="1765"/>
      </w:r>
      <w:r w:rsidR="003876A1">
        <w:t xml:space="preserve"> Eine Vielzahl konkreter Wasserstoffprojekte, darunter auch kleinere, aber interessante Forschungsprojekte, zum Thema Schiffstransport, Luftfahrt, Wasserstoffturbinen, Methan zu Wasserstoff Anlagen, etc. werden gezeigt in der folgenden Präsentation</w:t>
      </w:r>
      <w:r w:rsidR="003876A1">
        <w:rPr>
          <w:rStyle w:val="Funotenzeichen"/>
        </w:rPr>
        <w:footnoteReference w:id="1766"/>
      </w:r>
      <w:r w:rsidR="003876A1">
        <w:t>, erstellt zum Anlass der jährlichen European Hydrogen Week.</w:t>
      </w:r>
      <w:r w:rsidR="003876A1">
        <w:rPr>
          <w:rStyle w:val="Funotenzeichen"/>
        </w:rPr>
        <w:footnoteReference w:id="1767"/>
      </w:r>
      <w:r w:rsidR="003876A1">
        <w:t xml:space="preserve"> </w:t>
      </w:r>
    </w:p>
    <w:p w14:paraId="5760095C" w14:textId="77777777" w:rsidR="003876A1" w:rsidRDefault="003876A1" w:rsidP="00E823F2"/>
    <w:p w14:paraId="27C05CB6" w14:textId="27550AB8" w:rsidR="00130912" w:rsidRDefault="00130912" w:rsidP="00E823F2">
      <w:r>
        <w:lastRenderedPageBreak/>
        <w:t xml:space="preserve">Dennoch fällt bei </w:t>
      </w:r>
      <w:r w:rsidRPr="0054771A">
        <w:rPr>
          <w:u w:val="single"/>
        </w:rPr>
        <w:t>einzelnen Projekten</w:t>
      </w:r>
      <w:r>
        <w:t xml:space="preserve"> auf, </w:t>
      </w:r>
      <w:r w:rsidRPr="003876A1">
        <w:rPr>
          <w:b/>
          <w:bCs/>
        </w:rPr>
        <w:t>dass eine Förderung durch die EU nicht unbedingt nötig gewesen wäre</w:t>
      </w:r>
      <w:r>
        <w:t>, etwa bei Post-</w:t>
      </w:r>
      <w:proofErr w:type="spellStart"/>
      <w:r>
        <w:t>Combustion</w:t>
      </w:r>
      <w:proofErr w:type="spellEnd"/>
      <w:r>
        <w:t xml:space="preserve"> oder </w:t>
      </w:r>
      <w:proofErr w:type="spellStart"/>
      <w:r>
        <w:t>Oxyfuel</w:t>
      </w:r>
      <w:proofErr w:type="spellEnd"/>
      <w:r>
        <w:t>-Projekten der Zementindustrie, dies könnte sie selbst finanzieren. Ein weiteres Beispiel</w:t>
      </w:r>
      <w:r w:rsidR="00B07432">
        <w:t xml:space="preserve"> aus dem Bereich Chemie</w:t>
      </w:r>
      <w:r w:rsidR="00424E87">
        <w:t>, dies hätte BASF selbst bezahlen können</w:t>
      </w:r>
      <w:r>
        <w:t xml:space="preserve">: BASF bezahlt 25 Mill. Euro </w:t>
      </w:r>
      <w:r w:rsidR="00424E87">
        <w:t>für einen</w:t>
      </w:r>
      <w:r>
        <w:t xml:space="preserve"> neue</w:t>
      </w:r>
      <w:r w:rsidR="00424E87">
        <w:t>n</w:t>
      </w:r>
      <w:r>
        <w:t>, mittelgroßen Elektrolyseur in Ludwigshafen, 125 Mill. Euro zahlt Bund, Land und</w:t>
      </w:r>
      <w:r w:rsidR="00425AB3">
        <w:t xml:space="preserve"> </w:t>
      </w:r>
      <w:r>
        <w:t>die EU</w:t>
      </w:r>
      <w:r w:rsidR="00425AB3">
        <w:t>, die dieses Projekt als IPCEI Hy4CHem führt</w:t>
      </w:r>
      <w:r>
        <w:t>.</w:t>
      </w:r>
      <w:r>
        <w:rPr>
          <w:rStyle w:val="Funotenzeichen"/>
        </w:rPr>
        <w:footnoteReference w:id="1768"/>
      </w:r>
      <w:r>
        <w:t xml:space="preserve"> </w:t>
      </w:r>
    </w:p>
    <w:p w14:paraId="45DE0687" w14:textId="77777777" w:rsidR="00130912" w:rsidRDefault="00130912" w:rsidP="00E823F2"/>
    <w:p w14:paraId="6E20A501" w14:textId="019616D4" w:rsidR="002F1FC8" w:rsidRPr="00425AB3" w:rsidRDefault="003876A1" w:rsidP="002F1FC8">
      <w:r>
        <w:rPr>
          <w:b/>
          <w:bCs/>
        </w:rPr>
        <w:t>E</w:t>
      </w:r>
      <w:r w:rsidR="00E823F2" w:rsidRPr="003876A1">
        <w:rPr>
          <w:b/>
          <w:bCs/>
        </w:rPr>
        <w:t>in Plan, wie und wann der Neubau bzw. Umbau der großen Industriekomplexe</w:t>
      </w:r>
      <w:r w:rsidR="00424E87">
        <w:rPr>
          <w:b/>
          <w:bCs/>
        </w:rPr>
        <w:t xml:space="preserve"> der Chemie u.a. </w:t>
      </w:r>
      <w:r w:rsidR="00695FBD">
        <w:rPr>
          <w:b/>
          <w:bCs/>
        </w:rPr>
        <w:t>und auch Stahl</w:t>
      </w:r>
      <w:r w:rsidR="00424E87">
        <w:rPr>
          <w:b/>
          <w:bCs/>
        </w:rPr>
        <w:t xml:space="preserve"> </w:t>
      </w:r>
      <w:r w:rsidR="00E823F2" w:rsidRPr="003876A1">
        <w:rPr>
          <w:b/>
          <w:bCs/>
        </w:rPr>
        <w:t>gestartet und finanziert werden soll</w:t>
      </w:r>
      <w:r w:rsidR="00425AB3">
        <w:rPr>
          <w:b/>
          <w:bCs/>
        </w:rPr>
        <w:t>,</w:t>
      </w:r>
      <w:r>
        <w:rPr>
          <w:b/>
          <w:bCs/>
        </w:rPr>
        <w:t xml:space="preserve"> fehlt</w:t>
      </w:r>
      <w:r w:rsidR="002F1FC8">
        <w:rPr>
          <w:b/>
          <w:bCs/>
        </w:rPr>
        <w:t xml:space="preserve">. </w:t>
      </w:r>
      <w:r w:rsidR="002F1FC8">
        <w:t xml:space="preserve">Aus den frühen Ankündigungen des Green Deal spricht noch der Optimismus, </w:t>
      </w:r>
      <w:r w:rsidR="00425AB3">
        <w:t>dass die EU die gesamte</w:t>
      </w:r>
      <w:r w:rsidR="002F1FC8">
        <w:t xml:space="preserve"> Energiewende maßgeblich </w:t>
      </w:r>
      <w:r w:rsidR="00425AB3">
        <w:t>mit</w:t>
      </w:r>
      <w:r w:rsidR="002F1FC8">
        <w:t xml:space="preserve">finanzieren </w:t>
      </w:r>
      <w:r w:rsidR="00425AB3">
        <w:t>kann</w:t>
      </w:r>
      <w:r w:rsidR="002F1FC8">
        <w:t>, mit dem Ziel bis 2030 1000 Mrd. Investitionen zu mobilisieren.</w:t>
      </w:r>
      <w:r w:rsidR="002F1FC8">
        <w:rPr>
          <w:rStyle w:val="Funotenzeichen"/>
        </w:rPr>
        <w:footnoteReference w:id="1769"/>
      </w:r>
      <w:r w:rsidR="002F1FC8">
        <w:t xml:space="preserve"> Geschätzt wird, so die Pressemitteilung, dass der </w:t>
      </w:r>
      <w:proofErr w:type="gramStart"/>
      <w:r w:rsidR="002F1FC8">
        <w:t>EU Haushalt</w:t>
      </w:r>
      <w:proofErr w:type="gramEnd"/>
      <w:r w:rsidR="002F1FC8">
        <w:t xml:space="preserve"> von 2021 bis 2027 bzw. bis 2030 gerechnet 503 Mrd. Euro aufbringen kann, dazu kommt eine nationale Ko-Finanzierung von ca. 114 Mrd. Euro, sowie ca. 279 Mrd. Euro durch Kreditgarantieren durch </w:t>
      </w:r>
      <w:proofErr w:type="spellStart"/>
      <w:r w:rsidR="002F1FC8">
        <w:t>InvestEU</w:t>
      </w:r>
      <w:proofErr w:type="spellEnd"/>
      <w:r w:rsidR="002F1FC8">
        <w:t>. Der Emissionshandel bringt noch weitere 25 Mrd. Euro.</w:t>
      </w:r>
      <w:r w:rsidR="002F1FC8">
        <w:rPr>
          <w:rStyle w:val="Funotenzeichen"/>
        </w:rPr>
        <w:footnoteReference w:id="1770"/>
      </w:r>
      <w:r w:rsidR="00425AB3">
        <w:t xml:space="preserve"> Der Bericht von Mario Drahgi, siehe weiter unten, enthält einige weniger optimistische Statements, z.B. die Information, dass die EU ab 2028 erstmals Zinsen zahlen muss und sich dann die verfügbaren Gelder verringern</w:t>
      </w:r>
      <w:r w:rsidR="00425AB3" w:rsidRPr="00425AB3">
        <w:t>.”</w:t>
      </w:r>
      <w:r w:rsidR="00425AB3" w:rsidRPr="00425AB3">
        <w:rPr>
          <w:rStyle w:val="Funotenzeichen"/>
        </w:rPr>
        <w:t xml:space="preserve"> </w:t>
      </w:r>
      <w:r w:rsidR="00425AB3">
        <w:rPr>
          <w:rStyle w:val="Funotenzeichen"/>
        </w:rPr>
        <w:footnoteReference w:id="1771"/>
      </w:r>
      <w:r w:rsidR="00425AB3" w:rsidRPr="00425AB3">
        <w:t xml:space="preserve"> </w:t>
      </w:r>
      <w:r w:rsidR="00243804">
        <w:t>Nur ein Experte kann den Haushalt der EU sinnvoll einschätzen, dies will ich hier nicht versuchen</w:t>
      </w:r>
      <w:r w:rsidR="00FE37E4">
        <w:t xml:space="preserve">. Aus meiner Sicht </w:t>
      </w:r>
      <w:r w:rsidR="00243804">
        <w:t xml:space="preserve">ist </w:t>
      </w:r>
      <w:r w:rsidR="00FE37E4">
        <w:t>beides</w:t>
      </w:r>
      <w:r w:rsidR="00243804">
        <w:t xml:space="preserve"> möglich: dass die EU viel weniger zur Finanzierung der Energiewende beitragen wird, als gedacht, aber auch, dass die EU sich </w:t>
      </w:r>
      <w:r w:rsidR="00FE37E4">
        <w:t xml:space="preserve">noch einmal aufrafft </w:t>
      </w:r>
      <w:r w:rsidR="00243804">
        <w:t xml:space="preserve">und </w:t>
      </w:r>
      <w:r w:rsidR="00FE37E4">
        <w:t xml:space="preserve">mit </w:t>
      </w:r>
      <w:r w:rsidR="00243804">
        <w:t xml:space="preserve">einer ‚letzten‘ Kreditaufnahme </w:t>
      </w:r>
      <w:r w:rsidR="00FE37E4">
        <w:t xml:space="preserve">und </w:t>
      </w:r>
      <w:r w:rsidR="00100EB0">
        <w:t>mit ihren Banken, der</w:t>
      </w:r>
      <w:r w:rsidR="00FE37E4">
        <w:t xml:space="preserve"> EBRD</w:t>
      </w:r>
      <w:r w:rsidR="00FE37E4">
        <w:rPr>
          <w:rStyle w:val="Funotenzeichen"/>
        </w:rPr>
        <w:footnoteReference w:id="1772"/>
      </w:r>
      <w:r w:rsidR="00FE37E4">
        <w:t xml:space="preserve"> und der EIB</w:t>
      </w:r>
      <w:r w:rsidR="00FE37E4">
        <w:rPr>
          <w:rStyle w:val="Funotenzeichen"/>
        </w:rPr>
        <w:footnoteReference w:id="1773"/>
      </w:r>
      <w:r w:rsidR="00243804">
        <w:t xml:space="preserve">, doch noch zu einem zentralen Akteure der Energiewende </w:t>
      </w:r>
      <w:r w:rsidR="00100EB0">
        <w:t>wird</w:t>
      </w:r>
      <w:r w:rsidR="00243804">
        <w:t>, d</w:t>
      </w:r>
      <w:r w:rsidR="00100EB0">
        <w:t>er</w:t>
      </w:r>
      <w:r w:rsidR="00243804">
        <w:t xml:space="preserve"> den Umbau von größeren Industriekomplexen, </w:t>
      </w:r>
      <w:r w:rsidR="00100EB0">
        <w:t>sagen wir mal</w:t>
      </w:r>
      <w:r w:rsidR="00243804">
        <w:t xml:space="preserve"> </w:t>
      </w:r>
      <w:r w:rsidR="00FE37E4">
        <w:t>20 Stahlwerke und 20 Chemie</w:t>
      </w:r>
      <w:r w:rsidR="00100EB0">
        <w:t xml:space="preserve">parks </w:t>
      </w:r>
      <w:r w:rsidR="00FE37E4">
        <w:t>und zwar auch in Polen, der Tschechei, Ungarn, Rumänien etc.</w:t>
      </w:r>
      <w:r w:rsidR="00100EB0">
        <w:t xml:space="preserve"> </w:t>
      </w:r>
      <w:r w:rsidR="00100EB0" w:rsidRPr="00100EB0">
        <w:rPr>
          <w:b/>
          <w:bCs/>
        </w:rPr>
        <w:t xml:space="preserve">Auch diese Frage, ob die EU noch einmal eine große Geldsumme mobilisieren will, ist also </w:t>
      </w:r>
      <w:r w:rsidR="00100EB0">
        <w:rPr>
          <w:b/>
          <w:bCs/>
        </w:rPr>
        <w:t xml:space="preserve">noch </w:t>
      </w:r>
      <w:r w:rsidR="00100EB0" w:rsidRPr="00100EB0">
        <w:rPr>
          <w:b/>
          <w:bCs/>
        </w:rPr>
        <w:t>nicht geklärt</w:t>
      </w:r>
      <w:r w:rsidR="00100EB0">
        <w:t>.</w:t>
      </w:r>
      <w:r w:rsidR="00FE37E4">
        <w:t xml:space="preserve"> Dies hängt auch von den politischen Entscheidungen der Mitgliedstaaten ab.</w:t>
      </w:r>
      <w:r w:rsidR="00243804">
        <w:t xml:space="preserve"> </w:t>
      </w:r>
    </w:p>
    <w:p w14:paraId="38DAD300" w14:textId="77777777" w:rsidR="003876A1" w:rsidRPr="00425AB3" w:rsidRDefault="003876A1" w:rsidP="00112190"/>
    <w:p w14:paraId="2F7EA3D8" w14:textId="454B2DC4" w:rsidR="00630E7E" w:rsidRDefault="003876A1" w:rsidP="00630E7E">
      <w:bookmarkStart w:id="95" w:name="_Hlk198318156"/>
      <w:r>
        <w:t xml:space="preserve">Der klare und </w:t>
      </w:r>
      <w:r w:rsidR="00D76302">
        <w:t>detaillierte</w:t>
      </w:r>
      <w:r>
        <w:t xml:space="preserve"> </w:t>
      </w:r>
      <w:r w:rsidR="00630E7E">
        <w:t xml:space="preserve">Sonderbericht des Europäischen Rechnungshofes 11 / 2024: </w:t>
      </w:r>
      <w:r w:rsidR="00630E7E" w:rsidRPr="003B2BFC">
        <w:t>Die Industriepolitik der EU im Bereich erneuerbarer Wasserstoff</w:t>
      </w:r>
      <w:r w:rsidR="0054771A">
        <w:rPr>
          <w:rStyle w:val="Funotenzeichen"/>
        </w:rPr>
        <w:footnoteReference w:id="1774"/>
      </w:r>
      <w:r>
        <w:t xml:space="preserve"> </w:t>
      </w:r>
      <w:bookmarkEnd w:id="95"/>
      <w:r w:rsidR="00E7473E">
        <w:t>enthält</w:t>
      </w:r>
      <w:r>
        <w:t xml:space="preserve"> </w:t>
      </w:r>
      <w:r w:rsidR="004842C0">
        <w:t>speziell für Wasserstoff viel</w:t>
      </w:r>
      <w:r w:rsidR="0054771A">
        <w:t>e</w:t>
      </w:r>
      <w:r>
        <w:t xml:space="preserve"> Kritikpunkte</w:t>
      </w:r>
      <w:r w:rsidR="00B07432">
        <w:t>, die hier nicht alle reproduziert werden können</w:t>
      </w:r>
      <w:r>
        <w:t>.</w:t>
      </w:r>
      <w:r w:rsidR="0054771A">
        <w:t xml:space="preserve"> Schon das Produktionsziel von 10 Mill. Tonnen sei einfach </w:t>
      </w:r>
      <w:r w:rsidR="00B07432">
        <w:t>vom</w:t>
      </w:r>
      <w:r w:rsidR="0054771A">
        <w:t xml:space="preserve"> derzeitigen </w:t>
      </w:r>
      <w:proofErr w:type="gramStart"/>
      <w:r w:rsidR="0054771A">
        <w:t>EU Wasserstoffverbrauch</w:t>
      </w:r>
      <w:proofErr w:type="gramEnd"/>
      <w:r w:rsidR="0054771A">
        <w:t>, das aus Erdgas hergestellt wird, genommen worden</w:t>
      </w:r>
      <w:r w:rsidR="00B07432">
        <w:t>, ohne eine Bedarfsanalyse</w:t>
      </w:r>
      <w:r w:rsidR="0054771A">
        <w:t>. Das Ziel 40 GW Elektrolysekapazität aufzubauen, wurde von einer Wasserstoff Industrieorganisation genommen.</w:t>
      </w:r>
      <w:r w:rsidR="0054771A">
        <w:rPr>
          <w:rStyle w:val="Funotenzeichen"/>
        </w:rPr>
        <w:footnoteReference w:id="1775"/>
      </w:r>
      <w:r>
        <w:t xml:space="preserve"> </w:t>
      </w:r>
      <w:r w:rsidR="0054771A">
        <w:t xml:space="preserve">Dies ist aber eigentlich nur eine Randnotiz, da </w:t>
      </w:r>
      <w:r w:rsidR="00243804">
        <w:t>dies insofern entschuldbar ist, da die</w:t>
      </w:r>
      <w:r w:rsidR="0054771A">
        <w:t xml:space="preserve"> Mitteilung unter Zeitdruck geschrieben wurde. </w:t>
      </w:r>
    </w:p>
    <w:p w14:paraId="7334110A" w14:textId="77777777" w:rsidR="00630E7E" w:rsidRDefault="00630E7E" w:rsidP="00112190"/>
    <w:p w14:paraId="13BA535D" w14:textId="4B64AD75" w:rsidR="00100EB0" w:rsidRDefault="00243804" w:rsidP="00100EB0">
      <w:r>
        <w:lastRenderedPageBreak/>
        <w:t xml:space="preserve">Es gibt weitere substantielle Kritikpunkt des </w:t>
      </w:r>
      <w:r w:rsidR="0054771A">
        <w:t>Rechnungshofes</w:t>
      </w:r>
      <w:r>
        <w:t>, etwa, dass</w:t>
      </w:r>
      <w:r w:rsidR="0054771A">
        <w:t xml:space="preserve"> </w:t>
      </w:r>
      <w:r w:rsidR="0054771A" w:rsidRPr="0054771A">
        <w:rPr>
          <w:b/>
          <w:bCs/>
        </w:rPr>
        <w:t>das</w:t>
      </w:r>
      <w:r w:rsidR="00F5399B" w:rsidRPr="0054771A">
        <w:rPr>
          <w:b/>
          <w:bCs/>
        </w:rPr>
        <w:t xml:space="preserve"> </w:t>
      </w:r>
      <w:r w:rsidR="0054771A" w:rsidRPr="0054771A">
        <w:rPr>
          <w:b/>
          <w:bCs/>
        </w:rPr>
        <w:t>das Problem des hohen Preises von Wasserstoff nicht beachtet wird</w:t>
      </w:r>
      <w:r w:rsidR="0054771A">
        <w:t xml:space="preserve">, sprich: </w:t>
      </w:r>
      <w:r w:rsidR="00D76302">
        <w:t>Maßnahmen</w:t>
      </w:r>
      <w:r>
        <w:t xml:space="preserve"> der EU</w:t>
      </w:r>
      <w:r w:rsidR="00D76302">
        <w:t xml:space="preserve">, </w:t>
      </w:r>
      <w:r w:rsidR="00042C6D">
        <w:t xml:space="preserve">die direkt darauf ausgerichtet sind, </w:t>
      </w:r>
      <w:r w:rsidR="00D76302">
        <w:t>die Wettbewerbsfähigkeit von Wasserstoff zu erhöhen, fehlen.</w:t>
      </w:r>
      <w:r w:rsidR="00F5399B">
        <w:rPr>
          <w:rStyle w:val="Funotenzeichen"/>
        </w:rPr>
        <w:footnoteReference w:id="1776"/>
      </w:r>
      <w:r w:rsidR="00D76302">
        <w:t xml:space="preserve"> </w:t>
      </w:r>
      <w:r w:rsidR="0054771A">
        <w:t xml:space="preserve">Damit eng verbunden ist, dass </w:t>
      </w:r>
      <w:r w:rsidR="003876A1">
        <w:t>ein klares Konzept</w:t>
      </w:r>
      <w:r w:rsidR="0054771A">
        <w:t xml:space="preserve"> fehlt</w:t>
      </w:r>
      <w:r w:rsidR="003876A1">
        <w:t xml:space="preserve">, wie die </w:t>
      </w:r>
      <w:r w:rsidR="003876A1" w:rsidRPr="00BF7429">
        <w:rPr>
          <w:b/>
          <w:bCs/>
        </w:rPr>
        <w:t>Nachfrage z.B. für einen neuen Grundstoff wie Wasserstoff erhöht werden kann</w:t>
      </w:r>
      <w:r w:rsidR="0054771A">
        <w:t xml:space="preserve">. </w:t>
      </w:r>
      <w:r w:rsidR="003876A1">
        <w:t>Die</w:t>
      </w:r>
      <w:r w:rsidR="0054771A">
        <w:t xml:space="preserve"> EU hat zwar</w:t>
      </w:r>
      <w:r w:rsidR="003876A1">
        <w:t xml:space="preserve"> Verordnungen und Richtlinien</w:t>
      </w:r>
      <w:r w:rsidR="0054771A">
        <w:t xml:space="preserve"> verabschiedet, die die </w:t>
      </w:r>
      <w:r>
        <w:t xml:space="preserve">Nachfrage bzw. die </w:t>
      </w:r>
      <w:r w:rsidR="0054771A">
        <w:t xml:space="preserve">Nutzung von Wasserstoff erhöhen sollen, etwa </w:t>
      </w:r>
      <w:proofErr w:type="spellStart"/>
      <w:r w:rsidR="000A7FA6">
        <w:t>ReFuelEU</w:t>
      </w:r>
      <w:proofErr w:type="spellEnd"/>
      <w:r w:rsidR="000A7FA6">
        <w:t xml:space="preserve"> Aviation, hier geht es aber erst ab 2030-2031 darum, dass 1,2 % nicht biogene, synthetische Flugkraftstoffe zugemischt werden sollen, und in </w:t>
      </w:r>
      <w:r w:rsidR="003876A1">
        <w:t>RED III</w:t>
      </w:r>
      <w:r w:rsidR="000A7FA6">
        <w:t xml:space="preserve"> ist das große Ziel erhalten, dass 42,5 bzw. 45 % der Energien am Energiemix der EU durch erneuerbare Energien getragen werden sollen, und die Industrie soll 2030 42 % ihres Wasserstoffs nicht biogen bzw. synthetisch einsetzen (hier ist mir der Bezugswert nicht klar – es geht </w:t>
      </w:r>
      <w:r>
        <w:t xml:space="preserve">offenbar </w:t>
      </w:r>
      <w:r w:rsidR="000A7FA6">
        <w:t>um den derzeit eingesetzten Wasserstoff</w:t>
      </w:r>
      <w:r>
        <w:t xml:space="preserve"> – wenn dies so ist, ist es denkbar, dass dies recht einfach zu erreichen ist – dies ist dann aber keine Energiewende!</w:t>
      </w:r>
      <w:r w:rsidR="000A7FA6">
        <w:t xml:space="preserve">). Es </w:t>
      </w:r>
      <w:r>
        <w:t>bleibt jedenfalls</w:t>
      </w:r>
      <w:r w:rsidR="000A7FA6">
        <w:t xml:space="preserve"> unklar, ob die</w:t>
      </w:r>
      <w:r>
        <w:t xml:space="preserve"> bislang bestehenden </w:t>
      </w:r>
      <w:proofErr w:type="gramStart"/>
      <w:r>
        <w:t>EU Regulierungen</w:t>
      </w:r>
      <w:proofErr w:type="gramEnd"/>
      <w:r>
        <w:t xml:space="preserve"> </w:t>
      </w:r>
      <w:r w:rsidR="000A7FA6">
        <w:t xml:space="preserve">die Nachfrage so stark beschleunigen </w:t>
      </w:r>
      <w:r>
        <w:t>können</w:t>
      </w:r>
      <w:r w:rsidR="000A7FA6">
        <w:t>, wie die EU sich dies wünscht.</w:t>
      </w:r>
      <w:r w:rsidR="00E7473E">
        <w:rPr>
          <w:rStyle w:val="Funotenzeichen"/>
        </w:rPr>
        <w:footnoteReference w:id="1777"/>
      </w:r>
      <w:r w:rsidR="000A7FA6">
        <w:t xml:space="preserve"> </w:t>
      </w:r>
      <w:r>
        <w:t>Dazu kommen Unsicherheiten, wie hoch der Bedarf in Zukunft liegen mag.</w:t>
      </w:r>
      <w:r w:rsidR="003D64B8">
        <w:t xml:space="preserve"> </w:t>
      </w:r>
      <w:r w:rsidR="00100EB0">
        <w:t xml:space="preserve">Eine </w:t>
      </w:r>
      <w:r w:rsidR="003D64B8">
        <w:t xml:space="preserve">Nachfrageschätzung </w:t>
      </w:r>
      <w:r w:rsidR="00100EB0">
        <w:t xml:space="preserve">kommen etwa </w:t>
      </w:r>
      <w:r w:rsidR="003D64B8">
        <w:t>zum Schluss, dass nicht so viel Wasserstoff 2030 nachgefragt wird</w:t>
      </w:r>
      <w:r>
        <w:t>, wie die EU annimmt</w:t>
      </w:r>
      <w:r w:rsidR="003D64B8">
        <w:t>.</w:t>
      </w:r>
      <w:r w:rsidR="003D64B8">
        <w:rPr>
          <w:rStyle w:val="Funotenzeichen"/>
        </w:rPr>
        <w:footnoteReference w:id="1778"/>
      </w:r>
      <w:r w:rsidR="003D64B8">
        <w:t xml:space="preserve"> </w:t>
      </w:r>
      <w:r w:rsidR="00042C6D">
        <w:t>Durch</w:t>
      </w:r>
      <w:r>
        <w:t xml:space="preserve"> RED III </w:t>
      </w:r>
      <w:r w:rsidR="00100EB0">
        <w:t xml:space="preserve">wird die Nachfrage </w:t>
      </w:r>
      <w:proofErr w:type="gramStart"/>
      <w:r w:rsidR="00100EB0">
        <w:t>nach alle erneuerbaren Energien</w:t>
      </w:r>
      <w:proofErr w:type="gramEnd"/>
      <w:r w:rsidR="00100EB0">
        <w:t xml:space="preserve"> gefördert, auch Biogas, das nur begrenzt skalierbar ist, hier </w:t>
      </w:r>
      <w:r>
        <w:t>haben 5 Mitgliedstaaten die Ziele als unrealistisch eingestuft</w:t>
      </w:r>
      <w:r w:rsidR="000A7FA6">
        <w:t>.</w:t>
      </w:r>
      <w:r w:rsidR="000A7FA6">
        <w:rPr>
          <w:rStyle w:val="Funotenzeichen"/>
        </w:rPr>
        <w:footnoteReference w:id="1779"/>
      </w:r>
      <w:r w:rsidR="000A7FA6">
        <w:t xml:space="preserve"> </w:t>
      </w:r>
      <w:r w:rsidR="00100EB0">
        <w:t xml:space="preserve">An diesem Beispiel wird auch klar, </w:t>
      </w:r>
      <w:r w:rsidR="00100EB0" w:rsidRPr="00100EB0">
        <w:rPr>
          <w:b/>
          <w:bCs/>
        </w:rPr>
        <w:t>dass die EU-Mitgliedstaaten sich unterschiedlich stark engagieren</w:t>
      </w:r>
      <w:r w:rsidR="00100EB0">
        <w:t>. Einige Länder gehen voran: 80 % der angekündigten Elektrolyseurkapazität befindet sich in Dänemark, Deutschland, Spanien, Frankreich und den Niederlanden.</w:t>
      </w:r>
      <w:r w:rsidR="00100EB0">
        <w:rPr>
          <w:rStyle w:val="Funotenzeichen"/>
        </w:rPr>
        <w:footnoteReference w:id="1780"/>
      </w:r>
    </w:p>
    <w:p w14:paraId="7BAF9E34" w14:textId="77777777" w:rsidR="00100EB0" w:rsidRDefault="00100EB0" w:rsidP="003876A1"/>
    <w:p w14:paraId="49953294" w14:textId="24BDD635" w:rsidR="003876A1" w:rsidRDefault="00BF7429" w:rsidP="003876A1">
      <w:r>
        <w:t xml:space="preserve">Der Rechnungshof hält dazu fest, dass der EU </w:t>
      </w:r>
      <w:r w:rsidR="00243804">
        <w:t xml:space="preserve">ihre Ziele etwa in RED III nur schwer durchsetzen kann, weil </w:t>
      </w:r>
      <w:r w:rsidR="004264C4">
        <w:t>der Kommission nur</w:t>
      </w:r>
      <w:r w:rsidR="00243804">
        <w:t xml:space="preserve"> ein </w:t>
      </w:r>
      <w:r>
        <w:t>langwierige</w:t>
      </w:r>
      <w:r w:rsidR="00243804">
        <w:t>s</w:t>
      </w:r>
      <w:r>
        <w:t xml:space="preserve"> Vertragsverletzungsverfahren bleib</w:t>
      </w:r>
      <w:r w:rsidR="00243804">
        <w:t>t</w:t>
      </w:r>
      <w:r>
        <w:t xml:space="preserve">. Bis Juli 2028 muss </w:t>
      </w:r>
      <w:r w:rsidR="00243804">
        <w:t>die EU-Kommission einen</w:t>
      </w:r>
      <w:r>
        <w:t xml:space="preserve"> Bericht zu RED III vorgeleg</w:t>
      </w:r>
      <w:r w:rsidR="00243804">
        <w:t>en</w:t>
      </w:r>
      <w:r>
        <w:t>, ob die Ziele erreicht werden können.</w:t>
      </w:r>
      <w:r>
        <w:rPr>
          <w:rStyle w:val="Funotenzeichen"/>
        </w:rPr>
        <w:footnoteReference w:id="1781"/>
      </w:r>
      <w:r w:rsidR="003D64B8">
        <w:t xml:space="preserve"> </w:t>
      </w:r>
      <w:r w:rsidR="004264C4">
        <w:t xml:space="preserve">Es wird somit deutlich, </w:t>
      </w:r>
      <w:r w:rsidR="004264C4" w:rsidRPr="004264C4">
        <w:rPr>
          <w:b/>
          <w:bCs/>
        </w:rPr>
        <w:t xml:space="preserve">dass die EU gegenüber ihren Mitgliedstaaten nicht in allen Bereichen eine starke Durchsetzungskraft hat und dies </w:t>
      </w:r>
      <w:r w:rsidR="004264C4">
        <w:rPr>
          <w:b/>
          <w:bCs/>
        </w:rPr>
        <w:t>wurden durch</w:t>
      </w:r>
      <w:r w:rsidR="004264C4" w:rsidRPr="004264C4">
        <w:rPr>
          <w:b/>
          <w:bCs/>
        </w:rPr>
        <w:t xml:space="preserve"> de</w:t>
      </w:r>
      <w:r w:rsidR="004264C4">
        <w:rPr>
          <w:b/>
          <w:bCs/>
        </w:rPr>
        <w:t>n</w:t>
      </w:r>
      <w:r w:rsidR="004264C4" w:rsidRPr="004264C4">
        <w:rPr>
          <w:b/>
          <w:bCs/>
        </w:rPr>
        <w:t xml:space="preserve"> ‚</w:t>
      </w:r>
      <w:proofErr w:type="spellStart"/>
      <w:r w:rsidR="004264C4" w:rsidRPr="004264C4">
        <w:rPr>
          <w:b/>
          <w:bCs/>
        </w:rPr>
        <w:t>Governance</w:t>
      </w:r>
      <w:proofErr w:type="spellEnd"/>
      <w:r w:rsidR="004264C4" w:rsidRPr="004264C4">
        <w:rPr>
          <w:b/>
          <w:bCs/>
        </w:rPr>
        <w:t>-System für die Energieunion‘-Ansatz bewusst so beschlossen</w:t>
      </w:r>
      <w:r w:rsidR="004264C4">
        <w:rPr>
          <w:b/>
          <w:bCs/>
        </w:rPr>
        <w:t>, es geht um Kooperation und (auch monetäre) Hilfe</w:t>
      </w:r>
      <w:r w:rsidR="004264C4">
        <w:t xml:space="preserve">. Das ETS ist verbindlicher angelegt, aber auch das ETS kann politisch immer wieder beeinflusst werden. Die länderspezifischen Emissionsgrenzen für den Nicht-Industrie Emissionsbereich in der Effort Sharing Regulation sind nur bis 2025 festgelegt worden. Anders ist das CBAM gestrickt, es liegt ganz in den Händen der Kommission, hier gab es eine </w:t>
      </w:r>
      <w:proofErr w:type="spellStart"/>
      <w:r w:rsidR="004264C4">
        <w:t>Befugnisübertragung</w:t>
      </w:r>
      <w:proofErr w:type="spellEnd"/>
      <w:r w:rsidR="004264C4">
        <w:t xml:space="preserve"> für die </w:t>
      </w:r>
      <w:proofErr w:type="spellStart"/>
      <w:r w:rsidR="004264C4">
        <w:t>delegierten</w:t>
      </w:r>
      <w:proofErr w:type="spellEnd"/>
      <w:r w:rsidR="004264C4">
        <w:t xml:space="preserve"> Rechtsakte.</w:t>
      </w:r>
    </w:p>
    <w:p w14:paraId="5FDDAB71" w14:textId="77777777" w:rsidR="00C501FC" w:rsidRDefault="00C501FC" w:rsidP="00112190"/>
    <w:p w14:paraId="5C90A267" w14:textId="098FEC35" w:rsidR="00E7473E" w:rsidRDefault="00E7473E" w:rsidP="00E7473E">
      <w:r>
        <w:t xml:space="preserve">In Deutschland wird das Problem der Erhöhung der Nachfrage z.B. in der </w:t>
      </w:r>
      <w:bookmarkStart w:id="96" w:name="_Hlk198240225"/>
      <w:r>
        <w:t xml:space="preserve">Publikation BMWK Leitmärkte für klimafreundliche Rohstoffe, Mai 2024 </w:t>
      </w:r>
      <w:r w:rsidR="00322208">
        <w:t xml:space="preserve">diskutiert, hier </w:t>
      </w:r>
      <w:r>
        <w:t xml:space="preserve">werden viele Maßnahmen </w:t>
      </w:r>
      <w:r w:rsidR="00322208">
        <w:t>erwähnt</w:t>
      </w:r>
      <w:r>
        <w:t xml:space="preserve">, etwa Investitionsförderungen, die Klimaschutzverträge, Standards für CO2-arme und </w:t>
      </w:r>
      <w:proofErr w:type="spellStart"/>
      <w:r>
        <w:t>near</w:t>
      </w:r>
      <w:proofErr w:type="spellEnd"/>
      <w:r>
        <w:t>-zero Produkte, die Nutzung der öffentlichen Auftragsvergabe, um Nachfrage zu erhöhen, Mindestquoten für grüne Grundstoffe am Endprodukt (international gültig) sowie die Ökodesign-Richtlinie mit Mindestvorgaben u.a. für den CO2-Ausstoß von Produkten.</w:t>
      </w:r>
      <w:r>
        <w:rPr>
          <w:rStyle w:val="Funotenzeichen"/>
        </w:rPr>
        <w:footnoteReference w:id="1782"/>
      </w:r>
      <w:r>
        <w:t xml:space="preserve"> </w:t>
      </w:r>
      <w:bookmarkEnd w:id="96"/>
      <w:r>
        <w:t xml:space="preserve"> </w:t>
      </w:r>
    </w:p>
    <w:p w14:paraId="56A6F56E" w14:textId="77777777" w:rsidR="003B2BFC" w:rsidRDefault="003B2BFC" w:rsidP="00112190"/>
    <w:p w14:paraId="61800F4A" w14:textId="7F80ABAA" w:rsidR="00D76302" w:rsidRDefault="00D76302" w:rsidP="00D76302">
      <w:r>
        <w:t xml:space="preserve">Wie gut funktionieren die </w:t>
      </w:r>
      <w:proofErr w:type="gramStart"/>
      <w:r>
        <w:t>EU Programme</w:t>
      </w:r>
      <w:proofErr w:type="gramEnd"/>
      <w:r>
        <w:t xml:space="preserve"> in den Augen der Industrie? Die Stiftung </w:t>
      </w:r>
      <w:proofErr w:type="spellStart"/>
      <w:r>
        <w:t>KlimaWirtschaft</w:t>
      </w:r>
      <w:proofErr w:type="spellEnd"/>
      <w:r>
        <w:t xml:space="preserve"> nimmt die Position ein, dass der Aufbau von Industrien, die erneuerbare Energien produzieren, noch stärker durch staatliche Industriepolitik gefördert werden sollte. </w:t>
      </w:r>
      <w:r w:rsidRPr="00FE37E4">
        <w:rPr>
          <w:u w:val="single"/>
        </w:rPr>
        <w:t>Gefordert wird, dass es weniger Förderung für Forschung und auf einer nächsten Stufe für Demonstrationsprojekte</w:t>
      </w:r>
      <w:r>
        <w:t xml:space="preserve">, </w:t>
      </w:r>
      <w:r w:rsidRPr="000132DB">
        <w:rPr>
          <w:b/>
          <w:bCs/>
        </w:rPr>
        <w:t>sondern dass es Förderung auch direkt für die Produktion und den Markteintritt geben sollte</w:t>
      </w:r>
      <w:r>
        <w:t xml:space="preserve">. Dies sei immerhin bei den deutschen Carbon </w:t>
      </w:r>
      <w:proofErr w:type="spellStart"/>
      <w:r>
        <w:t>Contracts</w:t>
      </w:r>
      <w:proofErr w:type="spellEnd"/>
      <w:r>
        <w:t xml:space="preserve"> </w:t>
      </w:r>
      <w:proofErr w:type="spellStart"/>
      <w:r>
        <w:t>of</w:t>
      </w:r>
      <w:proofErr w:type="spellEnd"/>
      <w:r>
        <w:t xml:space="preserve"> </w:t>
      </w:r>
      <w:proofErr w:type="spellStart"/>
      <w:r>
        <w:t>Difference</w:t>
      </w:r>
      <w:proofErr w:type="spellEnd"/>
      <w:r>
        <w:t xml:space="preserve"> bzw. dem Doppelauktionsmodell im Bereich Wasserstoff der Fall und bei der europäischen Wasserstoffbank.</w:t>
      </w:r>
      <w:r w:rsidR="00FE37E4">
        <w:t xml:space="preserve"> Die European Investment Bank (EIB) als professional dargestellt, die auch Großprojekte gut durchführen würde, siehe zu diesen vier Sätzen hier.</w:t>
      </w:r>
      <w:r>
        <w:rPr>
          <w:rStyle w:val="Funotenzeichen"/>
        </w:rPr>
        <w:footnoteReference w:id="1783"/>
      </w:r>
      <w:r>
        <w:t xml:space="preserve"> In der USA würde die verarbeitende Industrie vom Inflation </w:t>
      </w:r>
      <w:proofErr w:type="spellStart"/>
      <w:r>
        <w:t>Reduction</w:t>
      </w:r>
      <w:proofErr w:type="spellEnd"/>
      <w:r>
        <w:t xml:space="preserve"> Act (IRA) direkter gefördert.</w:t>
      </w:r>
      <w:r>
        <w:rPr>
          <w:rStyle w:val="Funotenzeichen"/>
        </w:rPr>
        <w:footnoteReference w:id="1784"/>
      </w:r>
      <w:r w:rsidR="00322208">
        <w:t xml:space="preserve"> </w:t>
      </w:r>
      <w:r>
        <w:t>Euro Chamber, die europäische Interessenvertretung der Industrie</w:t>
      </w:r>
      <w:r w:rsidR="00322208">
        <w:t xml:space="preserve"> stellt es in seiner Publikation </w:t>
      </w:r>
      <w:proofErr w:type="spellStart"/>
      <w:r w:rsidR="00322208">
        <w:t>Good</w:t>
      </w:r>
      <w:proofErr w:type="spellEnd"/>
      <w:r w:rsidR="00322208">
        <w:t xml:space="preserve"> Bad and </w:t>
      </w:r>
      <w:proofErr w:type="spellStart"/>
      <w:r w:rsidR="00322208">
        <w:t>Ugly</w:t>
      </w:r>
      <w:proofErr w:type="spellEnd"/>
      <w:r w:rsidR="00322208">
        <w:t xml:space="preserve"> </w:t>
      </w:r>
      <w:proofErr w:type="spellStart"/>
      <w:r w:rsidR="00322208">
        <w:t>of</w:t>
      </w:r>
      <w:proofErr w:type="spellEnd"/>
      <w:r w:rsidR="00322208">
        <w:t xml:space="preserve"> </w:t>
      </w:r>
      <w:proofErr w:type="spellStart"/>
      <w:r w:rsidR="00322208">
        <w:t>the</w:t>
      </w:r>
      <w:proofErr w:type="spellEnd"/>
      <w:r w:rsidR="00322208">
        <w:t xml:space="preserve"> EU so dar: die Industriepolitik</w:t>
      </w:r>
      <w:r w:rsidR="000132DB">
        <w:t>, auch der Critical Raw Materials Act und der Net-Zero-Industry Act</w:t>
      </w:r>
      <w:r w:rsidR="00322208">
        <w:t xml:space="preserve"> </w:t>
      </w:r>
      <w:r w:rsidR="000132DB">
        <w:t xml:space="preserve">sind </w:t>
      </w:r>
      <w:proofErr w:type="spellStart"/>
      <w:r w:rsidR="000132DB">
        <w:t>good</w:t>
      </w:r>
      <w:proofErr w:type="spellEnd"/>
      <w:r w:rsidR="00322208">
        <w:t xml:space="preserve">, </w:t>
      </w:r>
      <w:r w:rsidR="000132DB">
        <w:t>insgesamt sollte aber</w:t>
      </w:r>
      <w:r w:rsidR="00322208">
        <w:t xml:space="preserve"> mehr die Wettbewerbsfähigkeit beachte</w:t>
      </w:r>
      <w:r w:rsidR="000132DB">
        <w:t>t werden</w:t>
      </w:r>
      <w:r w:rsidR="00322208">
        <w:t xml:space="preserve"> </w:t>
      </w:r>
      <w:r w:rsidR="00322208" w:rsidRPr="000132DB">
        <w:rPr>
          <w:b/>
          <w:bCs/>
        </w:rPr>
        <w:t xml:space="preserve">und viele der Verordnungen des Green Deal </w:t>
      </w:r>
      <w:r w:rsidR="000132DB">
        <w:rPr>
          <w:b/>
          <w:bCs/>
        </w:rPr>
        <w:t xml:space="preserve">sind </w:t>
      </w:r>
      <w:proofErr w:type="spellStart"/>
      <w:r w:rsidR="000132DB">
        <w:rPr>
          <w:b/>
          <w:bCs/>
        </w:rPr>
        <w:t>ugly</w:t>
      </w:r>
      <w:proofErr w:type="spellEnd"/>
      <w:r w:rsidR="000132DB">
        <w:rPr>
          <w:b/>
          <w:bCs/>
        </w:rPr>
        <w:t>, weil</w:t>
      </w:r>
      <w:r w:rsidR="00322208" w:rsidRPr="000132DB">
        <w:rPr>
          <w:b/>
          <w:bCs/>
        </w:rPr>
        <w:t xml:space="preserve"> zu detailreich</w:t>
      </w:r>
      <w:r w:rsidR="00322208">
        <w:t>.</w:t>
      </w:r>
      <w:r>
        <w:rPr>
          <w:rStyle w:val="Funotenzeichen"/>
        </w:rPr>
        <w:footnoteReference w:id="1785"/>
      </w:r>
      <w:r w:rsidR="007C34BA">
        <w:t xml:space="preserve"> Die Webseite </w:t>
      </w:r>
      <w:proofErr w:type="spellStart"/>
      <w:r w:rsidR="007C34BA">
        <w:t>Influence</w:t>
      </w:r>
      <w:proofErr w:type="spellEnd"/>
      <w:r w:rsidR="007C34BA">
        <w:t xml:space="preserve"> </w:t>
      </w:r>
      <w:proofErr w:type="spellStart"/>
      <w:r w:rsidR="007C34BA">
        <w:t>Map</w:t>
      </w:r>
      <w:proofErr w:type="spellEnd"/>
      <w:r w:rsidR="007C34BA">
        <w:t xml:space="preserve"> berichtet</w:t>
      </w:r>
      <w:r w:rsidR="001B00FF">
        <w:t xml:space="preserve"> Ergebnisse seiner eigenen </w:t>
      </w:r>
      <w:proofErr w:type="spellStart"/>
      <w:r w:rsidR="001B00FF">
        <w:t>LobbyMap</w:t>
      </w:r>
      <w:proofErr w:type="spellEnd"/>
      <w:r w:rsidR="001B00FF">
        <w:t xml:space="preserve"> </w:t>
      </w:r>
      <w:proofErr w:type="spellStart"/>
      <w:r w:rsidR="001B00FF">
        <w:t>Platform</w:t>
      </w:r>
      <w:proofErr w:type="spellEnd"/>
      <w:r w:rsidR="007C34BA">
        <w:t>, dass die Zustimmung zur Klimapolitik des Green Deal der EU in europäische Unternehmen zunimmt, obwohl auch festgestellt wird, dass die Narrative, dass die Energiewende die Wettbewerbsfähigkeit negativ beeinflusst, einen großen Einfluss auf das Programm der neuen Kommission und den Draghi-Report genommen hat.</w:t>
      </w:r>
      <w:r w:rsidR="007C34BA">
        <w:rPr>
          <w:rStyle w:val="Funotenzeichen"/>
        </w:rPr>
        <w:footnoteReference w:id="1786"/>
      </w:r>
    </w:p>
    <w:p w14:paraId="70FB4F40" w14:textId="77777777" w:rsidR="00D76302" w:rsidRDefault="00D76302" w:rsidP="00112190"/>
    <w:p w14:paraId="2053C87A" w14:textId="77777777" w:rsidR="00FE37E4" w:rsidRDefault="00322208" w:rsidP="000132DB">
      <w:r>
        <w:t>Weiterhin</w:t>
      </w:r>
      <w:r w:rsidR="00C501FC">
        <w:t xml:space="preserve"> wird berichtet, dass </w:t>
      </w:r>
      <w:proofErr w:type="gramStart"/>
      <w:r w:rsidR="00C501FC">
        <w:t>die Deutschland</w:t>
      </w:r>
      <w:proofErr w:type="gramEnd"/>
      <w:r w:rsidR="00C501FC">
        <w:t xml:space="preserve"> zu langsam Gelder abruft aus dem großen EU Programm Next Generation EU, mit dem Volumen von 806,9 Mrd. Euro (</w:t>
      </w:r>
      <w:proofErr w:type="spellStart"/>
      <w:r w:rsidR="00C501FC">
        <w:t>inflationsangepaßt</w:t>
      </w:r>
      <w:proofErr w:type="spellEnd"/>
      <w:r w:rsidR="00C501FC">
        <w:t>, anfangs waren es 750 Mrd. Euro).</w:t>
      </w:r>
      <w:r w:rsidR="00C501FC">
        <w:rPr>
          <w:rStyle w:val="Funotenzeichen"/>
        </w:rPr>
        <w:footnoteReference w:id="1787"/>
      </w:r>
      <w:r w:rsidR="008F2CE9">
        <w:t xml:space="preserve"> </w:t>
      </w:r>
    </w:p>
    <w:p w14:paraId="03DC5240" w14:textId="77777777" w:rsidR="00FE37E4" w:rsidRDefault="00FE37E4" w:rsidP="000132DB"/>
    <w:p w14:paraId="1F2E7BF8" w14:textId="0125159B" w:rsidR="00FE37E4" w:rsidRDefault="00AF4035" w:rsidP="000132DB">
      <w:r>
        <w:t>Der Rechnung</w:t>
      </w:r>
      <w:r w:rsidR="00D76302">
        <w:t>s</w:t>
      </w:r>
      <w:r>
        <w:t xml:space="preserve">hof hat sich aktuell zur neuen Ausrichtung des </w:t>
      </w:r>
      <w:proofErr w:type="gramStart"/>
      <w:r>
        <w:t>EU Haushalts</w:t>
      </w:r>
      <w:proofErr w:type="gramEnd"/>
      <w:r>
        <w:t xml:space="preserve"> </w:t>
      </w:r>
      <w:proofErr w:type="gramStart"/>
      <w:r>
        <w:t>zur Wort</w:t>
      </w:r>
      <w:proofErr w:type="gramEnd"/>
      <w:r>
        <w:t xml:space="preserve"> gemeldet und kritisiert, dass das Prinzip im Corona Aufbau Fond </w:t>
      </w:r>
      <w:r w:rsidR="004264C4">
        <w:t>‚</w:t>
      </w:r>
      <w:r>
        <w:t>Geld für nationale Regierungen im Gegenzug dazu, dass sich diese zu Reformen verpflichten</w:t>
      </w:r>
      <w:r w:rsidR="004264C4">
        <w:t>‘</w:t>
      </w:r>
      <w:r>
        <w:t xml:space="preserve"> nicht funktioniert hätte, </w:t>
      </w:r>
      <w:r w:rsidRPr="004264C4">
        <w:rPr>
          <w:b/>
          <w:bCs/>
        </w:rPr>
        <w:t>da es keine Rechenschaftspflicht und Rückverfolgbarkeit gegeben hat</w:t>
      </w:r>
      <w:r>
        <w:t xml:space="preserve">. Auch in anderen Bereichen hat es fehlerhafte Zahlungen gegeben, so seien 2023 im Bereich der Strukturbeihilfen 9,3 % der Zahlungen fehlerhaft gewesen. Ein Grund sei dafür sei aber auch gewesen, dass die Behörden durch die Verwaltung der Strukturbeihilfen und der Corona Fonds gleichzeitig </w:t>
      </w:r>
      <w:r w:rsidRPr="004264C4">
        <w:rPr>
          <w:u w:val="single"/>
        </w:rPr>
        <w:t>überfordert gewesen seien</w:t>
      </w:r>
      <w:r>
        <w:t>.</w:t>
      </w:r>
      <w:r>
        <w:rPr>
          <w:rStyle w:val="Funotenzeichen"/>
        </w:rPr>
        <w:footnoteReference w:id="1788"/>
      </w:r>
      <w:r w:rsidR="00322208">
        <w:t xml:space="preserve"> </w:t>
      </w:r>
    </w:p>
    <w:p w14:paraId="77A8A8B0" w14:textId="77777777" w:rsidR="00FE37E4" w:rsidRDefault="00FE37E4" w:rsidP="000132DB"/>
    <w:p w14:paraId="66F036D5" w14:textId="506B1D24" w:rsidR="00322208" w:rsidRPr="000132DB" w:rsidRDefault="00322208" w:rsidP="000132DB">
      <w:pPr>
        <w:rPr>
          <w:lang w:val="en-GB"/>
        </w:rPr>
      </w:pPr>
      <w:r w:rsidRPr="004264C4">
        <w:t>Das Europäische Parlament bemerk</w:t>
      </w:r>
      <w:r w:rsidR="000132DB" w:rsidRPr="004264C4">
        <w:t xml:space="preserve">t </w:t>
      </w:r>
      <w:r w:rsidR="004264C4" w:rsidRPr="004264C4">
        <w:t xml:space="preserve">am </w:t>
      </w:r>
      <w:r w:rsidR="000132DB" w:rsidRPr="004264C4">
        <w:t xml:space="preserve">16. </w:t>
      </w:r>
      <w:r w:rsidR="000132DB" w:rsidRPr="00EB1D02">
        <w:t>Februar 2023</w:t>
      </w:r>
      <w:r w:rsidRPr="00EB1D02">
        <w:t xml:space="preserve">, </w:t>
      </w:r>
      <w:r w:rsidRPr="00EB1D02">
        <w:rPr>
          <w:b/>
          <w:bCs/>
        </w:rPr>
        <w:t xml:space="preserve">dass </w:t>
      </w:r>
      <w:r w:rsidR="000132DB" w:rsidRPr="00EB1D02">
        <w:rPr>
          <w:b/>
          <w:bCs/>
        </w:rPr>
        <w:t xml:space="preserve">einige Länder mehr Möglichkeiten haben, staatliche Subventionen zu zahlen als andere, weiterhin würden </w:t>
      </w:r>
      <w:r w:rsidRPr="00EB1D02">
        <w:rPr>
          <w:b/>
          <w:bCs/>
        </w:rPr>
        <w:t xml:space="preserve">viele Fördergelder </w:t>
      </w:r>
      <w:r w:rsidR="000132DB" w:rsidRPr="00EB1D02">
        <w:rPr>
          <w:b/>
          <w:bCs/>
        </w:rPr>
        <w:t>nur von wenigen Ländern abgerufen</w:t>
      </w:r>
      <w:r w:rsidR="004264C4" w:rsidRPr="00EB1D02">
        <w:t>.</w:t>
      </w:r>
      <w:r w:rsidR="000132DB" w:rsidRPr="00EB1D02">
        <w:t xml:space="preserve"> </w:t>
      </w:r>
      <w:r w:rsidR="004264C4">
        <w:rPr>
          <w:lang w:val="en-GB"/>
        </w:rPr>
        <w:t>Z</w:t>
      </w:r>
      <w:r w:rsidR="000132DB" w:rsidRPr="000132DB">
        <w:rPr>
          <w:lang w:val="en-GB"/>
        </w:rPr>
        <w:t xml:space="preserve">ur </w:t>
      </w:r>
      <w:proofErr w:type="spellStart"/>
      <w:r w:rsidR="000132DB" w:rsidRPr="000132DB">
        <w:rPr>
          <w:lang w:val="en-GB"/>
        </w:rPr>
        <w:t>Industriepolitik</w:t>
      </w:r>
      <w:proofErr w:type="spellEnd"/>
      <w:r w:rsidR="000132DB" w:rsidRPr="000132DB">
        <w:rPr>
          <w:lang w:val="en-GB"/>
        </w:rPr>
        <w:t xml:space="preserve"> </w:t>
      </w:r>
      <w:proofErr w:type="spellStart"/>
      <w:r w:rsidR="000132DB" w:rsidRPr="000132DB">
        <w:rPr>
          <w:lang w:val="en-GB"/>
        </w:rPr>
        <w:t>wird</w:t>
      </w:r>
      <w:proofErr w:type="spellEnd"/>
      <w:r w:rsidR="000132DB" w:rsidRPr="000132DB">
        <w:rPr>
          <w:lang w:val="en-GB"/>
        </w:rPr>
        <w:t xml:space="preserve"> </w:t>
      </w:r>
      <w:proofErr w:type="spellStart"/>
      <w:r w:rsidR="000132DB" w:rsidRPr="000132DB">
        <w:rPr>
          <w:lang w:val="en-GB"/>
        </w:rPr>
        <w:t>gesagt</w:t>
      </w:r>
      <w:proofErr w:type="spellEnd"/>
      <w:r w:rsidR="000132DB" w:rsidRPr="000132DB">
        <w:rPr>
          <w:lang w:val="en-GB"/>
        </w:rPr>
        <w:t xml:space="preserve">: „Calls on the Commission to tailor its industrial strategy for competitiveness to the scaling-up and commercialisation of strategic technologies in the Union to bridge the gap between innovation and market deployment, by providing risk financing for early-stage technology and demonstration projects, and by developing </w:t>
      </w:r>
      <w:r w:rsidR="000132DB" w:rsidRPr="000132DB">
        <w:rPr>
          <w:lang w:val="en-GB"/>
        </w:rPr>
        <w:lastRenderedPageBreak/>
        <w:t>early value chains to provide support to commercial-scale, zero-emission technologies and other</w:t>
      </w:r>
      <w:r w:rsidR="000132DB">
        <w:rPr>
          <w:lang w:val="en-GB"/>
        </w:rPr>
        <w:t xml:space="preserve"> </w:t>
      </w:r>
      <w:r w:rsidR="000132DB" w:rsidRPr="000132DB">
        <w:rPr>
          <w:lang w:val="en-GB"/>
        </w:rPr>
        <w:t>environmentally sustainable products above others“</w:t>
      </w:r>
      <w:r w:rsidRPr="000132DB">
        <w:rPr>
          <w:lang w:val="en-GB"/>
        </w:rPr>
        <w:t>.</w:t>
      </w:r>
      <w:r>
        <w:rPr>
          <w:rStyle w:val="Funotenzeichen"/>
        </w:rPr>
        <w:footnoteReference w:id="1789"/>
      </w:r>
    </w:p>
    <w:p w14:paraId="25B6828D" w14:textId="77777777" w:rsidR="00A47A42" w:rsidRPr="0045135C" w:rsidRDefault="00A47A42" w:rsidP="00112190">
      <w:pPr>
        <w:rPr>
          <w:lang w:val="en-GB"/>
        </w:rPr>
      </w:pPr>
    </w:p>
    <w:p w14:paraId="6678C033" w14:textId="3F6DE81A" w:rsidR="00927457" w:rsidRDefault="00927457" w:rsidP="00112190">
      <w:r>
        <w:t>Ausblick auf 2024-2029</w:t>
      </w:r>
    </w:p>
    <w:p w14:paraId="5AD47F85" w14:textId="77777777" w:rsidR="00927457" w:rsidRDefault="00927457" w:rsidP="00112190"/>
    <w:p w14:paraId="2BF73B28" w14:textId="2100D4CF" w:rsidR="00112190" w:rsidRDefault="00654F89" w:rsidP="00112190">
      <w:r>
        <w:t xml:space="preserve">Die neuen </w:t>
      </w:r>
      <w:r w:rsidR="004264C4">
        <w:t>Vorhaben</w:t>
      </w:r>
      <w:r>
        <w:t xml:space="preserve"> in der EU im Rahmen der zweiten Amtszeit von Kommissionspräsidenten Ursula von der Leyen, </w:t>
      </w:r>
      <w:r w:rsidR="00DB6C81">
        <w:t xml:space="preserve">ab dem 1. Dezember </w:t>
      </w:r>
      <w:r>
        <w:t>2024</w:t>
      </w:r>
      <w:r w:rsidR="00DB6C81">
        <w:t xml:space="preserve"> bis </w:t>
      </w:r>
      <w:r>
        <w:t>2029, ändern an dieser generellen Tendenzwahrnehmung nicht viel:</w:t>
      </w:r>
    </w:p>
    <w:p w14:paraId="2D0342C7" w14:textId="77777777" w:rsidR="00654F89" w:rsidRDefault="00654F89" w:rsidP="00112190"/>
    <w:p w14:paraId="3FA2F7F8" w14:textId="3970BA46" w:rsidR="00DB6C81" w:rsidRDefault="00DB6C81" w:rsidP="00112190">
      <w:r>
        <w:t>Die Europawahl fand am 9. Juni 2024 in Deutschland statt. Der Bericht von Mario Draghi</w:t>
      </w:r>
      <w:r>
        <w:rPr>
          <w:rStyle w:val="Funotenzeichen"/>
        </w:rPr>
        <w:footnoteReference w:id="1790"/>
      </w:r>
      <w:r>
        <w:t xml:space="preserve"> wurde in der Übergangszeit veröffentlicht, am 9. September 2024. </w:t>
      </w:r>
    </w:p>
    <w:p w14:paraId="422366AF" w14:textId="77777777" w:rsidR="003551B1" w:rsidRDefault="003551B1" w:rsidP="00112190"/>
    <w:p w14:paraId="31023D30" w14:textId="30439574" w:rsidR="00424E87" w:rsidRDefault="00424E87" w:rsidP="00112190">
      <w:r>
        <w:t>Bericht von Mario Draghi</w:t>
      </w:r>
    </w:p>
    <w:p w14:paraId="10845131" w14:textId="77777777" w:rsidR="00424E87" w:rsidRDefault="00424E87" w:rsidP="00112190"/>
    <w:p w14:paraId="42FD0C97" w14:textId="01814D97" w:rsidR="003551B1" w:rsidRDefault="003551B1" w:rsidP="00112190">
      <w:r>
        <w:t>Der Draghi Bericht ist ein detailreicher, guter Bericht, aber er enthält letztlich keine Antwort auf die für mich brennenden Fragen bzw. Thesen:</w:t>
      </w:r>
    </w:p>
    <w:p w14:paraId="48C230FD" w14:textId="77777777" w:rsidR="003551B1" w:rsidRDefault="003551B1" w:rsidP="00112190"/>
    <w:p w14:paraId="6DC57BA5" w14:textId="6EC6C9D3" w:rsidR="003551B1" w:rsidRDefault="003551B1" w:rsidP="00112190">
      <w:r>
        <w:t xml:space="preserve">Wie baut man erneuerbare Energien so auf, dass wie mit der Wirtschaft sinnvoll gekoppelt werden können, sodass die Wirtschaft den Übergang schafft, obwohl die erneuerbaren Energien und der Wasserstoff und die Elektrolyseure auf einem etwa höheren Preisniveau liegen? </w:t>
      </w:r>
    </w:p>
    <w:p w14:paraId="719008EE" w14:textId="63F833A9" w:rsidR="003551B1" w:rsidRDefault="003551B1" w:rsidP="00112190">
      <w:r>
        <w:t xml:space="preserve">Wie baut man eine große europäische Solarindustrie von Null auf mindestens 40 % NZIA-Marktanteil auf? Wie erhöht man die Kapazität der europäische Windkraftindustrie? </w:t>
      </w:r>
    </w:p>
    <w:p w14:paraId="30BA10C2" w14:textId="128C7C2D" w:rsidR="003551B1" w:rsidRDefault="003551B1" w:rsidP="00112190">
      <w:r>
        <w:t xml:space="preserve">Wie schützt man diese Industrien konsequent vor chinesischer Konkurrenz, die ‚immer‘ billiger sein wird (bei Solar muss der Schutz erfolgen, bei paralleler Präsenz chinesischer Firmen auf dem Markt). </w:t>
      </w:r>
    </w:p>
    <w:p w14:paraId="760BEBCD" w14:textId="77777777" w:rsidR="00DB6C81" w:rsidRDefault="00DB6C81" w:rsidP="00112190"/>
    <w:p w14:paraId="49DA8223" w14:textId="369E8666" w:rsidR="003551B1" w:rsidRDefault="003551B1" w:rsidP="00112190">
      <w:r w:rsidRPr="003903B4">
        <w:rPr>
          <w:b/>
          <w:bCs/>
        </w:rPr>
        <w:t xml:space="preserve">Ich gehe </w:t>
      </w:r>
      <w:r w:rsidR="00695FBD">
        <w:rPr>
          <w:b/>
          <w:bCs/>
        </w:rPr>
        <w:t xml:space="preserve">hier </w:t>
      </w:r>
      <w:r w:rsidRPr="003903B4">
        <w:rPr>
          <w:b/>
          <w:bCs/>
        </w:rPr>
        <w:t xml:space="preserve">davon aus, </w:t>
      </w:r>
      <w:r w:rsidR="00424E87" w:rsidRPr="00424E87">
        <w:rPr>
          <w:u w:val="single"/>
        </w:rPr>
        <w:t>siehe die Rechnung in der Box</w:t>
      </w:r>
      <w:r w:rsidR="00424E87">
        <w:rPr>
          <w:b/>
          <w:bCs/>
        </w:rPr>
        <w:t xml:space="preserve">, </w:t>
      </w:r>
      <w:r w:rsidRPr="003903B4">
        <w:rPr>
          <w:b/>
          <w:bCs/>
        </w:rPr>
        <w:t>dass eine vollständige Subventionierung und Abfederung höherer Preisniveaus über viele Jahre durch Steuergelder nicht möglich ist</w:t>
      </w:r>
      <w:r>
        <w:t xml:space="preserve"> (auf Deutsch: Klimaschutzverträge für alle, schon für 15 Jahre, das ist nicht möglich). </w:t>
      </w:r>
      <w:r w:rsidR="00FE37E4">
        <w:t xml:space="preserve">Möglicherweise kann aber </w:t>
      </w:r>
      <w:r>
        <w:t xml:space="preserve">eine Anschubfinanzierung bzw. eine Subventionierung von ‚Projekten‘ in der Übergangsphase bis 2030 </w:t>
      </w:r>
      <w:r w:rsidR="00FE37E4">
        <w:t>begründet werden</w:t>
      </w:r>
      <w:r>
        <w:t>.</w:t>
      </w:r>
      <w:r w:rsidR="00FE37E4">
        <w:t xml:space="preserve"> Aber auch hier muss man sich fragen: die</w:t>
      </w:r>
      <w:r w:rsidR="00026A55">
        <w:t>s</w:t>
      </w:r>
      <w:r w:rsidR="00FE37E4">
        <w:t xml:space="preserve"> ändert auch nicht viel am Fakt, dass man eben auf ein etwas höheres Preisniveau springen muss, warum soll man dann dafür viele Steuergelder nutzen, wenn es eigentlich nur um die Frage der Koordination geht: wann passiert das?</w:t>
      </w:r>
    </w:p>
    <w:p w14:paraId="7F24D64D" w14:textId="77777777" w:rsidR="00680433" w:rsidRDefault="00680433" w:rsidP="00680433"/>
    <w:tbl>
      <w:tblPr>
        <w:tblStyle w:val="Tabellenraster"/>
        <w:tblW w:w="0" w:type="auto"/>
        <w:tblLook w:val="04A0" w:firstRow="1" w:lastRow="0" w:firstColumn="1" w:lastColumn="0" w:noHBand="0" w:noVBand="1"/>
      </w:tblPr>
      <w:tblGrid>
        <w:gridCol w:w="9062"/>
      </w:tblGrid>
      <w:tr w:rsidR="00680433" w14:paraId="49636113" w14:textId="77777777" w:rsidTr="00F826AB">
        <w:tc>
          <w:tcPr>
            <w:tcW w:w="9062" w:type="dxa"/>
          </w:tcPr>
          <w:p w14:paraId="433E5583" w14:textId="6A257C32" w:rsidR="00680433" w:rsidRDefault="00680433" w:rsidP="00F826AB">
            <w:r>
              <w:t>Bierdeckelrechnung: In Deutschland wurde 2020 14,3 Mill. Tonnen Erdöl-basiertes Naphtha und andere Erdölderivate in Steamcrackern aufgespalten, siehe Wasserstoff Kompass Chemische Industrie 2024, S. 2.</w:t>
            </w:r>
            <w:r>
              <w:rPr>
                <w:rStyle w:val="Funotenzeichen"/>
              </w:rPr>
              <w:footnoteReference w:id="1791"/>
            </w:r>
            <w:r>
              <w:t xml:space="preserve"> </w:t>
            </w:r>
            <w:r w:rsidRPr="007B6CDD">
              <w:t>Naphtha kostete 202</w:t>
            </w:r>
            <w:r w:rsidR="00262FF6" w:rsidRPr="007B6CDD">
              <w:t>4</w:t>
            </w:r>
            <w:r w:rsidRPr="007B6CDD">
              <w:t xml:space="preserve"> </w:t>
            </w:r>
            <w:r w:rsidR="00262FF6" w:rsidRPr="007B6CDD">
              <w:t>656</w:t>
            </w:r>
            <w:r w:rsidRPr="007B6CDD">
              <w:t xml:space="preserve"> US-Dollar pro Tonne.</w:t>
            </w:r>
            <w:r w:rsidR="00262FF6">
              <w:rPr>
                <w:rStyle w:val="Funotenzeichen"/>
              </w:rPr>
              <w:footnoteReference w:id="1792"/>
            </w:r>
            <w:r w:rsidRPr="007B6CDD">
              <w:t xml:space="preserve"> 14.300.000 * </w:t>
            </w:r>
            <w:r w:rsidR="00262FF6" w:rsidRPr="007B6CDD">
              <w:t>656</w:t>
            </w:r>
            <w:r w:rsidRPr="007B6CDD">
              <w:t xml:space="preserve"> = ca. </w:t>
            </w:r>
            <w:r w:rsidR="00262FF6" w:rsidRPr="007B6CDD">
              <w:t>9.380.800.000</w:t>
            </w:r>
            <w:r w:rsidRPr="007B6CDD">
              <w:t xml:space="preserve"> </w:t>
            </w:r>
            <w:r w:rsidR="00262FF6" w:rsidRPr="007B6CDD">
              <w:t xml:space="preserve">US-Dollar, das sind ca. 10 </w:t>
            </w:r>
            <w:r w:rsidRPr="007B6CDD">
              <w:t xml:space="preserve">Mrd. US-Dollar. </w:t>
            </w:r>
            <w:r>
              <w:t xml:space="preserve">Wäre grünes Naphtha nun </w:t>
            </w:r>
            <w:proofErr w:type="gramStart"/>
            <w:r>
              <w:t>4 mal</w:t>
            </w:r>
            <w:proofErr w:type="gramEnd"/>
            <w:r>
              <w:t xml:space="preserve"> so teuer, </w:t>
            </w:r>
            <w:r w:rsidRPr="00680433">
              <w:rPr>
                <w:u w:val="single"/>
              </w:rPr>
              <w:t>wäre das nicht der Untergang der Welt</w:t>
            </w:r>
            <w:r>
              <w:t xml:space="preserve">, aber es wären jedes Jahr </w:t>
            </w:r>
            <w:r w:rsidR="00262FF6">
              <w:t>40</w:t>
            </w:r>
            <w:r>
              <w:t xml:space="preserve"> Mrd. die man das Naphtha heruntersubventionieren müsste, um auf den Weltmarktpreis zu kommen, um es wettbewerbsfähig zu machen. Egal wie grob die Rechnung ist, die </w:t>
            </w:r>
            <w:r w:rsidRPr="009400CD">
              <w:rPr>
                <w:u w:val="single"/>
              </w:rPr>
              <w:t>Dimension</w:t>
            </w:r>
            <w:r>
              <w:t xml:space="preserve"> - jährlich - zweistellige </w:t>
            </w:r>
            <w:r>
              <w:lastRenderedPageBreak/>
              <w:t xml:space="preserve">Milliardensummen </w:t>
            </w:r>
            <w:r w:rsidR="00262FF6">
              <w:t>macht</w:t>
            </w:r>
            <w:r>
              <w:t xml:space="preserve"> deutlich, </w:t>
            </w:r>
            <w:r w:rsidR="00262FF6">
              <w:t xml:space="preserve">dass </w:t>
            </w:r>
            <w:r>
              <w:t>eine Heruntersubventionierung durch die Politik</w:t>
            </w:r>
            <w:r w:rsidR="00262FF6">
              <w:t xml:space="preserve"> offenkundig</w:t>
            </w:r>
            <w:r>
              <w:t xml:space="preserve"> </w:t>
            </w:r>
            <w:r w:rsidR="00262FF6">
              <w:t xml:space="preserve">in diesem Fall </w:t>
            </w:r>
            <w:r>
              <w:t xml:space="preserve">keinen Sinn </w:t>
            </w:r>
            <w:r w:rsidR="00262FF6">
              <w:t xml:space="preserve">macht </w:t>
            </w:r>
            <w:r>
              <w:t xml:space="preserve">und – dies sage ich als Nicht-Fachmann – </w:t>
            </w:r>
            <w:r w:rsidR="00262FF6">
              <w:t>eine</w:t>
            </w:r>
            <w:r>
              <w:t xml:space="preserve"> CAPEX Fö</w:t>
            </w:r>
            <w:r w:rsidR="00695FBD">
              <w:t>r</w:t>
            </w:r>
            <w:r>
              <w:t>derung bzw. eine Förderung der Investitionen</w:t>
            </w:r>
            <w:r w:rsidR="00262FF6">
              <w:t xml:space="preserve"> auch keinen Sinn macht</w:t>
            </w:r>
            <w:r>
              <w:t xml:space="preserve">, denn die Anlagen halten 30 bis 50 Jahre, es geht </w:t>
            </w:r>
            <w:r w:rsidR="00262FF6">
              <w:t>somit</w:t>
            </w:r>
            <w:r>
              <w:t xml:space="preserve"> allein um die Operationskosten OPEX, ob der Staat den Anlagenneubau nun subventioniert oder nicht spielt nachher für die Kosten keine Rolle, das Ethylen wird dadurch nicht billiger. Das </w:t>
            </w:r>
            <w:proofErr w:type="gramStart"/>
            <w:r>
              <w:t>einzige</w:t>
            </w:r>
            <w:proofErr w:type="gramEnd"/>
            <w:r>
              <w:t xml:space="preserve">, was durch die Hilfe des Staates natürlich verbessert werden kann, sind die Konditionen für den Kredit, den die Industrie </w:t>
            </w:r>
            <w:r w:rsidR="00262FF6">
              <w:t xml:space="preserve">für den Bau der neuen Anlagen </w:t>
            </w:r>
            <w:r>
              <w:t>aufnimmt … hier helfen aber schon partielle Subventionen oder auch nur Kreditgarantien</w:t>
            </w:r>
            <w:r w:rsidR="00262FF6">
              <w:t xml:space="preserve"> … für die Zeit danach ist aber </w:t>
            </w:r>
            <w:r w:rsidR="00262FF6" w:rsidRPr="00262FF6">
              <w:rPr>
                <w:u w:val="single"/>
              </w:rPr>
              <w:t>offensichtlich</w:t>
            </w:r>
            <w:r w:rsidR="00262FF6">
              <w:t xml:space="preserve"> ein </w:t>
            </w:r>
            <w:r w:rsidR="00262FF6" w:rsidRPr="00262FF6">
              <w:rPr>
                <w:b/>
                <w:bCs/>
              </w:rPr>
              <w:t xml:space="preserve">koordinierter Sprung </w:t>
            </w:r>
            <w:proofErr w:type="gramStart"/>
            <w:r w:rsidR="00262FF6" w:rsidRPr="00262FF6">
              <w:rPr>
                <w:b/>
                <w:bCs/>
              </w:rPr>
              <w:t>auf eine neues Preisniveau</w:t>
            </w:r>
            <w:proofErr w:type="gramEnd"/>
            <w:r w:rsidR="00262FF6" w:rsidRPr="00262FF6">
              <w:rPr>
                <w:b/>
                <w:bCs/>
              </w:rPr>
              <w:t xml:space="preserve"> nötig</w:t>
            </w:r>
            <w:r w:rsidR="00262FF6">
              <w:t>.</w:t>
            </w:r>
            <w:r>
              <w:t xml:space="preserve"> </w:t>
            </w:r>
          </w:p>
        </w:tc>
      </w:tr>
    </w:tbl>
    <w:p w14:paraId="658374CD" w14:textId="77777777" w:rsidR="00680433" w:rsidRDefault="00680433" w:rsidP="00112190"/>
    <w:p w14:paraId="4A6702D7" w14:textId="4CA86791" w:rsidR="003551B1" w:rsidRDefault="003551B1" w:rsidP="00112190">
      <w:r>
        <w:t xml:space="preserve">Der Draghi Bericht schließt: </w:t>
      </w:r>
      <w:r w:rsidR="00A86275">
        <w:t>W</w:t>
      </w:r>
      <w:r>
        <w:t>ir müssen meh</w:t>
      </w:r>
      <w:r w:rsidR="00AC5312">
        <w:t>r</w:t>
      </w:r>
      <w:r>
        <w:t xml:space="preserve"> Prioritäten setzen. </w:t>
      </w:r>
      <w:r w:rsidR="00AC5312">
        <w:t>Man muss die Politiken besser koordinieren und verbinden, etwa wie in den USA auch mit Steuererleichterungen</w:t>
      </w:r>
      <w:r>
        <w:t>.</w:t>
      </w:r>
      <w:r w:rsidR="00AC5312">
        <w:t xml:space="preserve"> Der gesetzgeberische Prozess ist zu lang, durchschnittlich 19 Monate. Mehr Gelder für Investitionen sollen u.a. durch Wirtschaftswachstum und eine Erhöhung der Produktivität erwirtschaftet werden.</w:t>
      </w:r>
      <w:r>
        <w:rPr>
          <w:rStyle w:val="Funotenzeichen"/>
        </w:rPr>
        <w:footnoteReference w:id="1793"/>
      </w:r>
      <w:r w:rsidR="00AC5312">
        <w:t xml:space="preserve"> </w:t>
      </w:r>
      <w:r w:rsidR="000C6DD7">
        <w:t xml:space="preserve">Um Prioritäten zu setzen wird ein </w:t>
      </w:r>
      <w:proofErr w:type="spellStart"/>
      <w:r w:rsidR="000C6DD7">
        <w:t>Competitiveness</w:t>
      </w:r>
      <w:proofErr w:type="spellEnd"/>
      <w:r w:rsidR="000C6DD7">
        <w:t xml:space="preserve"> </w:t>
      </w:r>
      <w:proofErr w:type="spellStart"/>
      <w:r w:rsidR="000C6DD7">
        <w:t>Coordination</w:t>
      </w:r>
      <w:proofErr w:type="spellEnd"/>
      <w:r w:rsidR="000C6DD7">
        <w:t xml:space="preserve"> Framework vorgeschlagen</w:t>
      </w:r>
      <w:r w:rsidR="00C3558C">
        <w:t xml:space="preserve">, das soll für die EU Ebene ‚EU </w:t>
      </w:r>
      <w:proofErr w:type="spellStart"/>
      <w:r w:rsidR="00C3558C">
        <w:t>Competitiveness</w:t>
      </w:r>
      <w:proofErr w:type="spellEnd"/>
      <w:r w:rsidR="00C3558C">
        <w:t xml:space="preserve"> </w:t>
      </w:r>
      <w:proofErr w:type="spellStart"/>
      <w:r w:rsidR="00C3558C">
        <w:t>Priorities</w:t>
      </w:r>
      <w:proofErr w:type="spellEnd"/>
      <w:r w:rsidR="00C3558C">
        <w:t xml:space="preserve">‘ ausfindig machen und vorschlagen und dies soll </w:t>
      </w:r>
      <w:r w:rsidR="002602E3">
        <w:t>auf der Basis von Art. 121 TFEU zwischen dem Rat der Europäischen und Union (Council) und dann auf höchster Ebene, im Europäischen Rat der Staats- und Regierungschefs (European Council) abgestimmt und beschlossen werden und dann in die gesamte Arbeit der EU einfließen</w:t>
      </w:r>
      <w:r w:rsidR="000C6DD7">
        <w:t>.</w:t>
      </w:r>
      <w:r w:rsidR="000C6DD7">
        <w:rPr>
          <w:rStyle w:val="Funotenzeichen"/>
        </w:rPr>
        <w:footnoteReference w:id="1794"/>
      </w:r>
      <w:r w:rsidR="000C6DD7">
        <w:t xml:space="preserve"> </w:t>
      </w:r>
      <w:r w:rsidR="00AC5312">
        <w:t>Energiepreise seien zu hoch, gezeigt an Daten bis 2023 (!).</w:t>
      </w:r>
      <w:r w:rsidR="00AC5312">
        <w:rPr>
          <w:rStyle w:val="Funotenzeichen"/>
        </w:rPr>
        <w:footnoteReference w:id="1795"/>
      </w:r>
      <w:r w:rsidR="00AC5312">
        <w:t xml:space="preserve"> Eine umfassende Zusammenarbeit zwischen Handelspolitik, Wett</w:t>
      </w:r>
      <w:r w:rsidR="00A86275">
        <w:t>be</w:t>
      </w:r>
      <w:r w:rsidR="00AC5312">
        <w:t>werbspolitik und rigoroses Monitoring soll stattfinden und Marktfehler ausmachen und dann soll</w:t>
      </w:r>
      <w:r w:rsidR="00A87AF4">
        <w:t>en die IPCEIs auf alle Bereiche von Innovationen ausgedehnt werden, die die europäische Wirtschaft weiterbringen.</w:t>
      </w:r>
      <w:r w:rsidR="00A87AF4">
        <w:rPr>
          <w:rStyle w:val="Funotenzeichen"/>
        </w:rPr>
        <w:footnoteReference w:id="1796"/>
      </w:r>
      <w:r w:rsidR="00A87AF4">
        <w:t xml:space="preserve"> Es sind große Steigerungen von Investitionen nötig.</w:t>
      </w:r>
      <w:r w:rsidR="00A87AF4">
        <w:rPr>
          <w:rStyle w:val="Funotenzeichen"/>
        </w:rPr>
        <w:footnoteReference w:id="1797"/>
      </w:r>
      <w:r w:rsidR="00A86275">
        <w:t xml:space="preserve"> Soziale Inklusion muss erhalten bleiben.</w:t>
      </w:r>
      <w:r w:rsidR="00A86275">
        <w:rPr>
          <w:rStyle w:val="Funotenzeichen"/>
        </w:rPr>
        <w:footnoteReference w:id="1798"/>
      </w:r>
      <w:r w:rsidR="00A86275">
        <w:t xml:space="preserve"> Eine Hyperglobalisierung sei nicht erwünscht.</w:t>
      </w:r>
      <w:r w:rsidR="00A86275">
        <w:rPr>
          <w:rStyle w:val="Funotenzeichen"/>
        </w:rPr>
        <w:footnoteReference w:id="1799"/>
      </w:r>
      <w:r w:rsidR="00A86275">
        <w:t xml:space="preserve"> Handelspolitik soll mit Industriepolitik abgestimmt werden, es ist sinnvoll Investitionen, etwa aus China zu beobachten.</w:t>
      </w:r>
      <w:r w:rsidR="00A86275">
        <w:rPr>
          <w:rStyle w:val="Funotenzeichen"/>
        </w:rPr>
        <w:footnoteReference w:id="1800"/>
      </w:r>
      <w:r w:rsidR="00A86275">
        <w:t xml:space="preserve"> </w:t>
      </w:r>
      <w:r w:rsidR="00927457">
        <w:t>Künstliche Intelligenz soll eingesetzt werden.</w:t>
      </w:r>
      <w:r w:rsidR="00927457">
        <w:rPr>
          <w:rStyle w:val="Funotenzeichen"/>
        </w:rPr>
        <w:footnoteReference w:id="1801"/>
      </w:r>
      <w:r w:rsidR="00927457">
        <w:t xml:space="preserve"> Wenn man den Computer- und Informationstechnikbereich ausklammert, ist die Produktivität in der EU doch auf einem ähnlichen Niveau wie die USA.</w:t>
      </w:r>
      <w:r w:rsidR="00927457">
        <w:rPr>
          <w:rStyle w:val="Funotenzeichen"/>
        </w:rPr>
        <w:footnoteReference w:id="1802"/>
      </w:r>
      <w:r w:rsidR="00927457">
        <w:t xml:space="preserve"> Im Bereich Digitales, Software, Computer haben die US-Firmen deutlich höhere Forschungs- und Entwicklungsausgaben.</w:t>
      </w:r>
      <w:r w:rsidR="00927457">
        <w:rPr>
          <w:rStyle w:val="Funotenzeichen"/>
        </w:rPr>
        <w:footnoteReference w:id="1803"/>
      </w:r>
      <w:r w:rsidR="00927457">
        <w:t xml:space="preserve"> Es gibt zu wenig Cluster und Förderung für </w:t>
      </w:r>
      <w:r w:rsidR="00167136">
        <w:t>High-Tech-Innovationen.</w:t>
      </w:r>
      <w:r w:rsidR="00167136">
        <w:rPr>
          <w:rStyle w:val="Funotenzeichen"/>
        </w:rPr>
        <w:footnoteReference w:id="1804"/>
      </w:r>
      <w:r w:rsidR="00167136">
        <w:t xml:space="preserve"> Der European Innovation Council (EIC) soll viel aktiver werden, wie das U.S. DARPA.</w:t>
      </w:r>
      <w:r w:rsidR="00167136">
        <w:rPr>
          <w:rStyle w:val="Funotenzeichen"/>
        </w:rPr>
        <w:footnoteReference w:id="1805"/>
      </w:r>
      <w:r w:rsidR="00167136">
        <w:t xml:space="preserve"> Quantencomputer werden zu 50 % in den USA finanziert, die EU Firmen erhalten 5 % der Gelder.</w:t>
      </w:r>
      <w:r w:rsidR="00167136">
        <w:rPr>
          <w:rStyle w:val="Funotenzeichen"/>
        </w:rPr>
        <w:footnoteReference w:id="1806"/>
      </w:r>
    </w:p>
    <w:p w14:paraId="202BD7B1" w14:textId="77777777" w:rsidR="003551B1" w:rsidRDefault="003551B1" w:rsidP="00112190"/>
    <w:p w14:paraId="169A3D42" w14:textId="3B022405" w:rsidR="00167136" w:rsidRPr="0045135C" w:rsidRDefault="00167136" w:rsidP="00FF28C3">
      <w:r>
        <w:t>Die EU ha</w:t>
      </w:r>
      <w:r w:rsidR="0042441C">
        <w:t>be</w:t>
      </w:r>
      <w:r>
        <w:t xml:space="preserve"> als einziger Raum der Welt eine ernsthafte </w:t>
      </w:r>
      <w:proofErr w:type="spellStart"/>
      <w:r>
        <w:t>Dekarbonisierungsgesetzgebung</w:t>
      </w:r>
      <w:proofErr w:type="spellEnd"/>
      <w:r>
        <w:t xml:space="preserve">. Die EU will ihre Treibhausgase bis 2030 um 55 % verringern, die USA will eine Verringerung von 50-52 % </w:t>
      </w:r>
      <w:r>
        <w:lastRenderedPageBreak/>
        <w:t>gegenüber des höheren 2005 Niveau, China hat keine genauen Ziele bis 2030. Die Kosten liegen bei 500 Mrd. für Chemie, Metalle, Gießereien und die Papierindustrie. 100 Mrd. braucht Luftfahrt und Schifffahrt.</w:t>
      </w:r>
      <w:r>
        <w:rPr>
          <w:rStyle w:val="Funotenzeichen"/>
        </w:rPr>
        <w:footnoteReference w:id="1807"/>
      </w:r>
      <w:r w:rsidR="0042441C">
        <w:t xml:space="preserve"> </w:t>
      </w:r>
      <w:r w:rsidR="0048023F">
        <w:t>Etwas später im Text werden höhere Summen genannt.</w:t>
      </w:r>
      <w:r w:rsidR="0048023F">
        <w:rPr>
          <w:rStyle w:val="Funotenzeichen"/>
        </w:rPr>
        <w:footnoteReference w:id="1808"/>
      </w:r>
      <w:r w:rsidR="0048023F">
        <w:t xml:space="preserve"> </w:t>
      </w:r>
      <w:r w:rsidR="0042441C">
        <w:t>Die Dekarbonisierung sei eine Chance um Energiepreise abzusenken, das Argument erfolgt ohne Daten.</w:t>
      </w:r>
      <w:r w:rsidR="0042441C">
        <w:rPr>
          <w:rStyle w:val="Funotenzeichen"/>
        </w:rPr>
        <w:footnoteReference w:id="1809"/>
      </w:r>
      <w:r w:rsidR="0042441C">
        <w:t xml:space="preserve"> Man m</w:t>
      </w:r>
      <w:r w:rsidR="00262FF6">
        <w:t>üsse</w:t>
      </w:r>
      <w:r w:rsidR="0042441C">
        <w:t xml:space="preserve"> China in bestimmten Bereichen, etwa E-Autos, einschränken oder ganz </w:t>
      </w:r>
      <w:r w:rsidR="00815215">
        <w:t>vom Markt ausschließen. Es wird eine Simulation der Europäischen Zentralbank zitiert, die besagt, dass wenn es so läuft wie bei Solar, die Produktion von E-Autos in der EU um 70 % fallen würde und der globale Marktanteil um 30 % fallen würde.</w:t>
      </w:r>
      <w:r w:rsidR="00815215">
        <w:rPr>
          <w:rStyle w:val="Funotenzeichen"/>
        </w:rPr>
        <w:footnoteReference w:id="1810"/>
      </w:r>
      <w:r w:rsidR="0042441C">
        <w:t xml:space="preserve"> </w:t>
      </w:r>
      <w:r w:rsidR="00815215">
        <w:t>Hohe Energiepreise u.a. Gaspreise werden u.a. auf fehlende Rohstoffquellen in Europa, aber auch strukturelle Gründe zurückgeführt, da</w:t>
      </w:r>
      <w:r w:rsidR="00B12417">
        <w:t>runter im Handel mit Rohstoffen, hier gibt es Untersuchungen der Preisspitzenbildung 2022 durch die ESMA, die unzureichende Regulierungen bei den Transaktionen feststellt und es sei so gewesen, dass sich Rohstoffpreise häufig an Erdgaspreisen orientiert hätten.</w:t>
      </w:r>
      <w:r w:rsidR="00B12417">
        <w:rPr>
          <w:rStyle w:val="Funotenzeichen"/>
        </w:rPr>
        <w:footnoteReference w:id="1811"/>
      </w:r>
      <w:r w:rsidR="00543253">
        <w:t xml:space="preserve"> Dies müsse man ändern.</w:t>
      </w:r>
      <w:r w:rsidR="00543253">
        <w:rPr>
          <w:rStyle w:val="Funotenzeichen"/>
        </w:rPr>
        <w:footnoteReference w:id="1812"/>
      </w:r>
      <w:r w:rsidR="00B12417">
        <w:t xml:space="preserve"> Es gibt Steuern und Gebühren auf Strom.</w:t>
      </w:r>
      <w:r w:rsidR="00B12417">
        <w:rPr>
          <w:rStyle w:val="Funotenzeichen"/>
        </w:rPr>
        <w:footnoteReference w:id="1813"/>
      </w:r>
      <w:r w:rsidR="00B12417">
        <w:t xml:space="preserve"> Auf S. 43 findet sich eine Abbildung mit Produktionskapazitäten erneuerbarer Energien weltweit.</w:t>
      </w:r>
      <w:r w:rsidR="00B12417">
        <w:rPr>
          <w:rStyle w:val="Funotenzeichen"/>
        </w:rPr>
        <w:footnoteReference w:id="1814"/>
      </w:r>
      <w:r w:rsidR="00B12417">
        <w:t xml:space="preserve"> Kosten für Solarzellen und Batterien seien in China viel billiger.</w:t>
      </w:r>
      <w:r w:rsidR="00B12417">
        <w:rPr>
          <w:rStyle w:val="Funotenzeichen"/>
        </w:rPr>
        <w:footnoteReference w:id="1815"/>
      </w:r>
      <w:r w:rsidR="00B12417">
        <w:t xml:space="preserve"> Die Energy Intensive Industries (EIIs)</w:t>
      </w:r>
      <w:r w:rsidR="00543253">
        <w:t xml:space="preserve">, Chemie, Stahl, </w:t>
      </w:r>
      <w:r w:rsidR="00FF28C3">
        <w:t>Keramik, Glass, Zement</w:t>
      </w:r>
      <w:r w:rsidR="00543253">
        <w:t>, Papier</w:t>
      </w:r>
      <w:r w:rsidR="00B12417">
        <w:t xml:space="preserve"> würden in China </w:t>
      </w:r>
      <w:r w:rsidR="00543253">
        <w:t>sehr stark subventioniert werden (am Beispiel Aluminium), und die EU braucht eine Wasserstoffherstellung bzw. und andere alternative Treibstoffe.</w:t>
      </w:r>
      <w:r w:rsidR="00543253">
        <w:rPr>
          <w:rStyle w:val="Funotenzeichen"/>
        </w:rPr>
        <w:footnoteReference w:id="1816"/>
      </w:r>
      <w:r w:rsidR="00FF28C3">
        <w:t xml:space="preserve"> </w:t>
      </w:r>
    </w:p>
    <w:p w14:paraId="72130371" w14:textId="77777777" w:rsidR="00167136" w:rsidRPr="0045135C" w:rsidRDefault="00167136" w:rsidP="00112190"/>
    <w:p w14:paraId="1A2823D1" w14:textId="7EA84360" w:rsidR="00543253" w:rsidRPr="00543253" w:rsidRDefault="00543253" w:rsidP="00543253">
      <w:pPr>
        <w:rPr>
          <w:lang w:val="en-GB"/>
        </w:rPr>
      </w:pPr>
      <w:proofErr w:type="spellStart"/>
      <w:r w:rsidRPr="00543253">
        <w:rPr>
          <w:lang w:val="en-GB"/>
        </w:rPr>
        <w:t>Gefordert</w:t>
      </w:r>
      <w:proofErr w:type="spellEnd"/>
      <w:r w:rsidRPr="00543253">
        <w:rPr>
          <w:lang w:val="en-GB"/>
        </w:rPr>
        <w:t xml:space="preserve"> </w:t>
      </w:r>
      <w:proofErr w:type="spellStart"/>
      <w:r w:rsidRPr="00543253">
        <w:rPr>
          <w:lang w:val="en-GB"/>
        </w:rPr>
        <w:t>wird</w:t>
      </w:r>
      <w:proofErr w:type="spellEnd"/>
      <w:r w:rsidRPr="00543253">
        <w:rPr>
          <w:lang w:val="en-GB"/>
        </w:rPr>
        <w:t xml:space="preserve"> </w:t>
      </w:r>
      <w:proofErr w:type="spellStart"/>
      <w:r w:rsidRPr="00543253">
        <w:rPr>
          <w:lang w:val="en-GB"/>
        </w:rPr>
        <w:t>ein</w:t>
      </w:r>
      <w:proofErr w:type="spellEnd"/>
      <w:r w:rsidRPr="00543253">
        <w:rPr>
          <w:lang w:val="en-GB"/>
        </w:rPr>
        <w:t xml:space="preserve"> stark </w:t>
      </w:r>
      <w:proofErr w:type="spellStart"/>
      <w:r w:rsidRPr="00543253">
        <w:rPr>
          <w:lang w:val="en-GB"/>
        </w:rPr>
        <w:t>subventionierter</w:t>
      </w:r>
      <w:proofErr w:type="spellEnd"/>
      <w:r w:rsidRPr="00543253">
        <w:rPr>
          <w:lang w:val="en-GB"/>
        </w:rPr>
        <w:t xml:space="preserve"> Aufbau </w:t>
      </w:r>
      <w:proofErr w:type="spellStart"/>
      <w:r w:rsidRPr="00543253">
        <w:rPr>
          <w:lang w:val="en-GB"/>
        </w:rPr>
        <w:t>erneuerbarer</w:t>
      </w:r>
      <w:proofErr w:type="spellEnd"/>
      <w:r w:rsidRPr="00543253">
        <w:rPr>
          <w:lang w:val="en-GB"/>
        </w:rPr>
        <w:t xml:space="preserve"> </w:t>
      </w:r>
      <w:proofErr w:type="spellStart"/>
      <w:r w:rsidRPr="00543253">
        <w:rPr>
          <w:lang w:val="en-GB"/>
        </w:rPr>
        <w:t>Energien</w:t>
      </w:r>
      <w:proofErr w:type="spellEnd"/>
      <w:r w:rsidRPr="00543253">
        <w:rPr>
          <w:lang w:val="en-GB"/>
        </w:rPr>
        <w:t>: „The second key goal is to accelerate decarbonisation in a cost-efficient way, leveraging all available solutions through a technology-neutral approach. This approach should include renewables, nuclear, hydrogen,</w:t>
      </w:r>
    </w:p>
    <w:p w14:paraId="10DE0095" w14:textId="63B200CF" w:rsidR="00543253" w:rsidRPr="00543253" w:rsidRDefault="00543253" w:rsidP="00543253">
      <w:pPr>
        <w:rPr>
          <w:lang w:val="en-GB"/>
        </w:rPr>
      </w:pPr>
      <w:r w:rsidRPr="00543253">
        <w:rPr>
          <w:lang w:val="en-GB"/>
        </w:rPr>
        <w:t xml:space="preserve">bioenergy and carbon capture, </w:t>
      </w:r>
      <w:proofErr w:type="gramStart"/>
      <w:r w:rsidRPr="00543253">
        <w:rPr>
          <w:lang w:val="en-GB"/>
        </w:rPr>
        <w:t>utilisation</w:t>
      </w:r>
      <w:proofErr w:type="gramEnd"/>
      <w:r w:rsidRPr="00543253">
        <w:rPr>
          <w:lang w:val="en-GB"/>
        </w:rPr>
        <w:t xml:space="preserve"> and storage, and should be backed by massive mobilisation</w:t>
      </w:r>
      <w:r>
        <w:rPr>
          <w:lang w:val="en-GB"/>
        </w:rPr>
        <w:t xml:space="preserve"> </w:t>
      </w:r>
      <w:r w:rsidRPr="00543253">
        <w:rPr>
          <w:lang w:val="en-GB"/>
        </w:rPr>
        <w:t>of both public</w:t>
      </w:r>
      <w:r>
        <w:rPr>
          <w:lang w:val="en-GB"/>
        </w:rPr>
        <w:t xml:space="preserve"> </w:t>
      </w:r>
      <w:r w:rsidRPr="00543253">
        <w:rPr>
          <w:lang w:val="en-GB"/>
        </w:rPr>
        <w:t>and private finance (based on the proposals laid out in the chapter on investment.</w:t>
      </w:r>
      <w:r>
        <w:rPr>
          <w:lang w:val="en-GB"/>
        </w:rPr>
        <w:t xml:space="preserve"> </w:t>
      </w:r>
      <w:r w:rsidRPr="00543253">
        <w:rPr>
          <w:lang w:val="en-GB"/>
        </w:rPr>
        <w:t>However, increasing the supply</w:t>
      </w:r>
      <w:r>
        <w:rPr>
          <w:lang w:val="en-GB"/>
        </w:rPr>
        <w:t xml:space="preserve"> </w:t>
      </w:r>
      <w:r w:rsidRPr="00543253">
        <w:rPr>
          <w:lang w:val="en-GB"/>
        </w:rPr>
        <w:t>of finance for clean energy deployment will not yield the desired results without increasing the pace of permitting</w:t>
      </w:r>
      <w:r>
        <w:rPr>
          <w:lang w:val="en-GB"/>
        </w:rPr>
        <w:t xml:space="preserve"> </w:t>
      </w:r>
      <w:r w:rsidRPr="00543253">
        <w:rPr>
          <w:lang w:val="en-GB"/>
        </w:rPr>
        <w:t>for installation. Different options are available to</w:t>
      </w:r>
      <w:r>
        <w:rPr>
          <w:lang w:val="en-GB"/>
        </w:rPr>
        <w:t xml:space="preserve"> </w:t>
      </w:r>
      <w:r w:rsidRPr="00543253">
        <w:rPr>
          <w:lang w:val="en-GB"/>
        </w:rPr>
        <w:t>reduce permitting delays for new energy projects. Systematically</w:t>
      </w:r>
      <w:r>
        <w:rPr>
          <w:lang w:val="en-GB"/>
        </w:rPr>
        <w:t xml:space="preserve"> </w:t>
      </w:r>
      <w:r w:rsidRPr="00543253">
        <w:rPr>
          <w:lang w:val="en-GB"/>
        </w:rPr>
        <w:t>implementing existing legislation can make a major difference: for example, several Member States have experienced</w:t>
      </w:r>
      <w:r>
        <w:rPr>
          <w:lang w:val="en-GB"/>
        </w:rPr>
        <w:t xml:space="preserve"> </w:t>
      </w:r>
      <w:r w:rsidRPr="00543253">
        <w:rPr>
          <w:lang w:val="en-GB"/>
        </w:rPr>
        <w:t>double-digit increases in the volume of permits issued for onshore wind since the entry into force of the Article</w:t>
      </w:r>
    </w:p>
    <w:p w14:paraId="2CD742B4" w14:textId="24F717EC" w:rsidR="00543253" w:rsidRPr="00543253" w:rsidRDefault="00543253" w:rsidP="00543253">
      <w:pPr>
        <w:rPr>
          <w:lang w:val="en-GB"/>
        </w:rPr>
      </w:pPr>
      <w:r w:rsidRPr="00543253">
        <w:rPr>
          <w:lang w:val="en-GB"/>
        </w:rPr>
        <w:t>122 Emergency Regulation. The report recommends extending acceleration measures and emergency</w:t>
      </w:r>
      <w:r>
        <w:rPr>
          <w:lang w:val="en-GB"/>
        </w:rPr>
        <w:t xml:space="preserve"> </w:t>
      </w:r>
      <w:r w:rsidRPr="00543253">
        <w:rPr>
          <w:lang w:val="en-GB"/>
        </w:rPr>
        <w:t>regulation</w:t>
      </w:r>
      <w:r>
        <w:rPr>
          <w:lang w:val="en-GB"/>
        </w:rPr>
        <w:t xml:space="preserve"> </w:t>
      </w:r>
      <w:r w:rsidRPr="00543253">
        <w:rPr>
          <w:lang w:val="en-GB"/>
        </w:rPr>
        <w:t>to heat networks, heat generators, and hydrogen and carbon capture and storage infrastructure.</w:t>
      </w:r>
      <w:r>
        <w:rPr>
          <w:lang w:val="en-GB"/>
        </w:rPr>
        <w:t>”</w:t>
      </w:r>
      <w:r>
        <w:rPr>
          <w:rStyle w:val="Funotenzeichen"/>
          <w:lang w:val="en-GB"/>
        </w:rPr>
        <w:footnoteReference w:id="1817"/>
      </w:r>
    </w:p>
    <w:p w14:paraId="3EA7F89C" w14:textId="77777777" w:rsidR="00543253" w:rsidRDefault="00543253" w:rsidP="00112190">
      <w:pPr>
        <w:rPr>
          <w:lang w:val="en-GB"/>
        </w:rPr>
      </w:pPr>
    </w:p>
    <w:p w14:paraId="249782F5" w14:textId="1F2D07D5" w:rsidR="0048023F" w:rsidRDefault="0048023F" w:rsidP="00112190">
      <w:pPr>
        <w:rPr>
          <w:lang w:val="en-GB"/>
        </w:rPr>
      </w:pPr>
      <w:r w:rsidRPr="00695FBD">
        <w:rPr>
          <w:b/>
          <w:bCs/>
          <w:lang w:val="en-GB"/>
        </w:rPr>
        <w:lastRenderedPageBreak/>
        <w:t xml:space="preserve">Das EU Budget sei </w:t>
      </w:r>
      <w:proofErr w:type="spellStart"/>
      <w:r w:rsidRPr="00695FBD">
        <w:rPr>
          <w:b/>
          <w:bCs/>
          <w:lang w:val="en-GB"/>
        </w:rPr>
        <w:t>allerdings</w:t>
      </w:r>
      <w:proofErr w:type="spellEnd"/>
      <w:r w:rsidRPr="00695FBD">
        <w:rPr>
          <w:b/>
          <w:bCs/>
          <w:lang w:val="en-GB"/>
        </w:rPr>
        <w:t xml:space="preserve"> </w:t>
      </w:r>
      <w:proofErr w:type="spellStart"/>
      <w:r w:rsidRPr="00695FBD">
        <w:rPr>
          <w:b/>
          <w:bCs/>
          <w:lang w:val="en-GB"/>
        </w:rPr>
        <w:t>relativ</w:t>
      </w:r>
      <w:proofErr w:type="spellEnd"/>
      <w:r w:rsidRPr="00695FBD">
        <w:rPr>
          <w:b/>
          <w:bCs/>
          <w:lang w:val="en-GB"/>
        </w:rPr>
        <w:t xml:space="preserve"> </w:t>
      </w:r>
      <w:proofErr w:type="spellStart"/>
      <w:r w:rsidRPr="00695FBD">
        <w:rPr>
          <w:b/>
          <w:bCs/>
          <w:lang w:val="en-GB"/>
        </w:rPr>
        <w:t>klein</w:t>
      </w:r>
      <w:proofErr w:type="spellEnd"/>
      <w:r w:rsidRPr="00695FBD">
        <w:rPr>
          <w:b/>
          <w:bCs/>
          <w:lang w:val="en-GB"/>
        </w:rPr>
        <w:t xml:space="preserve">, die 50 Programme </w:t>
      </w:r>
      <w:proofErr w:type="spellStart"/>
      <w:r w:rsidR="00262FF6" w:rsidRPr="00695FBD">
        <w:rPr>
          <w:b/>
          <w:bCs/>
          <w:lang w:val="en-GB"/>
        </w:rPr>
        <w:t>seien</w:t>
      </w:r>
      <w:proofErr w:type="spellEnd"/>
      <w:r w:rsidR="00262FF6" w:rsidRPr="00695FBD">
        <w:rPr>
          <w:b/>
          <w:bCs/>
          <w:lang w:val="en-GB"/>
        </w:rPr>
        <w:t xml:space="preserve"> </w:t>
      </w:r>
      <w:proofErr w:type="spellStart"/>
      <w:r w:rsidRPr="00695FBD">
        <w:rPr>
          <w:b/>
          <w:bCs/>
          <w:lang w:val="en-GB"/>
        </w:rPr>
        <w:t>fragmentiert</w:t>
      </w:r>
      <w:proofErr w:type="spellEnd"/>
      <w:r w:rsidRPr="00695FBD">
        <w:rPr>
          <w:b/>
          <w:bCs/>
          <w:lang w:val="en-GB"/>
        </w:rPr>
        <w:t xml:space="preserve"> und ab 2028 </w:t>
      </w:r>
      <w:proofErr w:type="spellStart"/>
      <w:r w:rsidRPr="00695FBD">
        <w:rPr>
          <w:b/>
          <w:bCs/>
          <w:lang w:val="en-GB"/>
        </w:rPr>
        <w:t>müss</w:t>
      </w:r>
      <w:r w:rsidR="00262FF6" w:rsidRPr="00695FBD">
        <w:rPr>
          <w:b/>
          <w:bCs/>
          <w:lang w:val="en-GB"/>
        </w:rPr>
        <w:t>t</w:t>
      </w:r>
      <w:r w:rsidRPr="00695FBD">
        <w:rPr>
          <w:b/>
          <w:bCs/>
          <w:lang w:val="en-GB"/>
        </w:rPr>
        <w:t>en</w:t>
      </w:r>
      <w:proofErr w:type="spellEnd"/>
      <w:r w:rsidRPr="00695FBD">
        <w:rPr>
          <w:b/>
          <w:bCs/>
          <w:lang w:val="en-GB"/>
        </w:rPr>
        <w:t xml:space="preserve"> Zinsen </w:t>
      </w:r>
      <w:proofErr w:type="spellStart"/>
      <w:r w:rsidRPr="00695FBD">
        <w:rPr>
          <w:b/>
          <w:bCs/>
          <w:lang w:val="en-GB"/>
        </w:rPr>
        <w:t>zurückgezahlt</w:t>
      </w:r>
      <w:proofErr w:type="spellEnd"/>
      <w:r w:rsidRPr="00695FBD">
        <w:rPr>
          <w:b/>
          <w:bCs/>
          <w:lang w:val="en-GB"/>
        </w:rPr>
        <w:t xml:space="preserve"> </w:t>
      </w:r>
      <w:proofErr w:type="spellStart"/>
      <w:r w:rsidRPr="00695FBD">
        <w:rPr>
          <w:b/>
          <w:bCs/>
          <w:lang w:val="en-GB"/>
        </w:rPr>
        <w:t>werden</w:t>
      </w:r>
      <w:proofErr w:type="spellEnd"/>
      <w:r w:rsidRPr="00695FBD">
        <w:rPr>
          <w:b/>
          <w:bCs/>
          <w:lang w:val="en-GB"/>
        </w:rPr>
        <w:t xml:space="preserve">, </w:t>
      </w:r>
      <w:proofErr w:type="spellStart"/>
      <w:r w:rsidRPr="00695FBD">
        <w:rPr>
          <w:b/>
          <w:bCs/>
          <w:lang w:val="en-GB"/>
        </w:rPr>
        <w:t>siehe</w:t>
      </w:r>
      <w:proofErr w:type="spellEnd"/>
      <w:r w:rsidRPr="00695FBD">
        <w:rPr>
          <w:b/>
          <w:bCs/>
          <w:lang w:val="en-GB"/>
        </w:rPr>
        <w:t xml:space="preserve"> d</w:t>
      </w:r>
      <w:r w:rsidR="000C6DD7" w:rsidRPr="00695FBD">
        <w:rPr>
          <w:b/>
          <w:bCs/>
          <w:lang w:val="en-GB"/>
        </w:rPr>
        <w:t xml:space="preserve">ieses </w:t>
      </w:r>
      <w:proofErr w:type="spellStart"/>
      <w:r w:rsidR="000C6DD7" w:rsidRPr="00695FBD">
        <w:rPr>
          <w:b/>
          <w:bCs/>
          <w:lang w:val="en-GB"/>
        </w:rPr>
        <w:t>Zitat</w:t>
      </w:r>
      <w:proofErr w:type="spellEnd"/>
      <w:r w:rsidR="000C6DD7" w:rsidRPr="000C6DD7">
        <w:rPr>
          <w:lang w:val="en-GB"/>
        </w:rPr>
        <w:t xml:space="preserve">: “At the same time, EU support for both public and private investment is constrained by the size of the EU budget, its lack of focus and a too conservative attitude to risk. The EU’s annual budget is small, amounting to just over 1% of EU GDP, while Member States’ budgets are collectively close to 50%. It is also not allocated towards the EU’s strategic priorities: despite attempts at reform, the shares of the 2021-2027 Multiannual Financial Framework (MFF) allocated to cohesion and the common agricultural policy are still 30.5% and 30.9%, respectively. Moreover, the EU budget is fragmented across close to 50 spending programmes, preventing EU financing from reaching sufficient scale for larger pan-European projects. Access to EU funding is complex and bureaucratic for private actors, and there is limited room to accommodate new policy priorities or respond to unforeseen developments. The capacity of the EU budget to mobilise private investment through risk-sharing instruments is also hampered by too little appetite for risk. The largest risk-sharing instrument currently in place is the </w:t>
      </w:r>
      <w:proofErr w:type="spellStart"/>
      <w:r w:rsidR="000C6DD7" w:rsidRPr="000C6DD7">
        <w:rPr>
          <w:lang w:val="en-GB"/>
        </w:rPr>
        <w:t>InvestEU</w:t>
      </w:r>
      <w:proofErr w:type="spellEnd"/>
      <w:r w:rsidR="000C6DD7" w:rsidRPr="000C6DD7">
        <w:rPr>
          <w:lang w:val="en-GB"/>
        </w:rPr>
        <w:t xml:space="preserve"> programme, but the implementing partners, such as the EIB Group, remain mostly focused on the lower-risk scope of investment. Finally, repayment of EU borrowing under the </w:t>
      </w:r>
      <w:proofErr w:type="spellStart"/>
      <w:r w:rsidR="000C6DD7" w:rsidRPr="000C6DD7">
        <w:rPr>
          <w:lang w:val="en-GB"/>
        </w:rPr>
        <w:t>NextGenerationEU</w:t>
      </w:r>
      <w:proofErr w:type="spellEnd"/>
      <w:r w:rsidR="000C6DD7" w:rsidRPr="000C6DD7">
        <w:rPr>
          <w:lang w:val="en-GB"/>
        </w:rPr>
        <w:t xml:space="preserve"> (NGEU) programme will start in 2028 and account for EUR 30 billion per year. Without a decision on new own resources, effective spending power at the EU level would be mechanically reduced by interest and principal repayments.”</w:t>
      </w:r>
      <w:r w:rsidR="000C6DD7" w:rsidRPr="000C6DD7">
        <w:rPr>
          <w:rStyle w:val="Funotenzeichen"/>
          <w:lang w:val="en-GB"/>
        </w:rPr>
        <w:t xml:space="preserve"> </w:t>
      </w:r>
      <w:r w:rsidR="000C6DD7">
        <w:rPr>
          <w:rStyle w:val="Funotenzeichen"/>
        </w:rPr>
        <w:footnoteReference w:id="1818"/>
      </w:r>
      <w:r w:rsidR="000C6DD7" w:rsidRPr="000C6DD7">
        <w:rPr>
          <w:lang w:val="en-GB"/>
        </w:rPr>
        <w:t xml:space="preserve"> </w:t>
      </w:r>
    </w:p>
    <w:p w14:paraId="44532B80" w14:textId="77777777" w:rsidR="0045135C" w:rsidRPr="0045135C" w:rsidRDefault="0045135C" w:rsidP="00112190">
      <w:pPr>
        <w:rPr>
          <w:lang w:val="en-GB"/>
        </w:rPr>
      </w:pPr>
    </w:p>
    <w:p w14:paraId="3A166A7D" w14:textId="1D9239F7" w:rsidR="00543253" w:rsidRPr="00543253" w:rsidRDefault="00543253" w:rsidP="00112190">
      <w:r w:rsidRPr="00543253">
        <w:t>Mehr Geld so</w:t>
      </w:r>
      <w:r>
        <w:t xml:space="preserve">ll in die </w:t>
      </w:r>
      <w:r w:rsidR="00FF28C3">
        <w:t xml:space="preserve">EIIs </w:t>
      </w:r>
      <w:r>
        <w:t xml:space="preserve">Chemieindustrie, Stahlindustrie, </w:t>
      </w:r>
      <w:r w:rsidR="00FF28C3">
        <w:t>Keramik, Gas, Zement</w:t>
      </w:r>
      <w:r>
        <w:t xml:space="preserve"> und Papierherstellung fließen.</w:t>
      </w:r>
      <w:r>
        <w:rPr>
          <w:rStyle w:val="Funotenzeichen"/>
        </w:rPr>
        <w:footnoteReference w:id="1819"/>
      </w:r>
      <w:r w:rsidR="0048023F">
        <w:t xml:space="preserve"> Siehe für einen Überblick der Märkte von kritische</w:t>
      </w:r>
      <w:r w:rsidR="00262FF6">
        <w:t>n</w:t>
      </w:r>
      <w:r w:rsidR="0048023F">
        <w:t xml:space="preserve"> Mineralien.</w:t>
      </w:r>
      <w:r w:rsidR="0048023F">
        <w:rPr>
          <w:rStyle w:val="Funotenzeichen"/>
        </w:rPr>
        <w:footnoteReference w:id="1820"/>
      </w:r>
    </w:p>
    <w:p w14:paraId="1207D279" w14:textId="77777777" w:rsidR="00543253" w:rsidRDefault="00543253" w:rsidP="00112190"/>
    <w:p w14:paraId="35DDBC30" w14:textId="5A6678B9" w:rsidR="00FF28C3" w:rsidRDefault="00FF28C3" w:rsidP="00FF28C3">
      <w:r w:rsidRPr="00FF28C3">
        <w:t xml:space="preserve">Teil B: Die EIIs werden teilweise als </w:t>
      </w:r>
      <w:proofErr w:type="spellStart"/>
      <w:r w:rsidRPr="00FF28C3">
        <w:t>hard-to-abate</w:t>
      </w:r>
      <w:proofErr w:type="spellEnd"/>
      <w:r w:rsidRPr="00FF28C3">
        <w:t xml:space="preserve"> eingestuft: “These </w:t>
      </w:r>
      <w:proofErr w:type="spellStart"/>
      <w:r w:rsidRPr="00FF28C3">
        <w:t>are</w:t>
      </w:r>
      <w:proofErr w:type="spellEnd"/>
      <w:r w:rsidRPr="00FF28C3">
        <w:t xml:space="preserve"> </w:t>
      </w:r>
      <w:proofErr w:type="spellStart"/>
      <w:r w:rsidRPr="00FF28C3">
        <w:t>activities</w:t>
      </w:r>
      <w:proofErr w:type="spellEnd"/>
      <w:r w:rsidRPr="00FF28C3">
        <w:t xml:space="preserve"> such </w:t>
      </w:r>
      <w:proofErr w:type="spellStart"/>
      <w:r w:rsidRPr="00FF28C3">
        <w:t>as</w:t>
      </w:r>
      <w:proofErr w:type="spellEnd"/>
      <w:r w:rsidRPr="00FF28C3">
        <w:t xml:space="preserve"> </w:t>
      </w:r>
      <w:proofErr w:type="spellStart"/>
      <w:r w:rsidRPr="00FF28C3">
        <w:t>cement</w:t>
      </w:r>
      <w:proofErr w:type="spellEnd"/>
      <w:r w:rsidRPr="00FF28C3">
        <w:t xml:space="preserve">, </w:t>
      </w:r>
      <w:proofErr w:type="spellStart"/>
      <w:r w:rsidRPr="00FF28C3">
        <w:t>glass</w:t>
      </w:r>
      <w:proofErr w:type="spellEnd"/>
      <w:r w:rsidRPr="00FF28C3">
        <w:t xml:space="preserve">, </w:t>
      </w:r>
      <w:proofErr w:type="spellStart"/>
      <w:r w:rsidRPr="00FF28C3">
        <w:t>steel</w:t>
      </w:r>
      <w:proofErr w:type="spellEnd"/>
      <w:r w:rsidRPr="00FF28C3">
        <w:t xml:space="preserve">, </w:t>
      </w:r>
      <w:proofErr w:type="spellStart"/>
      <w:r w:rsidRPr="00FF28C3">
        <w:t>chemicals</w:t>
      </w:r>
      <w:proofErr w:type="spellEnd"/>
      <w:r w:rsidRPr="00FF28C3">
        <w:t xml:space="preserve"> and </w:t>
      </w:r>
      <w:proofErr w:type="spellStart"/>
      <w:r w:rsidRPr="00FF28C3">
        <w:t>plastics</w:t>
      </w:r>
      <w:proofErr w:type="spellEnd"/>
      <w:r w:rsidRPr="00FF28C3">
        <w:t xml:space="preserve"> </w:t>
      </w:r>
      <w:proofErr w:type="spellStart"/>
      <w:r w:rsidRPr="00FF28C3">
        <w:t>production</w:t>
      </w:r>
      <w:proofErr w:type="spellEnd"/>
      <w:r w:rsidRPr="00FF28C3">
        <w:t>”</w:t>
      </w:r>
      <w:r>
        <w:rPr>
          <w:rStyle w:val="Funotenzeichen"/>
          <w:lang w:val="en-GB"/>
        </w:rPr>
        <w:footnoteReference w:id="1821"/>
      </w:r>
      <w:r w:rsidRPr="00FF28C3">
        <w:t xml:space="preserve"> Die EIIs h</w:t>
      </w:r>
      <w:r w:rsidR="00262FF6">
        <w:t>ätten</w:t>
      </w:r>
      <w:r w:rsidRPr="00FF28C3">
        <w:t xml:space="preserve"> relative hohe</w:t>
      </w:r>
      <w:r>
        <w:t xml:space="preserve"> Treibhausemissionen relativ zu ihrer Wirtschaftsleistung gesehen.</w:t>
      </w:r>
      <w:r>
        <w:rPr>
          <w:rStyle w:val="Funotenzeichen"/>
        </w:rPr>
        <w:footnoteReference w:id="1822"/>
      </w:r>
      <w:r w:rsidR="00B23E3D">
        <w:t xml:space="preserve"> Bis jetzt h</w:t>
      </w:r>
      <w:r w:rsidR="00262FF6">
        <w:t>ätten</w:t>
      </w:r>
      <w:r w:rsidR="00B23E3D">
        <w:t xml:space="preserve"> die EIIs keine hohen Kosten für Emissionszertifikate gehabt, die Stahlindustrie etwa 2 % ihrer Produktionskosten (2019).</w:t>
      </w:r>
      <w:r w:rsidR="00B23E3D">
        <w:rPr>
          <w:rStyle w:val="Funotenzeichen"/>
        </w:rPr>
        <w:footnoteReference w:id="1823"/>
      </w:r>
      <w:r w:rsidR="00B23E3D">
        <w:t xml:space="preserve"> Derzeit w</w:t>
      </w:r>
      <w:r w:rsidR="00262FF6">
        <w:t>ürden</w:t>
      </w:r>
      <w:r w:rsidR="00B23E3D">
        <w:t xml:space="preserve"> die Einnahmen durch das Emissionshandelssystem ETS zu 3/4 an die Mitgliedsländer </w:t>
      </w:r>
      <w:r w:rsidR="00B23E3D">
        <w:lastRenderedPageBreak/>
        <w:t>gegeben, 1/3 geht an die EU.</w:t>
      </w:r>
      <w:r w:rsidR="00B23E3D">
        <w:rPr>
          <w:rStyle w:val="Funotenzeichen"/>
        </w:rPr>
        <w:footnoteReference w:id="1824"/>
      </w:r>
      <w:r w:rsidR="00B23E3D">
        <w:t xml:space="preserve"> Nur 10 % geht an den EU Innovation Fund (er ist auf 530 Mill. ETS </w:t>
      </w:r>
      <w:proofErr w:type="spellStart"/>
      <w:r w:rsidR="00B23E3D">
        <w:t>Zerfitikate</w:t>
      </w:r>
      <w:proofErr w:type="spellEnd"/>
      <w:r w:rsidR="00B23E3D">
        <w:t xml:space="preserve"> erhöht worden, die Einnahmen hängen vom CO2 Preis ab).</w:t>
      </w:r>
      <w:r w:rsidR="00B23E3D">
        <w:rPr>
          <w:rStyle w:val="Funotenzeichen"/>
        </w:rPr>
        <w:footnoteReference w:id="1825"/>
      </w:r>
      <w:r w:rsidR="00D52A07">
        <w:t xml:space="preserve"> Bislang werden nur in Deutschland innovative Finanzierungsformen aus dem ETS bezahlt, etwa Carbon </w:t>
      </w:r>
      <w:proofErr w:type="spellStart"/>
      <w:r w:rsidR="00D52A07">
        <w:t>Contracts</w:t>
      </w:r>
      <w:proofErr w:type="spellEnd"/>
      <w:r w:rsidR="00D52A07">
        <w:t xml:space="preserve"> </w:t>
      </w:r>
      <w:proofErr w:type="spellStart"/>
      <w:r w:rsidR="00D52A07">
        <w:t>of</w:t>
      </w:r>
      <w:proofErr w:type="spellEnd"/>
      <w:r w:rsidR="00D52A07">
        <w:t xml:space="preserve"> </w:t>
      </w:r>
      <w:proofErr w:type="spellStart"/>
      <w:r w:rsidR="00D52A07">
        <w:t>Difference</w:t>
      </w:r>
      <w:proofErr w:type="spellEnd"/>
      <w:r w:rsidR="00D52A07">
        <w:t>, die CAPEX und OPEX Unterstützung enthalten.</w:t>
      </w:r>
      <w:r w:rsidR="00D52A07">
        <w:rPr>
          <w:rStyle w:val="Funotenzeichen"/>
        </w:rPr>
        <w:footnoteReference w:id="1826"/>
      </w:r>
      <w:r w:rsidR="00D52A07">
        <w:t xml:space="preserve"> In den USA würden 5,8 Mill. Beihilfen für EIIs durch den Inflation </w:t>
      </w:r>
      <w:proofErr w:type="spellStart"/>
      <w:r w:rsidR="00D52A07">
        <w:t>Reduction</w:t>
      </w:r>
      <w:proofErr w:type="spellEnd"/>
      <w:r w:rsidR="00D52A07">
        <w:t xml:space="preserve"> Act zur Verfügung stehen.</w:t>
      </w:r>
      <w:r w:rsidR="00D52A07">
        <w:rPr>
          <w:rStyle w:val="Funotenzeichen"/>
        </w:rPr>
        <w:footnoteReference w:id="1827"/>
      </w:r>
      <w:r w:rsidR="00D52A07">
        <w:t xml:space="preserve"> Die EU förder</w:t>
      </w:r>
      <w:r w:rsidR="00262FF6">
        <w:t>e</w:t>
      </w:r>
      <w:r w:rsidR="00D52A07">
        <w:t xml:space="preserve"> vor allem Investitionskosten.</w:t>
      </w:r>
      <w:r w:rsidR="00D52A07">
        <w:rPr>
          <w:rStyle w:val="Funotenzeichen"/>
        </w:rPr>
        <w:footnoteReference w:id="1828"/>
      </w:r>
      <w:r w:rsidR="00D52A07">
        <w:t xml:space="preserve"> Die derzeitigen Politiken s</w:t>
      </w:r>
      <w:r w:rsidR="00262FF6">
        <w:t>eien</w:t>
      </w:r>
      <w:r w:rsidR="00D52A07">
        <w:t xml:space="preserve"> nicht ausreichend</w:t>
      </w:r>
      <w:r w:rsidR="00262FF6">
        <w:t>,</w:t>
      </w:r>
      <w:r w:rsidR="00D52A07">
        <w:t xml:space="preserve"> um die EIIs zu transformieren, aber 2030 werden die Kosten höher durch das ETS, dies erhöht die Kosten für diese Industrien und ist negativ für ihre Wettbewerbsfähigkeit, wobei das CBAM hier wichtig ist, damit ausländische Wettbewerber keine Kostenvorteile haben.</w:t>
      </w:r>
      <w:r w:rsidR="00D52A07">
        <w:rPr>
          <w:rStyle w:val="Funotenzeichen"/>
        </w:rPr>
        <w:footnoteReference w:id="1829"/>
      </w:r>
      <w:r w:rsidR="00D52A07">
        <w:t xml:space="preserve"> </w:t>
      </w:r>
      <w:r w:rsidR="00C915F5">
        <w:t xml:space="preserve">Wie oben schon erwähnt: Das CBAM </w:t>
      </w:r>
      <w:r w:rsidR="00032E24">
        <w:t xml:space="preserve">könne man </w:t>
      </w:r>
      <w:r w:rsidR="00C915F5">
        <w:t xml:space="preserve">umgehen, man </w:t>
      </w:r>
      <w:r w:rsidR="00032E24">
        <w:t>könnte</w:t>
      </w:r>
      <w:r w:rsidR="00C915F5">
        <w:t xml:space="preserve"> etwa mit einem grünen Werk nach Europa exportieren, aber weiter graue Produkte in andere Länder verkaufen und damit insgesamt höhere Gewinne machen als die EU Konkurrenten, Recycling ist als zero-emission eingestuft, man könnte nicht recycelte Materialien als recycelt </w:t>
      </w:r>
      <w:proofErr w:type="spellStart"/>
      <w:r w:rsidR="00C915F5">
        <w:t>umdeklarieren</w:t>
      </w:r>
      <w:proofErr w:type="spellEnd"/>
      <w:r w:rsidR="00C915F5">
        <w:t xml:space="preserve">. </w:t>
      </w:r>
      <w:r w:rsidR="0030702C">
        <w:t xml:space="preserve">Downstream Produkte </w:t>
      </w:r>
      <w:r w:rsidR="00032E24">
        <w:t>hätten</w:t>
      </w:r>
      <w:r w:rsidR="0030702C">
        <w:t xml:space="preserve"> höhere Produktionskosten und dort entsteht möglichweise auch ein Anreiz Produktion auszulagern und es</w:t>
      </w:r>
      <w:r w:rsidR="0030702C" w:rsidRPr="0030702C">
        <w:t xml:space="preserve"> </w:t>
      </w:r>
      <w:r w:rsidR="0030702C">
        <w:t>hilft nicht gegen höhere Preise beim Export: „</w:t>
      </w:r>
      <w:r w:rsidR="0030702C" w:rsidRPr="0030702C">
        <w:t xml:space="preserve">12% </w:t>
      </w:r>
      <w:proofErr w:type="spellStart"/>
      <w:r w:rsidR="0030702C" w:rsidRPr="0030702C">
        <w:t>of</w:t>
      </w:r>
      <w:proofErr w:type="spellEnd"/>
      <w:r w:rsidR="0030702C" w:rsidRPr="0030702C">
        <w:t xml:space="preserve"> EU-27 iron and </w:t>
      </w:r>
      <w:proofErr w:type="spellStart"/>
      <w:r w:rsidR="0030702C" w:rsidRPr="0030702C">
        <w:t>steel</w:t>
      </w:r>
      <w:proofErr w:type="spellEnd"/>
      <w:r w:rsidR="0030702C" w:rsidRPr="0030702C">
        <w:t xml:space="preserve"> </w:t>
      </w:r>
      <w:proofErr w:type="spellStart"/>
      <w:r w:rsidR="0030702C" w:rsidRPr="0030702C">
        <w:t>production</w:t>
      </w:r>
      <w:proofErr w:type="spellEnd"/>
      <w:r w:rsidR="0030702C" w:rsidRPr="0030702C">
        <w:t xml:space="preserve"> and 19% </w:t>
      </w:r>
      <w:proofErr w:type="spellStart"/>
      <w:r w:rsidR="0030702C" w:rsidRPr="0030702C">
        <w:t>of</w:t>
      </w:r>
      <w:proofErr w:type="spellEnd"/>
      <w:r w:rsidR="0030702C" w:rsidRPr="0030702C">
        <w:t xml:space="preserve"> </w:t>
      </w:r>
      <w:proofErr w:type="spellStart"/>
      <w:r w:rsidR="0030702C" w:rsidRPr="0030702C">
        <w:t>aluminium</w:t>
      </w:r>
      <w:proofErr w:type="spellEnd"/>
      <w:r w:rsidR="0030702C" w:rsidRPr="0030702C">
        <w:t xml:space="preserve"> </w:t>
      </w:r>
      <w:proofErr w:type="spellStart"/>
      <w:r w:rsidR="0030702C" w:rsidRPr="0030702C">
        <w:t>production</w:t>
      </w:r>
      <w:proofErr w:type="spellEnd"/>
      <w:r w:rsidR="0030702C" w:rsidRPr="0030702C">
        <w:t xml:space="preserve"> </w:t>
      </w:r>
      <w:proofErr w:type="spellStart"/>
      <w:r w:rsidR="0030702C" w:rsidRPr="0030702C">
        <w:t>were</w:t>
      </w:r>
      <w:proofErr w:type="spellEnd"/>
      <w:r w:rsidR="0030702C" w:rsidRPr="0030702C">
        <w:t xml:space="preserve"> </w:t>
      </w:r>
      <w:proofErr w:type="spellStart"/>
      <w:r w:rsidR="0030702C" w:rsidRPr="0030702C">
        <w:t>exported</w:t>
      </w:r>
      <w:proofErr w:type="spellEnd"/>
      <w:r w:rsidR="0030702C" w:rsidRPr="0030702C">
        <w:t xml:space="preserve"> in 2022. Source: Eurostat.</w:t>
      </w:r>
      <w:r w:rsidR="0030702C">
        <w:t>“</w:t>
      </w:r>
      <w:r w:rsidR="0030702C">
        <w:rPr>
          <w:rStyle w:val="Funotenzeichen"/>
        </w:rPr>
        <w:footnoteReference w:id="1830"/>
      </w:r>
      <w:r w:rsidR="0030702C">
        <w:t xml:space="preserve"> Siehe eine Tabelle von Maßnahmen hier, u.a. wird preisgünstiger Wasserstoff gewünscht, genaues Monitoring vom CBAM etc.</w:t>
      </w:r>
      <w:r w:rsidR="0030702C">
        <w:rPr>
          <w:rStyle w:val="Funotenzeichen"/>
        </w:rPr>
        <w:footnoteReference w:id="1831"/>
      </w:r>
      <w:r w:rsidR="00F3477B">
        <w:t xml:space="preserve"> Befürchtet werden Probleme beim Netzausbau bei den nötigen Materialien und Transformatoren.</w:t>
      </w:r>
      <w:r w:rsidR="00F3477B">
        <w:rPr>
          <w:rStyle w:val="Funotenzeichen"/>
        </w:rPr>
        <w:footnoteReference w:id="1832"/>
      </w:r>
    </w:p>
    <w:p w14:paraId="56A83568" w14:textId="77777777" w:rsidR="0045135C" w:rsidRPr="00FF28C3" w:rsidRDefault="0045135C" w:rsidP="00FF28C3"/>
    <w:p w14:paraId="42B584B7" w14:textId="41CD516D" w:rsidR="00315ED7" w:rsidRPr="00032E24" w:rsidRDefault="00403838" w:rsidP="00112190">
      <w:r w:rsidRPr="00403838">
        <w:rPr>
          <w:b/>
          <w:bCs/>
        </w:rPr>
        <w:t xml:space="preserve">Im Draghi-Bericht wird </w:t>
      </w:r>
      <w:r w:rsidRPr="00695FBD">
        <w:rPr>
          <w:b/>
          <w:bCs/>
          <w:u w:val="single"/>
        </w:rPr>
        <w:t>gleichzeitig</w:t>
      </w:r>
      <w:r w:rsidRPr="00403838">
        <w:rPr>
          <w:b/>
          <w:bCs/>
        </w:rPr>
        <w:t xml:space="preserve"> davon ausgegangen, dass erneuerbare Energien zu niedrigen Kosten für Energie führen werden </w:t>
      </w:r>
      <w:r w:rsidRPr="00695FBD">
        <w:rPr>
          <w:b/>
          <w:bCs/>
          <w:u w:val="single"/>
        </w:rPr>
        <w:t>und davon</w:t>
      </w:r>
      <w:r w:rsidRPr="00403838">
        <w:rPr>
          <w:b/>
          <w:bCs/>
        </w:rPr>
        <w:t>, dass sie zu höheren Kosten für Energie führen werden</w:t>
      </w:r>
      <w:r w:rsidR="00032E24" w:rsidRPr="00032E24">
        <w:t>, siehe diese beiden Zitate:</w:t>
      </w:r>
      <w:r w:rsidRPr="00032E24">
        <w:t xml:space="preserve"> </w:t>
      </w:r>
    </w:p>
    <w:p w14:paraId="513CB74A" w14:textId="77777777" w:rsidR="00315ED7" w:rsidRDefault="00315ED7" w:rsidP="00112190"/>
    <w:p w14:paraId="26219FCB" w14:textId="6AC788F6" w:rsidR="00315ED7" w:rsidRDefault="00315ED7" w:rsidP="00315ED7">
      <w:pPr>
        <w:rPr>
          <w:lang w:val="en-GB"/>
        </w:rPr>
      </w:pPr>
      <w:bookmarkStart w:id="99" w:name="_Hlk202814055"/>
      <w:r>
        <w:rPr>
          <w:lang w:val="en-GB"/>
        </w:rPr>
        <w:t>“</w:t>
      </w:r>
      <w:r w:rsidRPr="00315ED7">
        <w:rPr>
          <w:lang w:val="en-GB"/>
        </w:rPr>
        <w:t>The decarbonisation of the energy system and the green transition could enhance EU competitiveness in</w:t>
      </w:r>
      <w:r>
        <w:rPr>
          <w:lang w:val="en-GB"/>
        </w:rPr>
        <w:t xml:space="preserve"> </w:t>
      </w:r>
      <w:r w:rsidRPr="00315ED7">
        <w:rPr>
          <w:lang w:val="en-GB"/>
        </w:rPr>
        <w:t>two ways. First, it has the potential to radically decrease import dependency. The 2040 Climate Target Plan indicate</w:t>
      </w:r>
      <w:r>
        <w:rPr>
          <w:lang w:val="en-GB"/>
        </w:rPr>
        <w:t xml:space="preserve"> </w:t>
      </w:r>
      <w:r w:rsidRPr="00315ED7">
        <w:rPr>
          <w:lang w:val="en-GB"/>
        </w:rPr>
        <w:t xml:space="preserve">between 190 </w:t>
      </w:r>
      <w:proofErr w:type="spellStart"/>
      <w:r w:rsidRPr="00315ED7">
        <w:rPr>
          <w:lang w:val="en-GB"/>
        </w:rPr>
        <w:t>bcm</w:t>
      </w:r>
      <w:proofErr w:type="spellEnd"/>
      <w:r w:rsidRPr="00315ED7">
        <w:rPr>
          <w:lang w:val="en-GB"/>
        </w:rPr>
        <w:t xml:space="preserve"> and 240 </w:t>
      </w:r>
      <w:proofErr w:type="spellStart"/>
      <w:r w:rsidRPr="00315ED7">
        <w:rPr>
          <w:lang w:val="en-GB"/>
        </w:rPr>
        <w:t>bcm</w:t>
      </w:r>
      <w:proofErr w:type="spellEnd"/>
      <w:r w:rsidRPr="00315ED7">
        <w:rPr>
          <w:lang w:val="en-GB"/>
        </w:rPr>
        <w:t xml:space="preserve"> of gas imports by 2030, compared to 334 </w:t>
      </w:r>
      <w:proofErr w:type="spellStart"/>
      <w:r w:rsidRPr="00315ED7">
        <w:rPr>
          <w:lang w:val="en-GB"/>
        </w:rPr>
        <w:t>bcm</w:t>
      </w:r>
      <w:proofErr w:type="spellEnd"/>
      <w:r w:rsidRPr="00315ED7">
        <w:rPr>
          <w:lang w:val="en-GB"/>
        </w:rPr>
        <w:t xml:space="preserve"> in 2021. Second, it could foster the</w:t>
      </w:r>
      <w:r>
        <w:rPr>
          <w:lang w:val="en-GB"/>
        </w:rPr>
        <w:t xml:space="preserve"> </w:t>
      </w:r>
      <w:r w:rsidRPr="00315ED7">
        <w:rPr>
          <w:lang w:val="en-GB"/>
        </w:rPr>
        <w:t>massive deployment of clean energy sources with low marginal generation costs, such as renewables and nuclear.</w:t>
      </w:r>
      <w:r>
        <w:rPr>
          <w:lang w:val="en-GB"/>
        </w:rPr>
        <w:t>”</w:t>
      </w:r>
    </w:p>
    <w:bookmarkEnd w:id="99"/>
    <w:p w14:paraId="7F70972E" w14:textId="77777777" w:rsidR="00315ED7" w:rsidRDefault="00315ED7" w:rsidP="00315ED7">
      <w:pPr>
        <w:rPr>
          <w:lang w:val="en-GB"/>
        </w:rPr>
      </w:pPr>
    </w:p>
    <w:p w14:paraId="3EC412EE" w14:textId="219C6A3B" w:rsidR="00315ED7" w:rsidRPr="00315ED7" w:rsidRDefault="00315ED7" w:rsidP="00315ED7">
      <w:pPr>
        <w:rPr>
          <w:lang w:val="en-GB"/>
        </w:rPr>
      </w:pPr>
      <w:bookmarkStart w:id="100" w:name="_Hlk202814125"/>
      <w:bookmarkStart w:id="101" w:name="_Hlk202814077"/>
      <w:r>
        <w:rPr>
          <w:lang w:val="en-GB"/>
        </w:rPr>
        <w:t>“</w:t>
      </w:r>
      <w:r w:rsidRPr="00315ED7">
        <w:rPr>
          <w:lang w:val="en-GB"/>
        </w:rPr>
        <w:t>It will take time before we see a major downward effect on energy prices played by decarbonisation.</w:t>
      </w:r>
      <w:r>
        <w:rPr>
          <w:lang w:val="en-GB"/>
        </w:rPr>
        <w:t xml:space="preserve"> </w:t>
      </w:r>
      <w:r w:rsidRPr="00315ED7">
        <w:rPr>
          <w:lang w:val="en-GB"/>
        </w:rPr>
        <w:t>In the</w:t>
      </w:r>
      <w:r>
        <w:rPr>
          <w:lang w:val="en-GB"/>
        </w:rPr>
        <w:t xml:space="preserve"> </w:t>
      </w:r>
      <w:r w:rsidRPr="00315ED7">
        <w:rPr>
          <w:lang w:val="en-GB"/>
        </w:rPr>
        <w:t>short-term, the challenge Europe will face is that the full benefits of the clean transition for EU competitiveness will</w:t>
      </w:r>
      <w:r>
        <w:rPr>
          <w:lang w:val="en-GB"/>
        </w:rPr>
        <w:t xml:space="preserve"> </w:t>
      </w:r>
      <w:r w:rsidRPr="00315ED7">
        <w:rPr>
          <w:lang w:val="en-GB"/>
        </w:rPr>
        <w:t>only materialise when renewables combined with nuclear are regularly price setting and relevant investments in</w:t>
      </w:r>
      <w:r>
        <w:rPr>
          <w:lang w:val="en-GB"/>
        </w:rPr>
        <w:t xml:space="preserve"> </w:t>
      </w:r>
      <w:r w:rsidRPr="00315ED7">
        <w:rPr>
          <w:lang w:val="en-GB"/>
        </w:rPr>
        <w:t>grids, storage and flexibility are completed (and amortised), so</w:t>
      </w:r>
      <w:r>
        <w:rPr>
          <w:lang w:val="en-GB"/>
        </w:rPr>
        <w:t xml:space="preserve"> </w:t>
      </w:r>
      <w:r w:rsidRPr="00315ED7">
        <w:rPr>
          <w:lang w:val="en-GB"/>
        </w:rPr>
        <w:t>that the system can be managed in a cost-efficient</w:t>
      </w:r>
      <w:r>
        <w:rPr>
          <w:lang w:val="en-GB"/>
        </w:rPr>
        <w:t xml:space="preserve"> </w:t>
      </w:r>
      <w:r w:rsidRPr="00315ED7">
        <w:rPr>
          <w:lang w:val="en-GB"/>
        </w:rPr>
        <w:t>way. In the medium term, fossil fuel generation</w:t>
      </w:r>
      <w:r>
        <w:rPr>
          <w:lang w:val="en-GB"/>
        </w:rPr>
        <w:t xml:space="preserve"> </w:t>
      </w:r>
      <w:r w:rsidRPr="00315ED7">
        <w:rPr>
          <w:lang w:val="en-GB"/>
        </w:rPr>
        <w:t>needs to be significantly displaced from the power mix by renewables in combination with adequate</w:t>
      </w:r>
      <w:r>
        <w:rPr>
          <w:lang w:val="en-GB"/>
        </w:rPr>
        <w:t xml:space="preserve"> </w:t>
      </w:r>
      <w:r w:rsidRPr="00315ED7">
        <w:rPr>
          <w:lang w:val="en-GB"/>
        </w:rPr>
        <w:t xml:space="preserve">investment in infrastructure, </w:t>
      </w:r>
      <w:proofErr w:type="gramStart"/>
      <w:r w:rsidRPr="00315ED7">
        <w:rPr>
          <w:lang w:val="en-GB"/>
        </w:rPr>
        <w:t>flexibility</w:t>
      </w:r>
      <w:proofErr w:type="gramEnd"/>
      <w:r w:rsidRPr="00315ED7">
        <w:rPr>
          <w:lang w:val="en-GB"/>
        </w:rPr>
        <w:t xml:space="preserve"> and storage solutions to have a beneficial</w:t>
      </w:r>
      <w:r>
        <w:rPr>
          <w:lang w:val="en-GB"/>
        </w:rPr>
        <w:t xml:space="preserve"> </w:t>
      </w:r>
      <w:r w:rsidRPr="00315ED7">
        <w:rPr>
          <w:lang w:val="en-GB"/>
        </w:rPr>
        <w:t>impact on prices</w:t>
      </w:r>
      <w:r>
        <w:rPr>
          <w:lang w:val="en-GB"/>
        </w:rPr>
        <w:t>.”</w:t>
      </w:r>
    </w:p>
    <w:bookmarkEnd w:id="100"/>
    <w:p w14:paraId="47A34E07" w14:textId="77777777" w:rsidR="00315ED7" w:rsidRPr="00315ED7" w:rsidRDefault="00315ED7" w:rsidP="00112190">
      <w:pPr>
        <w:rPr>
          <w:lang w:val="en-GB"/>
        </w:rPr>
      </w:pPr>
    </w:p>
    <w:bookmarkEnd w:id="101"/>
    <w:p w14:paraId="4B6DDEFA" w14:textId="6A218B60" w:rsidR="00FF28C3" w:rsidRDefault="006B0649" w:rsidP="00112190">
      <w:r>
        <w:lastRenderedPageBreak/>
        <w:t>Es wird davon ausgegangen, dass erneuerbare Energien und Atomkraft zu niedrige</w:t>
      </w:r>
      <w:r w:rsidR="00AE0712">
        <w:t>n</w:t>
      </w:r>
      <w:r>
        <w:t xml:space="preserve"> Kosten für Energie führe</w:t>
      </w:r>
      <w:r w:rsidR="00315ED7">
        <w:t>n</w:t>
      </w:r>
      <w:r>
        <w:t>.</w:t>
      </w:r>
      <w:r>
        <w:rPr>
          <w:rStyle w:val="Funotenzeichen"/>
        </w:rPr>
        <w:footnoteReference w:id="1833"/>
      </w:r>
      <w:r>
        <w:t xml:space="preserve"> Aber </w:t>
      </w:r>
      <w:r w:rsidR="00315ED7">
        <w:t>es wird davon ausgegangen, dass Zeit vergehen wird, bis sich die Investitionen amortisieren</w:t>
      </w:r>
      <w:r>
        <w:t xml:space="preserve">, außerdem werden andere Komponenten </w:t>
      </w:r>
      <w:r w:rsidR="00315ED7">
        <w:t>benötigt</w:t>
      </w:r>
      <w:r>
        <w:t>: Netzwerkbau, Speicher</w:t>
      </w:r>
      <w:r w:rsidR="00315ED7">
        <w:t>, Wasserstoffkraftwerke</w:t>
      </w:r>
      <w:r>
        <w:t xml:space="preserve"> etc.</w:t>
      </w:r>
      <w:r w:rsidR="00315ED7">
        <w:t xml:space="preserve"> und erst deren Existenz kann es verhindern, dass immer weiter fossile Energieträger benutzt werden und dann dieses die Preise bestimmen.</w:t>
      </w:r>
      <w:r>
        <w:rPr>
          <w:rStyle w:val="Funotenzeichen"/>
        </w:rPr>
        <w:footnoteReference w:id="1834"/>
      </w:r>
      <w:r w:rsidR="00315ED7">
        <w:t xml:space="preserve"> Ebenso wird der Netzausbau </w:t>
      </w:r>
      <w:r w:rsidR="00AE0712">
        <w:t xml:space="preserve">und anderes </w:t>
      </w:r>
      <w:r w:rsidR="00315ED7">
        <w:t xml:space="preserve">zu </w:t>
      </w:r>
      <w:r w:rsidR="00AE0712">
        <w:t>einer Verteuerung führen, wenn er auf die Energiepreise aufgeschlagen wird.</w:t>
      </w:r>
      <w:r w:rsidR="00AE0712">
        <w:rPr>
          <w:rStyle w:val="Funotenzeichen"/>
        </w:rPr>
        <w:footnoteReference w:id="1835"/>
      </w:r>
      <w:r w:rsidR="00AE0712">
        <w:t xml:space="preserve"> Auch die Erhöhung von Zinsen hat eine negativen Effekt.</w:t>
      </w:r>
      <w:r w:rsidR="00AE0712">
        <w:rPr>
          <w:rStyle w:val="Funotenzeichen"/>
        </w:rPr>
        <w:footnoteReference w:id="1836"/>
      </w:r>
    </w:p>
    <w:p w14:paraId="453C3C19" w14:textId="77777777" w:rsidR="00315ED7" w:rsidRPr="00FF28C3" w:rsidRDefault="00315ED7" w:rsidP="00112190"/>
    <w:p w14:paraId="0F3A1EA1" w14:textId="3C6861E1" w:rsidR="00FF28C3" w:rsidRPr="00FF28C3" w:rsidRDefault="0030702C" w:rsidP="00112190">
      <w:r>
        <w:t xml:space="preserve">Um Energie und erneuerbare Energien zu kaufen bzw. aufzubauen, werden Power </w:t>
      </w:r>
      <w:proofErr w:type="spellStart"/>
      <w:r>
        <w:t>Purchasing</w:t>
      </w:r>
      <w:proofErr w:type="spellEnd"/>
      <w:r>
        <w:t xml:space="preserve"> Agreements vorgeschlagen, bei denen sich Firmen zusammenschließen können, dazu kommen Garantien.</w:t>
      </w:r>
      <w:r w:rsidR="0000459C">
        <w:rPr>
          <w:rStyle w:val="Funotenzeichen"/>
        </w:rPr>
        <w:footnoteReference w:id="1837"/>
      </w:r>
    </w:p>
    <w:p w14:paraId="6FB25DD1" w14:textId="77777777" w:rsidR="00FF28C3" w:rsidRDefault="00FF28C3" w:rsidP="00112190"/>
    <w:p w14:paraId="4953303F" w14:textId="42EA03DF" w:rsidR="006B0649" w:rsidRPr="006B0649" w:rsidRDefault="006B0649" w:rsidP="006B0649">
      <w:pPr>
        <w:rPr>
          <w:lang w:val="en-GB"/>
        </w:rPr>
      </w:pPr>
      <w:r w:rsidRPr="006B0649">
        <w:rPr>
          <w:lang w:val="en-GB"/>
        </w:rPr>
        <w:t xml:space="preserve">Zu </w:t>
      </w:r>
      <w:proofErr w:type="spellStart"/>
      <w:r w:rsidRPr="006B0649">
        <w:rPr>
          <w:lang w:val="en-GB"/>
        </w:rPr>
        <w:t>Wasserstoff</w:t>
      </w:r>
      <w:proofErr w:type="spellEnd"/>
      <w:r w:rsidRPr="006B0649">
        <w:rPr>
          <w:lang w:val="en-GB"/>
        </w:rPr>
        <w:t xml:space="preserve"> </w:t>
      </w:r>
      <w:proofErr w:type="spellStart"/>
      <w:r w:rsidRPr="006B0649">
        <w:rPr>
          <w:lang w:val="en-GB"/>
        </w:rPr>
        <w:t>findet</w:t>
      </w:r>
      <w:proofErr w:type="spellEnd"/>
      <w:r w:rsidRPr="006B0649">
        <w:rPr>
          <w:lang w:val="en-GB"/>
        </w:rPr>
        <w:t xml:space="preserve"> </w:t>
      </w:r>
      <w:proofErr w:type="spellStart"/>
      <w:r w:rsidRPr="006B0649">
        <w:rPr>
          <w:lang w:val="en-GB"/>
        </w:rPr>
        <w:t>sich</w:t>
      </w:r>
      <w:proofErr w:type="spellEnd"/>
      <w:r w:rsidRPr="006B0649">
        <w:rPr>
          <w:lang w:val="en-GB"/>
        </w:rPr>
        <w:t xml:space="preserve"> </w:t>
      </w:r>
      <w:proofErr w:type="spellStart"/>
      <w:r w:rsidRPr="006B0649">
        <w:rPr>
          <w:lang w:val="en-GB"/>
        </w:rPr>
        <w:t>folgendes</w:t>
      </w:r>
      <w:proofErr w:type="spellEnd"/>
      <w:r w:rsidRPr="006B0649">
        <w:rPr>
          <w:lang w:val="en-GB"/>
        </w:rPr>
        <w:t xml:space="preserve"> Statement: „Hydrogen production and imports will need to play a specific role in decarbonising hard-to-abate sectors,</w:t>
      </w:r>
      <w:r>
        <w:rPr>
          <w:lang w:val="en-GB"/>
        </w:rPr>
        <w:t xml:space="preserve"> </w:t>
      </w:r>
      <w:r w:rsidRPr="006B0649">
        <w:rPr>
          <w:lang w:val="en-GB"/>
        </w:rPr>
        <w:t xml:space="preserve">such as transport, </w:t>
      </w:r>
      <w:proofErr w:type="gramStart"/>
      <w:r w:rsidRPr="006B0649">
        <w:rPr>
          <w:lang w:val="en-GB"/>
        </w:rPr>
        <w:t>chemicals</w:t>
      </w:r>
      <w:proofErr w:type="gramEnd"/>
      <w:r w:rsidRPr="006B0649">
        <w:rPr>
          <w:lang w:val="en-GB"/>
        </w:rPr>
        <w:t xml:space="preserve"> and metal industries, as well as to enable industry to source hydrogen from</w:t>
      </w:r>
      <w:r>
        <w:rPr>
          <w:lang w:val="en-GB"/>
        </w:rPr>
        <w:t xml:space="preserve"> </w:t>
      </w:r>
      <w:r w:rsidRPr="006B0649">
        <w:rPr>
          <w:lang w:val="en-GB"/>
        </w:rPr>
        <w:t>renewable-rich regions. The EU faces the multifaceted challenge of realising the full potential of hydrogen energy.</w:t>
      </w:r>
      <w:r>
        <w:rPr>
          <w:lang w:val="en-GB"/>
        </w:rPr>
        <w:t xml:space="preserve"> </w:t>
      </w:r>
      <w:r w:rsidRPr="006B0649">
        <w:rPr>
          <w:lang w:val="en-GB"/>
        </w:rPr>
        <w:t>First, the levelized costs driven by electrolyser CAPEX and power prices are very high, which currently make the</w:t>
      </w:r>
      <w:r>
        <w:rPr>
          <w:lang w:val="en-GB"/>
        </w:rPr>
        <w:t xml:space="preserve"> </w:t>
      </w:r>
      <w:r w:rsidRPr="006B0649">
        <w:rPr>
          <w:lang w:val="en-GB"/>
        </w:rPr>
        <w:t>economic case challenging without subsidies. Second, the transportation of hydrogen is costly. The infrastructure</w:t>
      </w:r>
      <w:r>
        <w:rPr>
          <w:lang w:val="en-GB"/>
        </w:rPr>
        <w:t xml:space="preserve"> </w:t>
      </w:r>
      <w:r w:rsidRPr="006B0649">
        <w:rPr>
          <w:lang w:val="en-GB"/>
        </w:rPr>
        <w:t xml:space="preserve">needs to be further developed and competitive industrial clusters need to be </w:t>
      </w:r>
      <w:proofErr w:type="gramStart"/>
      <w:r w:rsidRPr="006B0649">
        <w:rPr>
          <w:lang w:val="en-GB"/>
        </w:rPr>
        <w:t>established.“</w:t>
      </w:r>
      <w:proofErr w:type="gramEnd"/>
      <w:r>
        <w:rPr>
          <w:rStyle w:val="Funotenzeichen"/>
        </w:rPr>
        <w:footnoteReference w:id="1838"/>
      </w:r>
    </w:p>
    <w:p w14:paraId="0D630A3B" w14:textId="77777777" w:rsidR="006B0649" w:rsidRDefault="006B0649" w:rsidP="00112190">
      <w:pPr>
        <w:rPr>
          <w:lang w:val="en-GB"/>
        </w:rPr>
      </w:pPr>
    </w:p>
    <w:p w14:paraId="0B354FEA" w14:textId="77777777" w:rsidR="00424E87" w:rsidRDefault="001230E6" w:rsidP="00112190">
      <w:r w:rsidRPr="001230E6">
        <w:t>Clean Industrial Deal</w:t>
      </w:r>
      <w:r>
        <w:t xml:space="preserve"> </w:t>
      </w:r>
    </w:p>
    <w:p w14:paraId="2C6C19F6" w14:textId="77777777" w:rsidR="00424E87" w:rsidRDefault="00424E87" w:rsidP="00112190"/>
    <w:p w14:paraId="0521077A" w14:textId="17477BFB" w:rsidR="0032162C" w:rsidRDefault="0032162C" w:rsidP="00112190">
      <w:r>
        <w:t>Zu den Prioritäten von Ursula von der Leyen findet sich e</w:t>
      </w:r>
      <w:r w:rsidR="00DB6C81">
        <w:t>ine erste Übersicht in diesem FAZ-Artikel.</w:t>
      </w:r>
      <w:r w:rsidR="00DB6C81">
        <w:rPr>
          <w:rStyle w:val="Funotenzeichen"/>
        </w:rPr>
        <w:footnoteReference w:id="1839"/>
      </w:r>
      <w:r w:rsidR="00DB6C81">
        <w:t xml:space="preserve"> </w:t>
      </w:r>
      <w:r w:rsidR="00032E24">
        <w:t xml:space="preserve">Neu ist der </w:t>
      </w:r>
      <w:r w:rsidRPr="004C61DD">
        <w:t>Clean Industrial Deal</w:t>
      </w:r>
      <w:r w:rsidR="004C61DD" w:rsidRPr="004C61DD">
        <w:t xml:space="preserve">, </w:t>
      </w:r>
      <w:r w:rsidR="00032E24">
        <w:t xml:space="preserve">der </w:t>
      </w:r>
      <w:r w:rsidR="004C61DD" w:rsidRPr="004C61DD">
        <w:t>die e</w:t>
      </w:r>
      <w:r w:rsidR="004C61DD">
        <w:t>uropäische Industrie wettbewerbsfähiger machen</w:t>
      </w:r>
      <w:r w:rsidR="00032E24">
        <w:t xml:space="preserve"> soll</w:t>
      </w:r>
      <w:r w:rsidR="004C61DD">
        <w:t xml:space="preserve">, es soll einen </w:t>
      </w:r>
      <w:r>
        <w:t>Wettbewerbsfähigkeits-Kompass</w:t>
      </w:r>
      <w:r w:rsidR="004C61DD">
        <w:t xml:space="preserve"> geben; </w:t>
      </w:r>
      <w:r>
        <w:t>Bürokratieabbau</w:t>
      </w:r>
      <w:r w:rsidR="004C61DD">
        <w:t xml:space="preserve"> soll es geben</w:t>
      </w:r>
      <w:r w:rsidR="00032E24">
        <w:t>:</w:t>
      </w:r>
      <w:r w:rsidR="004C61DD">
        <w:t xml:space="preserve"> beim Lieferkettengesetz, Nachhaltigkeitsberichterstatt</w:t>
      </w:r>
      <w:r w:rsidR="00F02AEA">
        <w:t>ung</w:t>
      </w:r>
      <w:r w:rsidR="004C61DD">
        <w:t xml:space="preserve"> und EU Taxonomie; es gibt Initiativen in der </w:t>
      </w:r>
      <w:r>
        <w:t>Verteidigungspolitik</w:t>
      </w:r>
      <w:r w:rsidR="004C61DD">
        <w:t xml:space="preserve">; </w:t>
      </w:r>
      <w:r w:rsidR="00032E24">
        <w:t xml:space="preserve">eine </w:t>
      </w:r>
      <w:r w:rsidR="004C61DD">
        <w:t xml:space="preserve">mögliche neue </w:t>
      </w:r>
      <w:r>
        <w:t>Schuldenaufnahme</w:t>
      </w:r>
      <w:r w:rsidR="004C61DD">
        <w:t xml:space="preserve"> wird nicht erwähnt; Vorschläge für eine neue, mittelfristigen Finanzrahmen werden für 2026 erwartet; Ursula von der Leyen hat vorgeschlagen, das EU Budget stärke</w:t>
      </w:r>
      <w:r w:rsidR="00032E24">
        <w:t>r</w:t>
      </w:r>
      <w:r w:rsidR="004C61DD">
        <w:t xml:space="preserve"> an </w:t>
      </w:r>
      <w:r w:rsidR="00032E24">
        <w:t xml:space="preserve">der </w:t>
      </w:r>
      <w:r w:rsidR="004C61DD">
        <w:t>Wettbewerbsfähigkeit auszurich</w:t>
      </w:r>
      <w:r w:rsidR="00F02AEA">
        <w:t>t</w:t>
      </w:r>
      <w:r w:rsidR="004C61DD">
        <w:t>en, etwa indem die Haushaltsposten Agrar- und Kohäsionspolitik aufgelöst werden; gegen das Mercosur-Abkommen haben noch Frankreich und Polen bedenken, der Handelsteil könnte im Ministerrat mit qualifizierter Mehrheit beschlossen werden, von 15 Ländern, die 65 % der EU ausmachen, dann müsste nur noch das Europaparlament den Text ratifizieren und nicht die Länderparlamente. Von der Leyen möchte dies aber nicht, ohne die Zustimmung von Frankreich und Polen.</w:t>
      </w:r>
      <w:r w:rsidR="004C61DD" w:rsidRPr="004C61DD">
        <w:rPr>
          <w:rStyle w:val="Funotenzeichen"/>
        </w:rPr>
        <w:t xml:space="preserve"> </w:t>
      </w:r>
      <w:r w:rsidR="004C61DD">
        <w:rPr>
          <w:rStyle w:val="Funotenzeichen"/>
        </w:rPr>
        <w:footnoteReference w:id="1840"/>
      </w:r>
      <w:r w:rsidR="004C61DD">
        <w:t xml:space="preserve">  </w:t>
      </w:r>
    </w:p>
    <w:p w14:paraId="4C9981CD" w14:textId="77777777" w:rsidR="00654F89" w:rsidRDefault="00654F89" w:rsidP="00112190"/>
    <w:p w14:paraId="1B012802" w14:textId="43FE0C7A" w:rsidR="001230E6" w:rsidRDefault="001230E6" w:rsidP="001230E6">
      <w:r>
        <w:t xml:space="preserve">Eine gute Zusammenfassung des Clean Industrial Deal gibt es beim </w:t>
      </w:r>
      <w:proofErr w:type="spellStart"/>
      <w:r>
        <w:t>Centres</w:t>
      </w:r>
      <w:proofErr w:type="spellEnd"/>
      <w:r>
        <w:t xml:space="preserve"> </w:t>
      </w:r>
      <w:proofErr w:type="spellStart"/>
      <w:r>
        <w:t>for</w:t>
      </w:r>
      <w:proofErr w:type="spellEnd"/>
      <w:r>
        <w:t xml:space="preserve"> European Policy Network CEP, siehe hier.</w:t>
      </w:r>
      <w:r>
        <w:rPr>
          <w:rStyle w:val="Funotenzeichen"/>
        </w:rPr>
        <w:footnoteReference w:id="1841"/>
      </w:r>
    </w:p>
    <w:p w14:paraId="14F87730" w14:textId="77777777" w:rsidR="001230E6" w:rsidRDefault="001230E6" w:rsidP="00112190"/>
    <w:p w14:paraId="41530D82" w14:textId="5F186F38" w:rsidR="002A2E6D" w:rsidRDefault="004C61DD" w:rsidP="00112190">
      <w:bookmarkStart w:id="103" w:name="_Hlk201524736"/>
      <w:r>
        <w:lastRenderedPageBreak/>
        <w:t>Die</w:t>
      </w:r>
      <w:r w:rsidR="002A2E6D">
        <w:t>s sind die</w:t>
      </w:r>
      <w:r>
        <w:t xml:space="preserve"> Hauptpunkte des </w:t>
      </w:r>
      <w:r w:rsidR="00B23D89">
        <w:t>Clean</w:t>
      </w:r>
      <w:r>
        <w:t xml:space="preserve"> Deal bzw. dem Deal für saubere Energien</w:t>
      </w:r>
      <w:r w:rsidR="001230E6">
        <w:t>, die aus meiner Sicht wichtig sind</w:t>
      </w:r>
      <w:r w:rsidR="00555BA7">
        <w:t xml:space="preserve">, „A plan </w:t>
      </w:r>
      <w:proofErr w:type="spellStart"/>
      <w:r w:rsidR="00555BA7">
        <w:t>for</w:t>
      </w:r>
      <w:proofErr w:type="spellEnd"/>
      <w:r w:rsidR="00555BA7">
        <w:t xml:space="preserve"> EU </w:t>
      </w:r>
      <w:proofErr w:type="spellStart"/>
      <w:r w:rsidR="00555BA7">
        <w:t>competitiveness</w:t>
      </w:r>
      <w:proofErr w:type="spellEnd"/>
      <w:r w:rsidR="00555BA7">
        <w:t xml:space="preserve"> and </w:t>
      </w:r>
      <w:proofErr w:type="spellStart"/>
      <w:r w:rsidR="00555BA7">
        <w:t>decarbonization</w:t>
      </w:r>
      <w:proofErr w:type="spellEnd"/>
      <w:r w:rsidR="00555BA7">
        <w:t>“</w:t>
      </w:r>
      <w:r w:rsidR="0055128F">
        <w:t xml:space="preserve"> 26.2.2025</w:t>
      </w:r>
      <w:r w:rsidR="00AC06E2">
        <w:rPr>
          <w:rStyle w:val="Funotenzeichen"/>
        </w:rPr>
        <w:footnoteReference w:id="1842"/>
      </w:r>
      <w:r w:rsidR="001230E6">
        <w:t xml:space="preserve"> </w:t>
      </w:r>
      <w:bookmarkEnd w:id="103"/>
      <w:r w:rsidR="002A2E6D">
        <w:t>(ohne Seitenangaben hinter den Sätzen</w:t>
      </w:r>
      <w:r w:rsidR="00962216">
        <w:t>, mit Kommentaren in Klammer eingefügt</w:t>
      </w:r>
      <w:r w:rsidR="002A2E6D">
        <w:t>):</w:t>
      </w:r>
    </w:p>
    <w:p w14:paraId="0F5A3DF0" w14:textId="77777777" w:rsidR="002A2E6D" w:rsidRDefault="002A2E6D" w:rsidP="00112190"/>
    <w:p w14:paraId="378F25B5" w14:textId="235CABDC" w:rsidR="00AC06E2" w:rsidRDefault="002A2E6D" w:rsidP="00112190">
      <w:r>
        <w:t>Die Europäische Investitionsbank (EIB) soll Power Purchase Agreements (PPA) absichern (500 Mill.), und im Bereich Netzausbau, die darum angesiedelte Industrie mit Rückgarantien (‚counter-</w:t>
      </w:r>
      <w:proofErr w:type="spellStart"/>
      <w:r>
        <w:t>guarantees</w:t>
      </w:r>
      <w:proofErr w:type="spellEnd"/>
      <w:r>
        <w:t>) unterstützen (1,5 Mrd.)</w:t>
      </w:r>
      <w:r w:rsidR="008F07CF">
        <w:t>, auch grenzüberschreitende PPA-Verträge.</w:t>
      </w:r>
      <w:r>
        <w:t xml:space="preserve"> Es werden weiterhin Energieinvestitionen durch die EIB gefördert. Es sollen - schon wieder – die Beihilferegeln vereinfacht werden. Die </w:t>
      </w:r>
      <w:proofErr w:type="gramStart"/>
      <w:r>
        <w:t>EU Kommission</w:t>
      </w:r>
      <w:proofErr w:type="gramEnd"/>
      <w:r>
        <w:t xml:space="preserve"> interessiert sich nun für die Förderinstrumente, die in Deutschland benutzt werden, etwa </w:t>
      </w:r>
      <w:r w:rsidR="008F07CF">
        <w:t xml:space="preserve">den Differenzverträgen </w:t>
      </w:r>
      <w:r w:rsidR="00962216">
        <w:t xml:space="preserve">bzw. </w:t>
      </w:r>
      <w:proofErr w:type="spellStart"/>
      <w:r w:rsidR="008F07CF">
        <w:t>Contracts</w:t>
      </w:r>
      <w:proofErr w:type="spellEnd"/>
      <w:r w:rsidR="008F07CF">
        <w:t xml:space="preserve"> </w:t>
      </w:r>
      <w:proofErr w:type="spellStart"/>
      <w:r w:rsidR="008F07CF">
        <w:t>of</w:t>
      </w:r>
      <w:proofErr w:type="spellEnd"/>
      <w:r w:rsidR="008F07CF">
        <w:t xml:space="preserve"> </w:t>
      </w:r>
      <w:proofErr w:type="spellStart"/>
      <w:r w:rsidR="008F07CF">
        <w:t>Difference</w:t>
      </w:r>
      <w:proofErr w:type="spellEnd"/>
      <w:r w:rsidR="008F07CF">
        <w:t>, bei dem ein Preis garantiert wird, und bei zu hohen Preisen Rückzahlungen erfolgen und bei niedrigen Preisen der Staat etwas dazugibt. Sie will dazu Guidelines / Leitlinien veröffentlichen. Die Energiebesteuerungsrichtlinie soll aktualisiert werden</w:t>
      </w:r>
      <w:r w:rsidR="001230E6">
        <w:t xml:space="preserve"> (hier gibt es seit Jahren schon keine Einigun</w:t>
      </w:r>
      <w:r w:rsidR="00C3558C">
        <w:t>g</w:t>
      </w:r>
      <w:r w:rsidR="001230E6">
        <w:t>)</w:t>
      </w:r>
      <w:r w:rsidR="008F07CF">
        <w:t xml:space="preserve">. Dem </w:t>
      </w:r>
      <w:proofErr w:type="spellStart"/>
      <w:r w:rsidR="008F07CF">
        <w:t>Grid</w:t>
      </w:r>
      <w:proofErr w:type="spellEnd"/>
      <w:r w:rsidR="008F07CF">
        <w:t xml:space="preserve"> Action Plan folgt ein European </w:t>
      </w:r>
      <w:proofErr w:type="spellStart"/>
      <w:r w:rsidR="008F07CF">
        <w:t>Grid</w:t>
      </w:r>
      <w:proofErr w:type="spellEnd"/>
      <w:r w:rsidR="008F07CF">
        <w:t xml:space="preserve"> Package. </w:t>
      </w:r>
      <w:r w:rsidR="00F5188A">
        <w:t>Es soll eine Beschleunigung von Genehmigungsverfahren erreicht werden</w:t>
      </w:r>
      <w:r w:rsidR="001230E6">
        <w:t>, in einem vorgeschlagenen</w:t>
      </w:r>
      <w:r w:rsidR="00F5188A">
        <w:t xml:space="preserve"> Industrial </w:t>
      </w:r>
      <w:proofErr w:type="spellStart"/>
      <w:r w:rsidR="00F5188A">
        <w:t>Decarbonization</w:t>
      </w:r>
      <w:proofErr w:type="spellEnd"/>
      <w:r w:rsidR="00F5188A">
        <w:t xml:space="preserve"> </w:t>
      </w:r>
      <w:proofErr w:type="spellStart"/>
      <w:r w:rsidR="00F5188A">
        <w:t>Accelerator</w:t>
      </w:r>
      <w:proofErr w:type="spellEnd"/>
      <w:r w:rsidR="00F5188A">
        <w:t xml:space="preserve"> Act. Beim Erdgasmarkt soll ein umfangreicher Dialog stattfinden, und ggf. auch Regeln für den Markt verändert werden (MiFID/REMIT, </w:t>
      </w:r>
      <w:r w:rsidR="00F5188A" w:rsidRPr="00F5188A">
        <w:t xml:space="preserve">Regulation (EU) 2011/1227; </w:t>
      </w:r>
      <w:proofErr w:type="spellStart"/>
      <w:r w:rsidR="00F5188A" w:rsidRPr="00F5188A">
        <w:t>Directive</w:t>
      </w:r>
      <w:proofErr w:type="spellEnd"/>
      <w:r w:rsidR="00F5188A" w:rsidRPr="00F5188A">
        <w:t xml:space="preserve"> (EU) 2014/65</w:t>
      </w:r>
      <w:r w:rsidR="00F5188A">
        <w:t>). Es sollen Leitmärkte (‚</w:t>
      </w:r>
      <w:proofErr w:type="spellStart"/>
      <w:r w:rsidR="00F5188A">
        <w:t>lead</w:t>
      </w:r>
      <w:proofErr w:type="spellEnd"/>
      <w:r w:rsidR="00F5188A">
        <w:t xml:space="preserve"> </w:t>
      </w:r>
      <w:proofErr w:type="spellStart"/>
      <w:r w:rsidR="00F5188A">
        <w:t>markets</w:t>
      </w:r>
      <w:proofErr w:type="spellEnd"/>
      <w:r w:rsidR="00F5188A">
        <w:t xml:space="preserve">‘) für erneuerbare Energie und dazugehörige Produkte etabliert werden (nach deutschem Vorbild). Es </w:t>
      </w:r>
      <w:r w:rsidR="0021221A">
        <w:t>soll</w:t>
      </w:r>
      <w:r w:rsidR="00F5188A">
        <w:t xml:space="preserve"> eine </w:t>
      </w:r>
      <w:r w:rsidR="006E5C8D">
        <w:t xml:space="preserve">Strategie im Umgang mit aufgefangenen CO2 verfolgt </w:t>
      </w:r>
      <w:r w:rsidR="0021221A">
        <w:t xml:space="preserve">werden </w:t>
      </w:r>
      <w:r w:rsidR="006E5C8D">
        <w:t xml:space="preserve">(Industrial Carbon Management </w:t>
      </w:r>
      <w:proofErr w:type="spellStart"/>
      <w:r w:rsidR="006E5C8D">
        <w:t>Strategy</w:t>
      </w:r>
      <w:proofErr w:type="spellEnd"/>
      <w:r w:rsidR="006E5C8D">
        <w:t>, die auch in die Überprüfung des ETS 2026 einfließen sollen</w:t>
      </w:r>
      <w:r w:rsidR="001230E6">
        <w:t>, wichtig für die Kreislaufwirtschafts-Idee</w:t>
      </w:r>
      <w:r w:rsidR="006E5C8D">
        <w:t>) und über den</w:t>
      </w:r>
      <w:r w:rsidR="00F5188A">
        <w:t xml:space="preserve"> Net-Zero Industrie Act </w:t>
      </w:r>
      <w:r w:rsidR="006E5C8D">
        <w:t xml:space="preserve">sollen Öl- und Gasfirmen verpflichtet werden 50 Mill. Tonnen CO2 Speicherkapazität bis 2030 bereitzustellen. </w:t>
      </w:r>
      <w:r w:rsidR="006E5C8D">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p w14:paraId="5070D999" w14:textId="77777777" w:rsidR="00AC06E2" w:rsidRDefault="00AC06E2" w:rsidP="00112190"/>
    <w:p w14:paraId="11D3BADA" w14:textId="2D65358F" w:rsidR="009C5FB6" w:rsidRDefault="001230E6" w:rsidP="00112190">
      <w:bookmarkStart w:id="104" w:name="_Hlk201524727"/>
      <w:r>
        <w:t>Der</w:t>
      </w:r>
      <w:r w:rsidR="006E5C8D">
        <w:t xml:space="preserve"> Industrial </w:t>
      </w:r>
      <w:proofErr w:type="spellStart"/>
      <w:r w:rsidR="006E5C8D">
        <w:t>Decarbonisation</w:t>
      </w:r>
      <w:proofErr w:type="spellEnd"/>
      <w:r w:rsidR="006E5C8D">
        <w:t xml:space="preserve"> </w:t>
      </w:r>
      <w:proofErr w:type="spellStart"/>
      <w:r w:rsidR="006E5C8D">
        <w:t>Accelerator</w:t>
      </w:r>
      <w:proofErr w:type="spellEnd"/>
      <w:r w:rsidR="006E5C8D">
        <w:t xml:space="preserve"> Act </w:t>
      </w:r>
      <w:r>
        <w:t>soll weiterhin</w:t>
      </w:r>
      <w:r w:rsidR="006E5C8D">
        <w:t xml:space="preserve"> Nachhaltigkeits</w:t>
      </w:r>
      <w:r w:rsidR="00A42674">
        <w:t xml:space="preserve">- und </w:t>
      </w:r>
      <w:proofErr w:type="spellStart"/>
      <w:r w:rsidR="00A42674">
        <w:t>Resilienz</w:t>
      </w:r>
      <w:r w:rsidR="006E5C8D">
        <w:t>kriterien</w:t>
      </w:r>
      <w:proofErr w:type="spellEnd"/>
      <w:r w:rsidR="006E5C8D">
        <w:t xml:space="preserve"> für energieintensive Industriesektoren einführen soll</w:t>
      </w:r>
      <w:r w:rsidR="00A42674">
        <w:t>, die auch in der öffentlichen Auftragsvergabe als Kriterien zugrunde gelegt werden können</w:t>
      </w:r>
      <w:r>
        <w:t xml:space="preserve">, dazu soll ein Vorschlag gemacht werden, wie 2026 auch ein Rahmen für die öffentliche Auftragsvergabe geändert werden kann. Es sollen auch „European </w:t>
      </w:r>
      <w:proofErr w:type="spellStart"/>
      <w:r>
        <w:t>preference</w:t>
      </w:r>
      <w:proofErr w:type="spellEnd"/>
      <w:r>
        <w:t>“ Regeln eingeführt werden</w:t>
      </w:r>
      <w:r w:rsidR="0055128F">
        <w:t xml:space="preserve"> (S. 7)</w:t>
      </w:r>
      <w:r>
        <w:t xml:space="preserve">, </w:t>
      </w:r>
      <w:bookmarkEnd w:id="104"/>
      <w:r>
        <w:t xml:space="preserve">ggf. sog. Mindestinland bzw. </w:t>
      </w:r>
      <w:proofErr w:type="spellStart"/>
      <w:r>
        <w:t>Local</w:t>
      </w:r>
      <w:proofErr w:type="spellEnd"/>
      <w:r>
        <w:t xml:space="preserve"> Content Regeln.</w:t>
      </w:r>
      <w:r w:rsidR="006E5C8D">
        <w:t xml:space="preserve"> </w:t>
      </w:r>
      <w:r w:rsidR="0055128F">
        <w:t xml:space="preserve">Ebenso sollen </w:t>
      </w:r>
      <w:r w:rsidR="006E5C8D">
        <w:t>freiwillige Label</w:t>
      </w:r>
      <w:r w:rsidR="0055128F">
        <w:t xml:space="preserve"> für CO2-Intensität entwickelt werden</w:t>
      </w:r>
      <w:r w:rsidR="006E5C8D">
        <w:t>, angefangen wird mit Stahl 2025</w:t>
      </w:r>
      <w:r>
        <w:t>.</w:t>
      </w:r>
      <w:r w:rsidR="006E5C8D">
        <w:t xml:space="preserve"> </w:t>
      </w:r>
      <w:r w:rsidR="0055128F">
        <w:t xml:space="preserve">Weiterhin sollen Lebenszyklus-Untersuchungen vorangetrieben werden, um hier eine Harmonisierung und Vereinfachung zu erreichen, diese Konzepte sollen Ende 2025 vorgestellt werden. </w:t>
      </w:r>
      <w:r w:rsidR="0021221A">
        <w:t>V</w:t>
      </w:r>
      <w:r w:rsidR="006E5C8D">
        <w:t>orgeschlagen</w:t>
      </w:r>
      <w:r w:rsidR="0021221A">
        <w:t xml:space="preserve"> wird weiterhin</w:t>
      </w:r>
      <w:r w:rsidR="006E5C8D">
        <w:t xml:space="preserve">, dass eine Industrial </w:t>
      </w:r>
      <w:proofErr w:type="spellStart"/>
      <w:r w:rsidR="006E5C8D">
        <w:t>Decarbonization</w:t>
      </w:r>
      <w:proofErr w:type="spellEnd"/>
      <w:r w:rsidR="006E5C8D">
        <w:t xml:space="preserve"> Bank gegründet werden soll</w:t>
      </w:r>
      <w:r w:rsidR="009C5FB6">
        <w:t xml:space="preserve">, die von einem </w:t>
      </w:r>
      <w:proofErr w:type="spellStart"/>
      <w:r w:rsidR="009C5FB6">
        <w:t>Competitiveness</w:t>
      </w:r>
      <w:proofErr w:type="spellEnd"/>
      <w:r w:rsidR="00F02AEA">
        <w:t xml:space="preserve"> Fu</w:t>
      </w:r>
      <w:r w:rsidR="009C5FB6">
        <w:t xml:space="preserve">nd / </w:t>
      </w:r>
      <w:r w:rsidR="006E5C8D">
        <w:t>Wettbewerbsf</w:t>
      </w:r>
      <w:r w:rsidR="00F02AEA">
        <w:t>o</w:t>
      </w:r>
      <w:r w:rsidR="006E5C8D">
        <w:t xml:space="preserve">nd </w:t>
      </w:r>
      <w:r w:rsidR="009C5FB6">
        <w:t xml:space="preserve">verwaltet werden soll. </w:t>
      </w:r>
      <w:r w:rsidR="0021221A">
        <w:t>Insgesamt sollen 480 Mrd. mehr zwischen 2021 und 2030 mobilisiert werden, als im Jahrzehnt davor, k</w:t>
      </w:r>
      <w:r w:rsidR="006E5C8D">
        <w:t>urzfristig sollen 100 Mrd. Gelder (unklar ob Kredite, Subventionen etc.?) und 1 Mrd. Garantien noch in dem derzeitigen MFF-Haushaltsrahmen bereitgestellt werden.</w:t>
      </w:r>
      <w:r w:rsidR="009C5FB6">
        <w:t xml:space="preserve"> eine Auktion von 1 Mrd. soll </w:t>
      </w:r>
      <w:proofErr w:type="gramStart"/>
      <w:r w:rsidR="009C5FB6">
        <w:t>2025  stattfinden</w:t>
      </w:r>
      <w:proofErr w:type="gramEnd"/>
      <w:r w:rsidR="009C5FB6">
        <w:t xml:space="preserve"> für Dekarbonisierung und Elektrifizierung. 6 Mrd. des Innovationfund sollen vergeben werden, Deutschland, Österreich, Litauen und Spanien wollen Förderung für Wasserstoff. Horizon Europe will mit 600 Mill. Innovationen </w:t>
      </w:r>
      <w:r w:rsidR="00C406E5">
        <w:t>fördern</w:t>
      </w:r>
      <w:r w:rsidR="009C5FB6">
        <w:t xml:space="preserve"> (anstatt Forschung und Entwicklung, jetzt: Research and Innnovation (R&amp;I). </w:t>
      </w:r>
      <w:proofErr w:type="spellStart"/>
      <w:r w:rsidR="009C5FB6">
        <w:t>InvestEU</w:t>
      </w:r>
      <w:proofErr w:type="spellEnd"/>
      <w:r w:rsidR="009C5FB6">
        <w:t xml:space="preserve"> wird mit 50 Mrd. neuer Mittel ausgestattet. Ein neuer Fund namens TechEU wird eingesetzt werden. Neue IPCEIs soll es geben. Die Europäische Investitionsbank soll ein Büro (</w:t>
      </w:r>
      <w:proofErr w:type="spellStart"/>
      <w:r w:rsidR="009C5FB6">
        <w:t>one</w:t>
      </w:r>
      <w:proofErr w:type="spellEnd"/>
      <w:r w:rsidR="009C5FB6">
        <w:t xml:space="preserve"> </w:t>
      </w:r>
      <w:proofErr w:type="spellStart"/>
      <w:r w:rsidR="009C5FB6">
        <w:t>stop</w:t>
      </w:r>
      <w:proofErr w:type="spellEnd"/>
      <w:r w:rsidR="009C5FB6">
        <w:t xml:space="preserve"> </w:t>
      </w:r>
      <w:proofErr w:type="spellStart"/>
      <w:r w:rsidR="009C5FB6">
        <w:t>shop</w:t>
      </w:r>
      <w:proofErr w:type="spellEnd"/>
      <w:r w:rsidR="009C5FB6">
        <w:t>) bekommen, bei dem man Hilfe bei Anträgen und Berechnungen bekommt.</w:t>
      </w:r>
      <w:r w:rsidR="00FA2269">
        <w:t xml:space="preserve"> Die Kreislaufwirtschaft und die kritischen Rohstoffe werden erwähnt, es soll ein Critical Raw Materials </w:t>
      </w:r>
      <w:proofErr w:type="spellStart"/>
      <w:r w:rsidR="00FA2269">
        <w:t>Centre</w:t>
      </w:r>
      <w:proofErr w:type="spellEnd"/>
      <w:r w:rsidR="00FA2269">
        <w:t xml:space="preserve"> gegründet werden. Es wird ein Kreislaufwirtschaft Akt 2026 beschlossen, der die Ökodesignrichtlinie nutzt. Es wird Maßnahmen zu schwarzer Masse geben, um die Wiederverwertung von Batterien zu erhöhen. IPCEIs sollen Recycling fördert, u.a. in Trans-Regional Recycling Hubs. Für Recycling soll eine Fact-Finding Missionen Informationen sammeln, wie die Situation im Moment </w:t>
      </w:r>
      <w:r w:rsidR="00FA2269">
        <w:lastRenderedPageBreak/>
        <w:t xml:space="preserve">aussehen. Auch Düngemittel können recycelte Komponenten enthalten und weniger abhängig von außen machen. Es sollen Clean Trade and Investment Partnerships mit anderen Ländern abschlossen werden. Ein </w:t>
      </w:r>
      <w:proofErr w:type="gramStart"/>
      <w:r w:rsidR="00FA2269">
        <w:t>CBAM Überarbeitung</w:t>
      </w:r>
      <w:proofErr w:type="gramEnd"/>
      <w:r w:rsidR="00FA2269">
        <w:t xml:space="preserve"> soll stattfinden. Die FDI Screening Regulation wird überarbeitet. Die Foreign </w:t>
      </w:r>
      <w:proofErr w:type="spellStart"/>
      <w:r w:rsidR="00FA2269">
        <w:t>Subsidies</w:t>
      </w:r>
      <w:proofErr w:type="spellEnd"/>
      <w:r w:rsidR="00FA2269">
        <w:t xml:space="preserve"> Regulation wird im Januar 2026 Guidelines veröffentlichen, wie Fusionen, die unter den Schwellenwerten liegen, dennoch </w:t>
      </w:r>
      <w:proofErr w:type="gramStart"/>
      <w:r w:rsidR="00FA2269">
        <w:t>eine Risiko</w:t>
      </w:r>
      <w:proofErr w:type="gramEnd"/>
      <w:r w:rsidR="00FA2269">
        <w:t xml:space="preserve"> für den Binnenmarkt darstellen.</w:t>
      </w:r>
      <w:r w:rsidR="0021221A">
        <w:t xml:space="preserve"> </w:t>
      </w:r>
      <w:r w:rsidR="009C5FB6">
        <w:t>Es werden Regeln für die Staatliche Beihilfe</w:t>
      </w:r>
      <w:r w:rsidR="0021221A">
        <w:t>n</w:t>
      </w:r>
      <w:r w:rsidR="009C5FB6">
        <w:t xml:space="preserve"> überarbeitet, ein Ziel ist es längere Zeithorizonte und vereinfachte Regeln unterzubringen, eine Überarbeitung der Gruppenfreistellungsverordnung soll Vereinfachungen bringen. </w:t>
      </w:r>
    </w:p>
    <w:p w14:paraId="719E6102" w14:textId="77777777" w:rsidR="0021221A" w:rsidRDefault="0021221A" w:rsidP="00112190"/>
    <w:p w14:paraId="28FEA9D0" w14:textId="023F92B1" w:rsidR="00E872D9" w:rsidRDefault="00FA2269" w:rsidP="0015245A">
      <w:pPr>
        <w:spacing w:line="240" w:lineRule="auto"/>
      </w:pPr>
      <w:r>
        <w:t xml:space="preserve">Für </w:t>
      </w:r>
      <w:r w:rsidR="0021221A">
        <w:t xml:space="preserve">einige </w:t>
      </w:r>
      <w:r>
        <w:t>Industriebereiche werden einzelne Aktionspläne vorgelegt,</w:t>
      </w:r>
      <w:r w:rsidR="00A20234">
        <w:t xml:space="preserve"> Automobile</w:t>
      </w:r>
      <w:r w:rsidR="00986DC4">
        <w:t xml:space="preserve"> (19 Seiten)</w:t>
      </w:r>
      <w:r w:rsidR="00986DC4">
        <w:rPr>
          <w:rStyle w:val="Funotenzeichen"/>
        </w:rPr>
        <w:footnoteReference w:id="1843"/>
      </w:r>
      <w:r w:rsidR="00A20234">
        <w:t xml:space="preserve"> und</w:t>
      </w:r>
      <w:r>
        <w:t xml:space="preserve"> für Stahl und Metal</w:t>
      </w:r>
      <w:r w:rsidR="00A20234">
        <w:t>l</w:t>
      </w:r>
      <w:r>
        <w:t xml:space="preserve"> liegt er vor</w:t>
      </w:r>
      <w:r w:rsidR="00A20234">
        <w:rPr>
          <w:rStyle w:val="Funotenzeichen"/>
        </w:rPr>
        <w:footnoteReference w:id="1844"/>
      </w:r>
      <w:r w:rsidR="00986DC4">
        <w:t>, hier der Direktlink zum Plan (1</w:t>
      </w:r>
      <w:r w:rsidR="0015245A">
        <w:t>8</w:t>
      </w:r>
      <w:r w:rsidR="00986DC4">
        <w:t xml:space="preserve"> Seiten)</w:t>
      </w:r>
      <w:r w:rsidR="00986DC4">
        <w:rPr>
          <w:rStyle w:val="Funotenzeichen"/>
        </w:rPr>
        <w:footnoteReference w:id="1845"/>
      </w:r>
      <w:r>
        <w:t>, Chemie wird für Ende 2025 erwartet</w:t>
      </w:r>
      <w:r w:rsidR="00986DC4">
        <w:t xml:space="preserve"> und </w:t>
      </w:r>
      <w:r>
        <w:t xml:space="preserve">es wird </w:t>
      </w:r>
      <w:r w:rsidR="00A20234">
        <w:t xml:space="preserve">ein Aktionsplan für Verkehr und eine </w:t>
      </w:r>
      <w:proofErr w:type="spellStart"/>
      <w:r w:rsidR="00A20234">
        <w:t>Bioeconomy</w:t>
      </w:r>
      <w:proofErr w:type="spellEnd"/>
      <w:r w:rsidR="00A20234">
        <w:t xml:space="preserve"> </w:t>
      </w:r>
      <w:proofErr w:type="spellStart"/>
      <w:r w:rsidR="00A20234">
        <w:t>Strategy</w:t>
      </w:r>
      <w:proofErr w:type="spellEnd"/>
      <w:r w:rsidR="00A20234">
        <w:t xml:space="preserve"> geben</w:t>
      </w:r>
      <w:r>
        <w:t>:</w:t>
      </w:r>
      <w:r w:rsidR="00986DC4">
        <w:t xml:space="preserve"> </w:t>
      </w:r>
    </w:p>
    <w:p w14:paraId="492E8A04" w14:textId="77777777" w:rsidR="00E872D9" w:rsidRDefault="00E872D9" w:rsidP="0015245A">
      <w:pPr>
        <w:spacing w:line="240" w:lineRule="auto"/>
      </w:pPr>
    </w:p>
    <w:p w14:paraId="37537A94" w14:textId="4484F50C" w:rsidR="00E872D9" w:rsidRPr="00CC69EA" w:rsidRDefault="00E872D9" w:rsidP="0015245A">
      <w:pPr>
        <w:spacing w:line="240" w:lineRule="auto"/>
      </w:pPr>
      <w:r>
        <w:t xml:space="preserve">Der Aktionsplan für die Automobilindustrie verspricht für 2026 große, grenzüberschreitende Testgebiete für autonomes Fahren (!), die Horizon Europe Förderung für Batterietechnik BATT4EU betrügt 350 Mill., dies soll auf 1 Mrd. erhöht werden. Es geht um </w:t>
      </w:r>
      <w:proofErr w:type="spellStart"/>
      <w:r>
        <w:t>Cybersecurity</w:t>
      </w:r>
      <w:proofErr w:type="spellEnd"/>
      <w:r>
        <w:t xml:space="preserve">. Bei Emissionen wird vorgeschlagen, für 2025 bis 2027 eine Überschreitung von Emissionsgrenzen (welche in der EU?) zu erlauben, wenn dies später mit niedrigen Emissionen kompensiert wird. Vorgeschlagen werden social </w:t>
      </w:r>
      <w:proofErr w:type="spellStart"/>
      <w:r>
        <w:t>leasing</w:t>
      </w:r>
      <w:proofErr w:type="spellEnd"/>
      <w:r>
        <w:t xml:space="preserve"> </w:t>
      </w:r>
      <w:proofErr w:type="spellStart"/>
      <w:r>
        <w:t>schemes</w:t>
      </w:r>
      <w:proofErr w:type="spellEnd"/>
      <w:r>
        <w:t xml:space="preserve"> für weniger reiche Bevölkerungsgruppen, als Teil der nationalen Pläne unter dem </w:t>
      </w:r>
      <w:proofErr w:type="spellStart"/>
      <w:r>
        <w:t>Social</w:t>
      </w:r>
      <w:proofErr w:type="spellEnd"/>
      <w:r>
        <w:t xml:space="preserve"> Climate Fund. Käufe von Firmen sollen beeinfluss werden, hier gibt es eine Mitteilung der Kommission. Es soll Anreize für E-LKW und Busse geben, Ausnahmen von Straßennutzungsgebühren. Es soll Diskussionen über Anreize für Konsumenten geben bzw. über Kaufprämien. Vom Innovation Fund gehen 3 Mrd. an die Batteriefertigung, die EIB will ebenso fördern</w:t>
      </w:r>
      <w:r w:rsidR="00391065">
        <w:t>, diese Förderung wird auch chinesischen Firmen zur Verfügung stehen, wenn sie eine Partnerschaft mit europäischen Firmen haben</w:t>
      </w:r>
      <w:r>
        <w:t>.</w:t>
      </w:r>
      <w:r w:rsidR="00391065">
        <w:t xml:space="preserve"> </w:t>
      </w:r>
      <w:proofErr w:type="spellStart"/>
      <w:r w:rsidR="00391065" w:rsidRPr="00CC69EA">
        <w:t>Local</w:t>
      </w:r>
      <w:proofErr w:type="spellEnd"/>
      <w:r w:rsidR="00391065" w:rsidRPr="00CC69EA">
        <w:t xml:space="preserve"> Content Maßnahmen werden</w:t>
      </w:r>
      <w:r w:rsidR="001230E6">
        <w:t xml:space="preserve"> </w:t>
      </w:r>
      <w:r w:rsidR="00391065" w:rsidRPr="00CC69EA">
        <w:t xml:space="preserve">im Industrial </w:t>
      </w:r>
      <w:proofErr w:type="spellStart"/>
      <w:r w:rsidR="00391065" w:rsidRPr="00CC69EA">
        <w:t>Decarbonization</w:t>
      </w:r>
      <w:proofErr w:type="spellEnd"/>
      <w:r w:rsidR="00391065" w:rsidRPr="00CC69EA">
        <w:t xml:space="preserve"> </w:t>
      </w:r>
      <w:proofErr w:type="spellStart"/>
      <w:r w:rsidR="00391065" w:rsidRPr="00CC69EA">
        <w:t>Accelerator</w:t>
      </w:r>
      <w:proofErr w:type="spellEnd"/>
      <w:r w:rsidR="00391065" w:rsidRPr="00CC69EA">
        <w:t xml:space="preserve"> Act und </w:t>
      </w:r>
      <w:r w:rsidR="0055128F">
        <w:t xml:space="preserve">möglicherweise auch </w:t>
      </w:r>
      <w:r w:rsidR="00391065" w:rsidRPr="00CC69EA">
        <w:t>i</w:t>
      </w:r>
      <w:r w:rsidR="001230E6">
        <w:t>m</w:t>
      </w:r>
      <w:r w:rsidR="00391065" w:rsidRPr="00CC69EA">
        <w:t xml:space="preserve"> </w:t>
      </w:r>
      <w:proofErr w:type="spellStart"/>
      <w:r w:rsidR="00391065" w:rsidRPr="00CC69EA">
        <w:t>Circular</w:t>
      </w:r>
      <w:proofErr w:type="spellEnd"/>
      <w:r w:rsidR="00391065" w:rsidRPr="00CC69EA">
        <w:t xml:space="preserve"> Economy Act Beachtung finden.</w:t>
      </w:r>
    </w:p>
    <w:p w14:paraId="43086F86" w14:textId="77777777" w:rsidR="00E872D9" w:rsidRPr="00CC69EA" w:rsidRDefault="00E872D9" w:rsidP="0015245A">
      <w:pPr>
        <w:spacing w:line="240" w:lineRule="auto"/>
      </w:pPr>
    </w:p>
    <w:p w14:paraId="18DDEBC7" w14:textId="34152589" w:rsidR="00FA2269" w:rsidRDefault="003D195A" w:rsidP="0015245A">
      <w:pPr>
        <w:spacing w:line="240" w:lineRule="auto"/>
      </w:pPr>
      <w:r>
        <w:t>Der Aktionsplan für Stahl und Metall ist lakonisch:</w:t>
      </w:r>
      <w:r w:rsidR="00CC69EA">
        <w:t xml:space="preserve"> Zu Anfang wird geschlossen, dass zuerst einmal Elektrifizierung am effizientesten ist, </w:t>
      </w:r>
      <w:r w:rsidR="00962216">
        <w:t>bevor man</w:t>
      </w:r>
      <w:r w:rsidR="00CC69EA">
        <w:t xml:space="preserve"> teurere</w:t>
      </w:r>
      <w:r w:rsidR="00962216">
        <w:t>n</w:t>
      </w:r>
      <w:r w:rsidR="00CC69EA">
        <w:t xml:space="preserve"> Wasserstoff</w:t>
      </w:r>
      <w:r w:rsidR="00962216">
        <w:t xml:space="preserve"> einsetzt</w:t>
      </w:r>
      <w:r w:rsidR="00CC69EA">
        <w:rPr>
          <w:rStyle w:val="Funotenzeichen"/>
        </w:rPr>
        <w:footnoteReference w:id="1846"/>
      </w:r>
      <w:r w:rsidR="00CC69EA">
        <w:t xml:space="preserve">, deshalb seien günstige Strompreise wichtig, es wird angeregt, hierbei die Möglichkeiten für Staatshilfen in diesem Bereich zu nutzen, </w:t>
      </w:r>
      <w:r w:rsidR="00353F84">
        <w:t xml:space="preserve">etwa im Bereich der State Aid Guidelines für Emission Trading System (ETS), </w:t>
      </w:r>
      <w:r w:rsidR="00CC69EA">
        <w:t>generell werden die State Aid Regeln überarbeitet und es sollen einfachere Verfahren eingeführt werden</w:t>
      </w:r>
      <w:r w:rsidR="00353F84">
        <w:t xml:space="preserve">. Weil aber Wasserstoff doch nötig sei, </w:t>
      </w:r>
      <w:r w:rsidR="00962216">
        <w:t>soll</w:t>
      </w:r>
      <w:r w:rsidR="00CC69EA">
        <w:t xml:space="preserve"> </w:t>
      </w:r>
      <w:r>
        <w:t xml:space="preserve">eine Definition von </w:t>
      </w:r>
      <w:proofErr w:type="spellStart"/>
      <w:r>
        <w:t>low-carbon</w:t>
      </w:r>
      <w:proofErr w:type="spellEnd"/>
      <w:r>
        <w:t xml:space="preserve"> hydrogen verabschiedet</w:t>
      </w:r>
      <w:r w:rsidR="00962216">
        <w:t xml:space="preserve"> (vielleicht von Stahl, die im elektrisch betriebenen Schmelzofen hergestellt wurden, jedenfalls kein vollständig</w:t>
      </w:r>
      <w:r w:rsidR="00CC69EA">
        <w:t xml:space="preserve"> </w:t>
      </w:r>
      <w:r>
        <w:t>grüne</w:t>
      </w:r>
      <w:r w:rsidR="00962216">
        <w:t>r</w:t>
      </w:r>
      <w:r>
        <w:t xml:space="preserve"> Wasserstoff</w:t>
      </w:r>
      <w:r w:rsidR="00962216">
        <w:t xml:space="preserve"> aus einer Direktreduktionsanlagen).</w:t>
      </w:r>
      <w:r>
        <w:t xml:space="preserve"> </w:t>
      </w:r>
      <w:r w:rsidR="00962216">
        <w:t>D</w:t>
      </w:r>
      <w:r>
        <w:t>ie Wasserstoffbank macht ihre Dritte Ausschreibungsrunde</w:t>
      </w:r>
      <w:r w:rsidR="00962216">
        <w:t xml:space="preserve"> (</w:t>
      </w:r>
      <w:r>
        <w:t xml:space="preserve">aber sie kann keinen 2 Mrd. Umbau in der </w:t>
      </w:r>
      <w:r>
        <w:lastRenderedPageBreak/>
        <w:t>Stahlindustrie finanzieren</w:t>
      </w:r>
      <w:r w:rsidR="00962216">
        <w:t>)</w:t>
      </w:r>
      <w:r w:rsidR="00353F84">
        <w:t xml:space="preserve"> und die European Hydrogen Alliance</w:t>
      </w:r>
      <w:r w:rsidR="00353F84">
        <w:rPr>
          <w:rStyle w:val="Funotenzeichen"/>
        </w:rPr>
        <w:footnoteReference w:id="1847"/>
      </w:r>
      <w:r w:rsidR="00F02AEA">
        <w:t>, siehe auch hier</w:t>
      </w:r>
      <w:r w:rsidR="00353F84">
        <w:rPr>
          <w:rStyle w:val="Funotenzeichen"/>
        </w:rPr>
        <w:footnoteReference w:id="1848"/>
      </w:r>
      <w:r w:rsidR="00F02AEA">
        <w:t>,</w:t>
      </w:r>
      <w:r w:rsidR="00353F84">
        <w:t xml:space="preserve"> soll dazu gebracht werden, ggf. Stahlprojekte zu </w:t>
      </w:r>
      <w:proofErr w:type="spellStart"/>
      <w:r w:rsidR="00353F84">
        <w:t>prioritisieren</w:t>
      </w:r>
      <w:proofErr w:type="spellEnd"/>
      <w:r w:rsidR="00962216">
        <w:t xml:space="preserve"> (wie soll sie dies schaffen?)</w:t>
      </w:r>
      <w:r w:rsidR="00353F84">
        <w:t>.</w:t>
      </w:r>
      <w:r>
        <w:t xml:space="preserve"> </w:t>
      </w:r>
      <w:r w:rsidR="00353F84">
        <w:t>E</w:t>
      </w:r>
      <w:r>
        <w:t xml:space="preserve">s erfolgt das </w:t>
      </w:r>
      <w:proofErr w:type="gramStart"/>
      <w:r>
        <w:t>CBAM Review</w:t>
      </w:r>
      <w:proofErr w:type="gramEnd"/>
      <w:r>
        <w:t>, handelspolitische Maßnahmen werden verwendet</w:t>
      </w:r>
      <w:r w:rsidR="00D80712">
        <w:t xml:space="preserve">, hier </w:t>
      </w:r>
      <w:r w:rsidR="00962216">
        <w:t>sollen</w:t>
      </w:r>
      <w:r w:rsidR="00D80712">
        <w:t xml:space="preserve"> </w:t>
      </w:r>
      <w:proofErr w:type="gramStart"/>
      <w:r w:rsidR="00D80712">
        <w:t>eine neue Regeln</w:t>
      </w:r>
      <w:proofErr w:type="gramEnd"/>
      <w:r w:rsidR="00D80712">
        <w:t xml:space="preserve"> eingeführt</w:t>
      </w:r>
      <w:r w:rsidR="00962216">
        <w:t xml:space="preserve"> werden</w:t>
      </w:r>
      <w:r w:rsidR="00D80712">
        <w:t xml:space="preserve">, um Umgehung zu vermeiden </w:t>
      </w:r>
      <w:r w:rsidR="00962216">
        <w:t xml:space="preserve">etwa eine </w:t>
      </w:r>
      <w:r w:rsidR="00D80712">
        <w:t>‚</w:t>
      </w:r>
      <w:proofErr w:type="spellStart"/>
      <w:r w:rsidR="00D80712">
        <w:t>melted</w:t>
      </w:r>
      <w:proofErr w:type="spellEnd"/>
      <w:r w:rsidR="00D80712">
        <w:t xml:space="preserve"> and </w:t>
      </w:r>
      <w:proofErr w:type="spellStart"/>
      <w:r w:rsidR="00D80712">
        <w:t>poured</w:t>
      </w:r>
      <w:proofErr w:type="spellEnd"/>
      <w:r w:rsidR="00D80712">
        <w:t xml:space="preserve"> </w:t>
      </w:r>
      <w:proofErr w:type="spellStart"/>
      <w:r w:rsidR="00D80712">
        <w:t>rule</w:t>
      </w:r>
      <w:proofErr w:type="spellEnd"/>
      <w:r w:rsidR="00D80712">
        <w:t>‘, bei Leitmärkten geht es nur um Labels</w:t>
      </w:r>
      <w:r>
        <w:t>.</w:t>
      </w:r>
      <w:r w:rsidR="00D80712">
        <w:t xml:space="preserve"> Ganz zum Schluss, auf S. 1</w:t>
      </w:r>
      <w:r w:rsidR="0015245A">
        <w:t>6</w:t>
      </w:r>
      <w:r w:rsidR="00D80712">
        <w:t xml:space="preserve"> von 1</w:t>
      </w:r>
      <w:r w:rsidR="0015245A">
        <w:t>8</w:t>
      </w:r>
      <w:r w:rsidR="00D80712">
        <w:t xml:space="preserve"> Seiten geht es dann um den Umbau</w:t>
      </w:r>
      <w:r w:rsidR="00962216">
        <w:t xml:space="preserve"> der Stahlindustrie</w:t>
      </w:r>
      <w:r w:rsidR="00D80712">
        <w:t xml:space="preserve">. </w:t>
      </w:r>
      <w:bookmarkStart w:id="105" w:name="_Hlk203830467"/>
      <w:r w:rsidR="00D80712">
        <w:t>Es sei</w:t>
      </w:r>
      <w:r w:rsidR="0015245A">
        <w:t>en</w:t>
      </w:r>
      <w:r w:rsidR="00D80712">
        <w:t xml:space="preserve"> von 2022 bis Februar 2025 9 Mrd. staatliche Subventionen für die Stahlindustrie genehmigt worden (nicht von der EU gezahlt worden)</w:t>
      </w:r>
      <w:r w:rsidR="00F02AEA">
        <w:t>: „</w:t>
      </w:r>
      <w:proofErr w:type="spellStart"/>
      <w:r w:rsidR="00F02AEA" w:rsidRPr="00F02AEA">
        <w:t>Recent</w:t>
      </w:r>
      <w:proofErr w:type="spellEnd"/>
      <w:r w:rsidR="00F02AEA" w:rsidRPr="00F02AEA">
        <w:t xml:space="preserve"> </w:t>
      </w:r>
      <w:proofErr w:type="spellStart"/>
      <w:r w:rsidR="00F02AEA" w:rsidRPr="00F02AEA">
        <w:t>examples</w:t>
      </w:r>
      <w:proofErr w:type="spellEnd"/>
      <w:r w:rsidR="00F02AEA" w:rsidRPr="00F02AEA">
        <w:t xml:space="preserve"> </w:t>
      </w:r>
      <w:proofErr w:type="spellStart"/>
      <w:r w:rsidR="00F02AEA" w:rsidRPr="00F02AEA">
        <w:t>of</w:t>
      </w:r>
      <w:proofErr w:type="spellEnd"/>
      <w:r w:rsidR="00F02AEA" w:rsidRPr="00F02AEA">
        <w:t xml:space="preserve"> </w:t>
      </w:r>
      <w:proofErr w:type="spellStart"/>
      <w:r w:rsidR="00F02AEA" w:rsidRPr="00F02AEA">
        <w:t>approved</w:t>
      </w:r>
      <w:proofErr w:type="spellEnd"/>
      <w:r w:rsidR="00F02AEA" w:rsidRPr="00F02AEA">
        <w:t xml:space="preserve"> </w:t>
      </w:r>
      <w:proofErr w:type="spellStart"/>
      <w:r w:rsidR="00F02AEA" w:rsidRPr="00F02AEA">
        <w:t>schemes</w:t>
      </w:r>
      <w:proofErr w:type="spellEnd"/>
      <w:r w:rsidR="00F02AEA" w:rsidRPr="00F02AEA">
        <w:t xml:space="preserve"> </w:t>
      </w:r>
      <w:proofErr w:type="spellStart"/>
      <w:r w:rsidR="00F02AEA" w:rsidRPr="00F02AEA">
        <w:t>which</w:t>
      </w:r>
      <w:proofErr w:type="spellEnd"/>
      <w:r w:rsidR="00F02AEA" w:rsidRPr="00F02AEA">
        <w:t xml:space="preserve"> will </w:t>
      </w:r>
      <w:proofErr w:type="spellStart"/>
      <w:r w:rsidR="00F02AEA" w:rsidRPr="00F02AEA">
        <w:t>or</w:t>
      </w:r>
      <w:proofErr w:type="spellEnd"/>
      <w:r w:rsidR="00F02AEA" w:rsidRPr="00F02AEA">
        <w:t xml:space="preserve"> </w:t>
      </w:r>
      <w:proofErr w:type="spellStart"/>
      <w:r w:rsidR="00F02AEA" w:rsidRPr="00F02AEA">
        <w:t>can</w:t>
      </w:r>
      <w:proofErr w:type="spellEnd"/>
      <w:r w:rsidR="00F02AEA" w:rsidRPr="00F02AEA">
        <w:t xml:space="preserve"> also </w:t>
      </w:r>
      <w:proofErr w:type="spellStart"/>
      <w:r w:rsidR="00F02AEA" w:rsidRPr="00F02AEA">
        <w:t>benefit</w:t>
      </w:r>
      <w:proofErr w:type="spellEnd"/>
      <w:r w:rsidR="00F02AEA" w:rsidRPr="00F02AEA">
        <w:t xml:space="preserve"> </w:t>
      </w:r>
      <w:proofErr w:type="spellStart"/>
      <w:r w:rsidR="00F02AEA" w:rsidRPr="00F02AEA">
        <w:t>the</w:t>
      </w:r>
      <w:proofErr w:type="spellEnd"/>
      <w:r w:rsidR="00F02AEA" w:rsidRPr="00F02AEA">
        <w:t xml:space="preserve"> </w:t>
      </w:r>
      <w:proofErr w:type="spellStart"/>
      <w:r w:rsidR="00F02AEA" w:rsidRPr="00F02AEA">
        <w:t>steel</w:t>
      </w:r>
      <w:proofErr w:type="spellEnd"/>
      <w:r w:rsidR="00F02AEA" w:rsidRPr="00F02AEA">
        <w:t xml:space="preserve"> </w:t>
      </w:r>
      <w:proofErr w:type="spellStart"/>
      <w:r w:rsidR="00F02AEA" w:rsidRPr="00F02AEA">
        <w:t>industry</w:t>
      </w:r>
      <w:proofErr w:type="spellEnd"/>
      <w:r w:rsidR="00F02AEA" w:rsidRPr="00F02AEA">
        <w:t xml:space="preserve"> </w:t>
      </w:r>
      <w:proofErr w:type="spellStart"/>
      <w:r w:rsidR="00F02AEA" w:rsidRPr="00F02AEA">
        <w:t>are</w:t>
      </w:r>
      <w:proofErr w:type="spellEnd"/>
      <w:r w:rsidR="00F02AEA" w:rsidRPr="00F02AEA">
        <w:t xml:space="preserve"> </w:t>
      </w:r>
      <w:proofErr w:type="spellStart"/>
      <w:r w:rsidR="00F02AEA" w:rsidRPr="00F02AEA">
        <w:t>two</w:t>
      </w:r>
      <w:proofErr w:type="spellEnd"/>
      <w:r w:rsidR="00F02AEA" w:rsidRPr="00F02AEA">
        <w:t xml:space="preserve"> Slovak </w:t>
      </w:r>
      <w:proofErr w:type="spellStart"/>
      <w:r w:rsidR="00F02AEA" w:rsidRPr="00F02AEA">
        <w:t>schemes</w:t>
      </w:r>
      <w:proofErr w:type="spellEnd"/>
      <w:r w:rsidR="00F02AEA" w:rsidRPr="00F02AEA">
        <w:t xml:space="preserve"> </w:t>
      </w:r>
      <w:proofErr w:type="spellStart"/>
      <w:r w:rsidR="00F02AEA" w:rsidRPr="00F02AEA">
        <w:t>with</w:t>
      </w:r>
      <w:proofErr w:type="spellEnd"/>
      <w:r w:rsidR="00F02AEA" w:rsidRPr="00F02AEA">
        <w:t xml:space="preserve"> a total </w:t>
      </w:r>
      <w:proofErr w:type="spellStart"/>
      <w:r w:rsidR="00F02AEA" w:rsidRPr="00F02AEA">
        <w:t>budget</w:t>
      </w:r>
      <w:proofErr w:type="spellEnd"/>
      <w:r w:rsidR="00F02AEA" w:rsidRPr="00F02AEA">
        <w:t xml:space="preserve"> </w:t>
      </w:r>
      <w:proofErr w:type="spellStart"/>
      <w:r w:rsidR="00F02AEA" w:rsidRPr="00F02AEA">
        <w:t>of</w:t>
      </w:r>
      <w:proofErr w:type="spellEnd"/>
      <w:r w:rsidR="00F02AEA" w:rsidRPr="00F02AEA">
        <w:t xml:space="preserve"> EUR 1.1 </w:t>
      </w:r>
      <w:proofErr w:type="spellStart"/>
      <w:r w:rsidR="00F02AEA" w:rsidRPr="00F02AEA">
        <w:t>billion</w:t>
      </w:r>
      <w:proofErr w:type="spellEnd"/>
      <w:r w:rsidR="00F02AEA" w:rsidRPr="00F02AEA">
        <w:t xml:space="preserve">, a EUR 550 </w:t>
      </w:r>
      <w:proofErr w:type="spellStart"/>
      <w:r w:rsidR="00F02AEA" w:rsidRPr="00F02AEA">
        <w:t>million</w:t>
      </w:r>
      <w:proofErr w:type="spellEnd"/>
      <w:r w:rsidR="00F02AEA" w:rsidRPr="00F02AEA">
        <w:t xml:space="preserve"> </w:t>
      </w:r>
      <w:proofErr w:type="spellStart"/>
      <w:r w:rsidR="00F02AEA" w:rsidRPr="00F02AEA">
        <w:t>Italian</w:t>
      </w:r>
      <w:proofErr w:type="spellEnd"/>
      <w:r w:rsidR="00F02AEA" w:rsidRPr="00F02AEA">
        <w:t xml:space="preserve"> </w:t>
      </w:r>
      <w:proofErr w:type="spellStart"/>
      <w:r w:rsidR="00F02AEA" w:rsidRPr="00F02AEA">
        <w:t>scheme</w:t>
      </w:r>
      <w:proofErr w:type="spellEnd"/>
      <w:r w:rsidR="00F02AEA" w:rsidRPr="00F02AEA">
        <w:t xml:space="preserve">, a EUR 4 </w:t>
      </w:r>
      <w:proofErr w:type="spellStart"/>
      <w:r w:rsidR="00F02AEA" w:rsidRPr="00F02AEA">
        <w:t>billion</w:t>
      </w:r>
      <w:proofErr w:type="spellEnd"/>
      <w:r w:rsidR="00F02AEA" w:rsidRPr="00F02AEA">
        <w:t xml:space="preserve"> German </w:t>
      </w:r>
      <w:proofErr w:type="spellStart"/>
      <w:r w:rsidR="00F02AEA" w:rsidRPr="00F02AEA">
        <w:t>scheme</w:t>
      </w:r>
      <w:proofErr w:type="spellEnd"/>
      <w:r w:rsidR="00F02AEA" w:rsidRPr="00F02AEA">
        <w:t xml:space="preserve">, a EUR 3 </w:t>
      </w:r>
      <w:proofErr w:type="spellStart"/>
      <w:r w:rsidR="00F02AEA" w:rsidRPr="00F02AEA">
        <w:t>billion</w:t>
      </w:r>
      <w:proofErr w:type="spellEnd"/>
      <w:r w:rsidR="00F02AEA" w:rsidRPr="00F02AEA">
        <w:t xml:space="preserve"> French </w:t>
      </w:r>
      <w:proofErr w:type="spellStart"/>
      <w:r w:rsidR="00F02AEA" w:rsidRPr="00F02AEA">
        <w:t>scheme</w:t>
      </w:r>
      <w:proofErr w:type="spellEnd"/>
      <w:r w:rsidR="00F02AEA" w:rsidRPr="00F02AEA">
        <w:t xml:space="preserve">, a EUR 2.7 </w:t>
      </w:r>
      <w:proofErr w:type="spellStart"/>
      <w:r w:rsidR="00F02AEA" w:rsidRPr="00F02AEA">
        <w:t>billion</w:t>
      </w:r>
      <w:proofErr w:type="spellEnd"/>
      <w:r w:rsidR="00F02AEA" w:rsidRPr="00F02AEA">
        <w:t xml:space="preserve"> Austrian </w:t>
      </w:r>
      <w:proofErr w:type="spellStart"/>
      <w:r w:rsidR="00F02AEA" w:rsidRPr="00F02AEA">
        <w:t>scheme</w:t>
      </w:r>
      <w:proofErr w:type="spellEnd"/>
      <w:r w:rsidR="00F02AEA" w:rsidRPr="00F02AEA">
        <w:t xml:space="preserve"> and a EUR 2.5 </w:t>
      </w:r>
      <w:proofErr w:type="spellStart"/>
      <w:r w:rsidR="00F02AEA" w:rsidRPr="00F02AEA">
        <w:t>billion</w:t>
      </w:r>
      <w:proofErr w:type="spellEnd"/>
      <w:r w:rsidR="00F02AEA" w:rsidRPr="00F02AEA">
        <w:t xml:space="preserve"> Czech </w:t>
      </w:r>
      <w:proofErr w:type="spellStart"/>
      <w:r w:rsidR="00F02AEA" w:rsidRPr="00F02AEA">
        <w:t>scheme</w:t>
      </w:r>
      <w:proofErr w:type="spellEnd"/>
      <w:r w:rsidR="00F02AEA" w:rsidRPr="00F02AEA">
        <w:t>.“</w:t>
      </w:r>
      <w:r>
        <w:rPr>
          <w:rStyle w:val="Funotenzeichen"/>
        </w:rPr>
        <w:footnoteReference w:id="1849"/>
      </w:r>
      <w:bookmarkEnd w:id="105"/>
      <w:r>
        <w:t xml:space="preserve"> </w:t>
      </w:r>
      <w:r w:rsidR="0015245A">
        <w:t xml:space="preserve"> </w:t>
      </w:r>
      <w:r w:rsidR="00A20234">
        <w:t xml:space="preserve">Für den Stahl- und Metallbereich liegt </w:t>
      </w:r>
      <w:r>
        <w:t xml:space="preserve">auch </w:t>
      </w:r>
      <w:r w:rsidR="00A20234">
        <w:t xml:space="preserve">ein </w:t>
      </w:r>
      <w:proofErr w:type="spellStart"/>
      <w:r w:rsidR="00A20234">
        <w:t>Transitions</w:t>
      </w:r>
      <w:proofErr w:type="spellEnd"/>
      <w:r w:rsidR="00A20234">
        <w:t xml:space="preserve"> </w:t>
      </w:r>
      <w:proofErr w:type="spellStart"/>
      <w:r w:rsidR="00A20234">
        <w:t>Pathway</w:t>
      </w:r>
      <w:proofErr w:type="spellEnd"/>
      <w:r w:rsidR="00A20234">
        <w:t xml:space="preserve"> vor, vom Dezember 2024</w:t>
      </w:r>
      <w:r w:rsidR="00BC453E">
        <w:t>, der aber keinen Übergangspfad für den Metallbereich aufzeigt, sondern eine Zusammenfassung von Stakeholder Konsultation zu einer Vielzahl von Themen</w:t>
      </w:r>
      <w:r w:rsidR="00962216">
        <w:t xml:space="preserve"> ist, </w:t>
      </w:r>
      <w:r w:rsidR="00BC453E">
        <w:t xml:space="preserve">ein Schwerpunkt ist </w:t>
      </w:r>
      <w:r w:rsidR="00962216">
        <w:t xml:space="preserve">dabei </w:t>
      </w:r>
      <w:r w:rsidR="00BC453E">
        <w:t>die Verfügbarkeit von Rohstoffen</w:t>
      </w:r>
      <w:r w:rsidR="00A20234">
        <w:t>.</w:t>
      </w:r>
      <w:r w:rsidR="00A20234">
        <w:rPr>
          <w:rStyle w:val="Funotenzeichen"/>
        </w:rPr>
        <w:footnoteReference w:id="1850"/>
      </w:r>
    </w:p>
    <w:p w14:paraId="0839CC7E" w14:textId="77777777" w:rsidR="00FA2269" w:rsidRDefault="00FA2269" w:rsidP="00112190"/>
    <w:p w14:paraId="7D9FA27D" w14:textId="4FAA9814" w:rsidR="00AC06E2" w:rsidRDefault="002A2E6D" w:rsidP="00112190">
      <w:r>
        <w:t xml:space="preserve">Dies sind die </w:t>
      </w:r>
      <w:r w:rsidR="00AC06E2">
        <w:t>Hauptpunkte des Aktionsplan</w:t>
      </w:r>
      <w:r w:rsidR="00A9353E">
        <w:t>s</w:t>
      </w:r>
      <w:r w:rsidR="00AC06E2">
        <w:t xml:space="preserve"> für erschwingliche Energie, COM (2025) 79 final, 26.2.2025</w:t>
      </w:r>
      <w:r w:rsidR="00AC06E2">
        <w:rPr>
          <w:rStyle w:val="Funotenzeichen"/>
        </w:rPr>
        <w:footnoteReference w:id="1851"/>
      </w:r>
      <w:r w:rsidR="00AC06E2">
        <w:t xml:space="preserve"> sind wie folgt</w:t>
      </w:r>
      <w:r>
        <w:t xml:space="preserve"> (ohne Seitenangaben hinter den Sätzen)</w:t>
      </w:r>
      <w:r w:rsidR="00AC06E2">
        <w:t xml:space="preserve">: </w:t>
      </w:r>
    </w:p>
    <w:p w14:paraId="06353B99" w14:textId="77777777" w:rsidR="00AC06E2" w:rsidRDefault="00AC06E2" w:rsidP="00112190"/>
    <w:p w14:paraId="0FA68360" w14:textId="650135C8" w:rsidR="00B03D21" w:rsidRDefault="00962216" w:rsidP="00112190">
      <w:r>
        <w:t>Festgestellt wird, dass d</w:t>
      </w:r>
      <w:r w:rsidR="00555BA7">
        <w:t>ie Energiekosten zu hoch</w:t>
      </w:r>
      <w:r>
        <w:t xml:space="preserve"> sind</w:t>
      </w:r>
      <w:r w:rsidR="00555BA7">
        <w:t xml:space="preserve">, kurzfristig muss Erdgas und auch Strom billiger wird, u.a. durch </w:t>
      </w:r>
      <w:r w:rsidR="00B03D21">
        <w:t xml:space="preserve">gemeinsamen Kauf von Erdgas, dann Senkung von Netzentgelten. Gleichzeitig sollen aber Netze und erneuerbare Energien beschleunigt ausgebaut werden, wodurch erhebliche Kosten entstehen. Die Vorschläge der EU enthalten hier aber nicht viel Neuen: Subventionierung des Netzausbaus, Senkung von Energiesteuern, Bürger sollen auf billigere Stromanbieter wechseln, der Strommarkt soll flexibler werden, </w:t>
      </w:r>
      <w:r w:rsidR="002C7754">
        <w:t xml:space="preserve">Energieeffizienz erhöhen, besonders für kleine- und mittlere Unternehmen, mit der Mischfinanzierungsmaßnahmen LIFE-CET für technische Hilfe von </w:t>
      </w:r>
      <w:proofErr w:type="spellStart"/>
      <w:r w:rsidR="002C7754">
        <w:t>InvestEU</w:t>
      </w:r>
      <w:proofErr w:type="spellEnd"/>
      <w:r w:rsidR="002C7754">
        <w:t xml:space="preserve">, </w:t>
      </w:r>
      <w:r w:rsidR="00B03D21">
        <w:t>Verkürzung der Genehmigung für erneuerbar Energien</w:t>
      </w:r>
      <w:r w:rsidR="002C7754">
        <w:t>, ein neuer Aktionsplan für Elektrifizierung (Anfang 2026), für Wärme- und Kälteerzeugung (Anfang 2026), ein Europäischer Strategieplan für Energietechnologie (SET-Plan</w:t>
      </w:r>
      <w:r w:rsidR="00EC7A2C">
        <w:t>)</w:t>
      </w:r>
      <w:r w:rsidR="002C7754">
        <w:t xml:space="preserve"> wird verfolgt</w:t>
      </w:r>
      <w:r w:rsidR="00EC7A2C">
        <w:t>.</w:t>
      </w:r>
      <w:r w:rsidR="002C7754">
        <w:t xml:space="preserve"> </w:t>
      </w:r>
      <w:r w:rsidR="00B03D21">
        <w:t xml:space="preserve"> </w:t>
      </w:r>
    </w:p>
    <w:p w14:paraId="6D6455FB" w14:textId="77777777" w:rsidR="00B03D21" w:rsidRDefault="00B03D21" w:rsidP="00112190"/>
    <w:p w14:paraId="14B4F035" w14:textId="7AE1E957" w:rsidR="00555BA7" w:rsidRDefault="00B03D21" w:rsidP="00112190">
      <w:r>
        <w:t>Neu ist: Garantien für Strombezugsverträg</w:t>
      </w:r>
      <w:r w:rsidR="00962216">
        <w:t>e</w:t>
      </w:r>
      <w:r>
        <w:t>. Die EIB stellt ein ‚Netzherstellungspaket‘ bereit, mit Rückgarantien für Hersteller von Netzkompo</w:t>
      </w:r>
      <w:r w:rsidR="00962216">
        <w:t>n</w:t>
      </w:r>
      <w:r>
        <w:t>enten (offenbar Garantien für Kabelhersteller, Transformatorhersteller). Gute Idee.</w:t>
      </w:r>
      <w:r w:rsidR="002C7754">
        <w:t xml:space="preserve"> Eine Gasmarkt-Taskforce sollen den Gasmarkt durchleuchten, bis Ende 2025, eine Nachfragebündelung bei LNG wird vorgeschlagen, das japanische Modell geprüft (wahrscheinlich </w:t>
      </w:r>
      <w:proofErr w:type="gramStart"/>
      <w:r w:rsidR="002C7754">
        <w:t>eine großes staatliches Unternehmen</w:t>
      </w:r>
      <w:proofErr w:type="gramEnd"/>
      <w:r w:rsidR="002C7754">
        <w:t>, dass LNG kauft und auch in LNG investiert). Die EU stellt eine Taskforce für die Energieunion zusammen</w:t>
      </w:r>
      <w:r w:rsidR="00EC7A2C">
        <w:t xml:space="preserve">, befürchtet wird ein Anstieg der Systemkosten auf 103 Mrd. offenbar pro Jahr (mit Verweis auf eine Studie Redispatch und </w:t>
      </w:r>
      <w:proofErr w:type="spellStart"/>
      <w:r w:rsidR="00EC7A2C">
        <w:t>Congestion</w:t>
      </w:r>
      <w:proofErr w:type="spellEnd"/>
      <w:r w:rsidR="00EC7A2C">
        <w:t xml:space="preserve"> Management</w:t>
      </w:r>
      <w:r w:rsidR="00EC7A2C">
        <w:rPr>
          <w:rStyle w:val="Funotenzeichen"/>
        </w:rPr>
        <w:footnoteReference w:id="1852"/>
      </w:r>
      <w:r w:rsidR="00EC7A2C">
        <w:t>), es werden Schätzungen für Einsparpotentiale kommuniziert</w:t>
      </w:r>
      <w:r w:rsidR="00D46379">
        <w:t>.</w:t>
      </w:r>
      <w:r w:rsidR="00D46379">
        <w:rPr>
          <w:rStyle w:val="Funotenzeichen"/>
        </w:rPr>
        <w:footnoteReference w:id="1853"/>
      </w:r>
      <w:r w:rsidR="00EC7A2C">
        <w:t xml:space="preserve"> </w:t>
      </w:r>
    </w:p>
    <w:p w14:paraId="6C37B976" w14:textId="77777777" w:rsidR="00555BA7" w:rsidRDefault="00555BA7" w:rsidP="00112190"/>
    <w:p w14:paraId="4274CD11" w14:textId="17112213" w:rsidR="00D46379" w:rsidRDefault="00D46379" w:rsidP="00112190">
      <w:r>
        <w:t>Weiterhin wird festgestellt, dass viele Investitionen benötigt werden:</w:t>
      </w:r>
    </w:p>
    <w:p w14:paraId="15B1E44D" w14:textId="77777777" w:rsidR="00D46379" w:rsidRDefault="00D46379" w:rsidP="00112190"/>
    <w:p w14:paraId="36E723DD" w14:textId="1697FD9D" w:rsidR="002C7754" w:rsidRDefault="002C7754" w:rsidP="002C7754">
      <w:r>
        <w:t>„Um ihre Energie- und Klimaziele zu erreichen, benötigt die EU zwischen 2021 und 2030 jährlich mehr als 570 Mrd. EUR und von 2031 bis 2040 jährlich 690 Mrd. EUR für Investitionen in erneuerbare Energien, einschließlich Solarenergie, Windkraft und Biomasse, Energieeffizienz und Netzkapazität. Die Kommission wird ferner den Investitionsbedarf im Bereich Kernenergie bewerten und Investitionen in saubere Energietechnologien der nächsten Generation, wie Kernfusion, verbesserte geothermische Batterien und Feststoffbatterien, sowie in bestehende Kapazitäten, z. B. für die Modernisierung, fördern. Da der Großteil der Investitionen aus privatem Kapital stammen muss, müssen öffentliche Mittel gezielter eingesetzt werden, um private Investitionen zu mobilisieren, indem das Risiko strategischer Projekte insbesondere durch Garantie- und Eigenkapitalinstrumente verringert wird. Die Kommission wird mithilfe einer Investitionsstrategie für saubere Energie die</w:t>
      </w:r>
    </w:p>
    <w:p w14:paraId="5C57B02C" w14:textId="77777777" w:rsidR="002C7754" w:rsidRDefault="002C7754" w:rsidP="002C7754">
      <w:r>
        <w:t>Investitionslücke schließen und privates Kapital für die Energiewende mobilisieren sowie ein</w:t>
      </w:r>
    </w:p>
    <w:p w14:paraId="2367F09A" w14:textId="5EC5FD00" w:rsidR="00555BA7" w:rsidRDefault="002C7754" w:rsidP="002C7754">
      <w:r>
        <w:t>aktualisiertes Hinweisendes Nuklearprogramm vorlegen.“</w:t>
      </w:r>
      <w:r w:rsidRPr="002C7754">
        <w:rPr>
          <w:rStyle w:val="Funotenzeichen"/>
        </w:rPr>
        <w:t xml:space="preserve"> </w:t>
      </w:r>
      <w:r>
        <w:rPr>
          <w:rStyle w:val="Funotenzeichen"/>
        </w:rPr>
        <w:footnoteReference w:id="1854"/>
      </w:r>
    </w:p>
    <w:p w14:paraId="6780C598" w14:textId="03513962" w:rsidR="00D46379" w:rsidRDefault="00D46379" w:rsidP="00112190"/>
    <w:p w14:paraId="37C8A7A3" w14:textId="6A61287D" w:rsidR="00D46379" w:rsidRDefault="00D46379" w:rsidP="00AC06E2">
      <w:r>
        <w:t xml:space="preserve">Interessanterweise gibt es </w:t>
      </w:r>
      <w:r w:rsidR="00C83520">
        <w:t xml:space="preserve">im Aktionsplan für erschwingliche Energie </w:t>
      </w:r>
      <w:r>
        <w:t>einen Abschnitt zu Nachfrage und Investitionen:</w:t>
      </w:r>
      <w:r w:rsidR="00693074">
        <w:t xml:space="preserve"> </w:t>
      </w:r>
      <w:r>
        <w:t>„Die Erzeuger sauberer Energie benötigen eine gewisse Größenordnung und Sicherheit in Bezug auf die Nachfrage, um langfristig planen zu können, was dazu beiträgt, die Risiken für Investoren und die Projektkosten zu verringern.“</w:t>
      </w:r>
      <w:r w:rsidRPr="00D46379">
        <w:rPr>
          <w:rStyle w:val="Funotenzeichen"/>
        </w:rPr>
        <w:t xml:space="preserve"> </w:t>
      </w:r>
      <w:r>
        <w:rPr>
          <w:rStyle w:val="Funotenzeichen"/>
        </w:rPr>
        <w:footnoteReference w:id="1855"/>
      </w:r>
      <w:r w:rsidR="00693074">
        <w:t xml:space="preserve"> </w:t>
      </w:r>
      <w:r>
        <w:t>Hier will die EU Politik und Wirtschaft zusammenbringen, wie in der Windkraftcharta</w:t>
      </w:r>
      <w:r>
        <w:rPr>
          <w:rStyle w:val="Funotenzeichen"/>
        </w:rPr>
        <w:footnoteReference w:id="1856"/>
      </w:r>
      <w:r>
        <w:t xml:space="preserve"> und der Solarcharta.</w:t>
      </w:r>
      <w:r>
        <w:rPr>
          <w:rStyle w:val="Funotenzeichen"/>
        </w:rPr>
        <w:footnoteReference w:id="1857"/>
      </w:r>
      <w:r w:rsidR="00AC06E2">
        <w:t xml:space="preserve"> Vorgeschlagen wird hier ein „umfassender dreiseitiger Vertrag“ (S. 28), </w:t>
      </w:r>
      <w:r w:rsidR="00693074">
        <w:t>siehe dieses Zitat</w:t>
      </w:r>
      <w:r w:rsidR="00AC06E2">
        <w:t>: „Ein umfassender dreiseitiger Vertrag wird - für Vorhersehbarkeit und Skalierbarkeit sorgen, und zwar sowohl für Energieerzeuger, die sichere Abnehmer für ihre Produktion haben werden, als auch für Energieabnehmer, die von einer erschwinglichen und stabilen Energieversorgung profitieren können; - die Geschäftsmodelle des Sektors unterstützen, dank der Unterstützung durch die Kommission, die EIB und die Mitgliedstaaten, durch die die Risiken für Investitionen verringert werden und Wachstum ermöglicht wird.“</w:t>
      </w:r>
      <w:r w:rsidR="00693074">
        <w:t xml:space="preserve"> (S. 28)</w:t>
      </w:r>
    </w:p>
    <w:p w14:paraId="05CF393B" w14:textId="77777777" w:rsidR="00D46379" w:rsidRDefault="00D46379" w:rsidP="00112190"/>
    <w:p w14:paraId="2AC65CE8" w14:textId="5F78A80D" w:rsidR="00654F89" w:rsidRDefault="00A9353E" w:rsidP="00112190">
      <w:r>
        <w:t xml:space="preserve">Mir ging es hier darum, festzustellen, ob es in den neuen Plänen der EU irgendetwas Neues oder Besonderes vor allem bezüglich Industriepolitik gibt. </w:t>
      </w:r>
      <w:r w:rsidR="00C83520">
        <w:t xml:space="preserve">Dies ist aus meiner Sicht </w:t>
      </w:r>
      <w:r>
        <w:t>nicht der Fall</w:t>
      </w:r>
      <w:r w:rsidR="00BF5B73">
        <w:t>, mit einer Ausnahme, siehe unten</w:t>
      </w:r>
      <w:r>
        <w:t xml:space="preserve">. </w:t>
      </w:r>
      <w:r w:rsidR="004B4EBD">
        <w:t>Besondere Maßnahmen zum Senken der Energiepreise</w:t>
      </w:r>
      <w:r w:rsidR="00A42674">
        <w:t xml:space="preserve"> etwa oder die Auswahl z.B. einiger Prioritäten in der Industriepolitik, die eine hohe Fördersumme erhalten</w:t>
      </w:r>
      <w:r w:rsidR="00C83520">
        <w:t xml:space="preserve">, </w:t>
      </w:r>
      <w:r w:rsidR="00A42674">
        <w:t>wie dies Mario Draghi in seinen Bericht gefordert hat</w:t>
      </w:r>
      <w:r w:rsidR="004B4EBD">
        <w:t xml:space="preserve">, sind nicht zu erkennen. Es werden vielmehr eine Vielzahl bekannter Ideen </w:t>
      </w:r>
      <w:r w:rsidR="00C83520">
        <w:t>aufgezählt</w:t>
      </w:r>
      <w:r w:rsidR="004B4EBD">
        <w:t>.</w:t>
      </w:r>
      <w:r w:rsidR="00C83520">
        <w:t xml:space="preserve"> Wirksam zur </w:t>
      </w:r>
      <w:r w:rsidR="00032E24">
        <w:t xml:space="preserve">Erhöhung der Nachfrage </w:t>
      </w:r>
      <w:proofErr w:type="gramStart"/>
      <w:r w:rsidR="00032E24">
        <w:t>nach</w:t>
      </w:r>
      <w:r w:rsidR="00C83520">
        <w:t xml:space="preserve"> erneuerbarer Energien</w:t>
      </w:r>
      <w:proofErr w:type="gramEnd"/>
      <w:r w:rsidR="00C83520">
        <w:t xml:space="preserve"> könnten allerdings Änderungen der öffentlichen Auftragsvergabe werden, hier ist aber anzumerken, dass die öffentliche Auftragsvergabe </w:t>
      </w:r>
      <w:r w:rsidR="00693074">
        <w:t>es</w:t>
      </w:r>
      <w:r w:rsidR="00032E24">
        <w:t xml:space="preserve"> </w:t>
      </w:r>
      <w:r w:rsidR="00693074">
        <w:t xml:space="preserve">nicht schaffen kann, genug Nachfrage zu mobilisieren, um </w:t>
      </w:r>
      <w:r w:rsidR="00032E24">
        <w:t>den gesamten</w:t>
      </w:r>
      <w:r w:rsidR="00693074">
        <w:t xml:space="preserve"> Umbau der Stahl- und Chemieindustrie zu ermöglichen, oder den Aufbau der Wasserstoffwirtschaft, auch hilft es nur begrenzt</w:t>
      </w:r>
      <w:r w:rsidR="00C83520">
        <w:t>, wenn ‚nur‘ CO2-arme Produkte ge</w:t>
      </w:r>
      <w:r w:rsidR="00693074">
        <w:t>kauft werden</w:t>
      </w:r>
      <w:r w:rsidR="00C83520">
        <w:t>, und die Industrie nicht ganz umgebaut wurde.</w:t>
      </w:r>
      <w:r w:rsidR="004B4EBD">
        <w:t xml:space="preserve"> </w:t>
      </w:r>
      <w:r>
        <w:t xml:space="preserve">Bezüglich </w:t>
      </w:r>
      <w:r w:rsidR="00C83520">
        <w:t xml:space="preserve">die in den Raum gestellten </w:t>
      </w:r>
      <w:r w:rsidR="00C83520">
        <w:lastRenderedPageBreak/>
        <w:t>Geldbeträge</w:t>
      </w:r>
      <w:r>
        <w:t xml:space="preserve"> ist festzustellen, dass Geld da ist, aber nicht wie Heu, es wird gefördert, </w:t>
      </w:r>
      <w:r w:rsidR="00C83520">
        <w:t>siehe etwa den Aktion</w:t>
      </w:r>
      <w:r w:rsidR="00F02AEA">
        <w:t>s</w:t>
      </w:r>
      <w:r w:rsidR="00C83520">
        <w:t xml:space="preserve">plan Stahl und Metalle, </w:t>
      </w:r>
      <w:r w:rsidRPr="004B4EBD">
        <w:rPr>
          <w:b/>
          <w:bCs/>
        </w:rPr>
        <w:t>bei größeren Beträgen, etwa im Bereich der Stahlindustrie</w:t>
      </w:r>
      <w:r w:rsidR="004B4EBD">
        <w:rPr>
          <w:b/>
          <w:bCs/>
        </w:rPr>
        <w:t>,</w:t>
      </w:r>
      <w:r w:rsidRPr="004B4EBD">
        <w:rPr>
          <w:b/>
          <w:bCs/>
        </w:rPr>
        <w:t xml:space="preserve"> </w:t>
      </w:r>
      <w:r w:rsidR="004B4EBD">
        <w:rPr>
          <w:b/>
          <w:bCs/>
        </w:rPr>
        <w:t>wo</w:t>
      </w:r>
      <w:r w:rsidR="004B4EBD" w:rsidRPr="004B4EBD">
        <w:rPr>
          <w:b/>
          <w:bCs/>
        </w:rPr>
        <w:t xml:space="preserve"> es beim Aufbau der </w:t>
      </w:r>
      <w:proofErr w:type="spellStart"/>
      <w:r w:rsidR="004B4EBD" w:rsidRPr="004B4EBD">
        <w:rPr>
          <w:b/>
          <w:bCs/>
        </w:rPr>
        <w:t>Midrex</w:t>
      </w:r>
      <w:proofErr w:type="spellEnd"/>
      <w:r w:rsidR="004B4EBD" w:rsidRPr="004B4EBD">
        <w:rPr>
          <w:b/>
          <w:bCs/>
        </w:rPr>
        <w:t xml:space="preserve">-Direktreduktionsanlagen z.B. um 2 Mrd. geht, </w:t>
      </w:r>
      <w:r w:rsidRPr="004B4EBD">
        <w:rPr>
          <w:b/>
          <w:bCs/>
        </w:rPr>
        <w:t>ist man</w:t>
      </w:r>
      <w:r w:rsidR="00C83520">
        <w:rPr>
          <w:b/>
          <w:bCs/>
        </w:rPr>
        <w:t xml:space="preserve">, </w:t>
      </w:r>
      <w:r w:rsidR="00C83520" w:rsidRPr="00C83520">
        <w:rPr>
          <w:b/>
          <w:bCs/>
          <w:u w:val="single"/>
        </w:rPr>
        <w:t>so meine Deutung</w:t>
      </w:r>
      <w:r w:rsidR="00C83520">
        <w:rPr>
          <w:b/>
          <w:bCs/>
        </w:rPr>
        <w:t>,</w:t>
      </w:r>
      <w:r w:rsidRPr="004B4EBD">
        <w:rPr>
          <w:b/>
          <w:bCs/>
        </w:rPr>
        <w:t xml:space="preserve"> zögerlich und überlässt dies den einzelnen Staaten</w:t>
      </w:r>
      <w:r>
        <w:t xml:space="preserve">. </w:t>
      </w:r>
      <w:r w:rsidR="00C83520">
        <w:t>A</w:t>
      </w:r>
      <w:r w:rsidR="00CC69EA">
        <w:t xml:space="preserve">uffällig </w:t>
      </w:r>
      <w:r w:rsidR="00A42674">
        <w:t xml:space="preserve">ist </w:t>
      </w:r>
      <w:r w:rsidR="00CC69EA">
        <w:t>beim Stahlbereich</w:t>
      </w:r>
      <w:r w:rsidR="00C83520">
        <w:t xml:space="preserve"> auch, dass anfangs</w:t>
      </w:r>
      <w:r w:rsidR="00CC69EA">
        <w:t xml:space="preserve"> </w:t>
      </w:r>
      <w:r w:rsidR="004B4EBD">
        <w:t>Elektrifizierung als effizienteste Möglichkeit erwähnt wird</w:t>
      </w:r>
      <w:r w:rsidR="00C83520">
        <w:t xml:space="preserve"> (</w:t>
      </w:r>
      <w:r w:rsidR="004B4EBD">
        <w:t xml:space="preserve">aber man </w:t>
      </w:r>
      <w:r w:rsidR="00C83520">
        <w:t xml:space="preserve">kommt </w:t>
      </w:r>
      <w:r w:rsidR="004B4EBD">
        <w:t>um Wasserstoff nicht drumherum</w:t>
      </w:r>
      <w:r w:rsidR="00C83520">
        <w:t xml:space="preserve">, </w:t>
      </w:r>
      <w:r w:rsidR="004B4EBD">
        <w:t>wenn es um höhere Qualitäten geht</w:t>
      </w:r>
      <w:r w:rsidR="00C83520">
        <w:t>)</w:t>
      </w:r>
      <w:r w:rsidR="004B4EBD">
        <w:t xml:space="preserve">. </w:t>
      </w:r>
      <w:r w:rsidR="004B4EBD" w:rsidRPr="004B4EBD">
        <w:rPr>
          <w:b/>
          <w:bCs/>
        </w:rPr>
        <w:t>Es wird festgestellt, dass Wasserstoff teuer sei</w:t>
      </w:r>
      <w:r w:rsidR="001675C5">
        <w:rPr>
          <w:b/>
          <w:bCs/>
        </w:rPr>
        <w:t>n könne</w:t>
      </w:r>
      <w:r w:rsidR="004B4EBD" w:rsidRPr="004B4EBD">
        <w:rPr>
          <w:b/>
          <w:bCs/>
        </w:rPr>
        <w:t xml:space="preserve">, aber eine direkte Antwort </w:t>
      </w:r>
      <w:r w:rsidR="00C83520">
        <w:rPr>
          <w:b/>
          <w:bCs/>
        </w:rPr>
        <w:t xml:space="preserve">auf diese Problematik </w:t>
      </w:r>
      <w:r w:rsidR="004B4EBD" w:rsidRPr="004B4EBD">
        <w:rPr>
          <w:b/>
          <w:bCs/>
        </w:rPr>
        <w:t>wird nicht gegeben.</w:t>
      </w:r>
      <w:r w:rsidR="004B4EBD">
        <w:t xml:space="preserve"> </w:t>
      </w:r>
      <w:r>
        <w:t>Im Bereich der Automobilindustrie ist eine hohe Förderung derzeit nicht nötig, da die Partnerschaften mit chinesischen Firmen viel wichtiger s</w:t>
      </w:r>
      <w:r w:rsidR="001675C5">
        <w:t>eien</w:t>
      </w:r>
      <w:r>
        <w:t>, damit die EU Firmen Fähigkeiten zur Batteriefertigung erwerben. Es kommen Differenzverträge zur Sprache und</w:t>
      </w:r>
      <w:r w:rsidR="00693074">
        <w:t xml:space="preserve">, </w:t>
      </w:r>
      <w:r w:rsidR="00693074" w:rsidRPr="00693074">
        <w:rPr>
          <w:b/>
          <w:bCs/>
          <w:u w:val="single"/>
        </w:rPr>
        <w:t xml:space="preserve">dies ist </w:t>
      </w:r>
      <w:r w:rsidR="00693074">
        <w:rPr>
          <w:b/>
          <w:bCs/>
          <w:u w:val="single"/>
        </w:rPr>
        <w:t>eine</w:t>
      </w:r>
      <w:r w:rsidR="00693074" w:rsidRPr="00693074">
        <w:rPr>
          <w:b/>
          <w:bCs/>
          <w:u w:val="single"/>
        </w:rPr>
        <w:t xml:space="preserve"> interessant</w:t>
      </w:r>
      <w:r w:rsidR="00693074">
        <w:rPr>
          <w:b/>
          <w:bCs/>
          <w:u w:val="single"/>
        </w:rPr>
        <w:t>e neue Idee:</w:t>
      </w:r>
      <w:r>
        <w:t xml:space="preserve"> </w:t>
      </w:r>
      <w:r w:rsidRPr="00693074">
        <w:rPr>
          <w:b/>
          <w:bCs/>
          <w:i/>
          <w:iCs/>
          <w:u w:val="single"/>
        </w:rPr>
        <w:t>neuartige dreiseitige Verträge</w:t>
      </w:r>
      <w:r>
        <w:t xml:space="preserve">, um der Industrie eine sorglose Skalierung der Produktion zu ermöglichen, </w:t>
      </w:r>
      <w:r w:rsidR="004B4EBD">
        <w:t xml:space="preserve">zu letzterem </w:t>
      </w:r>
      <w:r>
        <w:t>fehlen</w:t>
      </w:r>
      <w:r w:rsidR="004B4EBD">
        <w:t xml:space="preserve"> aber </w:t>
      </w:r>
      <w:r>
        <w:t xml:space="preserve">die Details. </w:t>
      </w:r>
    </w:p>
    <w:p w14:paraId="390492BE" w14:textId="77777777" w:rsidR="00112190" w:rsidRDefault="00112190" w:rsidP="00112190"/>
    <w:p w14:paraId="4E103068" w14:textId="483C6690" w:rsidR="00A9353E" w:rsidRDefault="00A9353E" w:rsidP="00112190">
      <w:r>
        <w:t xml:space="preserve">Obwohl die </w:t>
      </w:r>
      <w:r w:rsidRPr="004B4EBD">
        <w:rPr>
          <w:b/>
          <w:bCs/>
        </w:rPr>
        <w:t>Rede von Aktionsplänen ist, enthalten diese keine</w:t>
      </w:r>
      <w:r w:rsidR="0053475B" w:rsidRPr="004B4EBD">
        <w:rPr>
          <w:b/>
          <w:bCs/>
        </w:rPr>
        <w:t xml:space="preserve">n Plan für den Übergang in eine Zeit erneuerbarer Energien bzw. </w:t>
      </w:r>
      <w:proofErr w:type="gramStart"/>
      <w:r w:rsidR="0053475B" w:rsidRPr="004B4EBD">
        <w:rPr>
          <w:b/>
          <w:bCs/>
        </w:rPr>
        <w:t xml:space="preserve">eine </w:t>
      </w:r>
      <w:r w:rsidR="00693074">
        <w:rPr>
          <w:b/>
          <w:bCs/>
        </w:rPr>
        <w:t xml:space="preserve">zeitlichen </w:t>
      </w:r>
      <w:r w:rsidR="0053475B" w:rsidRPr="004B4EBD">
        <w:rPr>
          <w:b/>
          <w:bCs/>
        </w:rPr>
        <w:t>Plan</w:t>
      </w:r>
      <w:proofErr w:type="gramEnd"/>
      <w:r w:rsidR="0053475B" w:rsidRPr="004B4EBD">
        <w:rPr>
          <w:b/>
          <w:bCs/>
        </w:rPr>
        <w:t>, w</w:t>
      </w:r>
      <w:r w:rsidR="00693074">
        <w:rPr>
          <w:b/>
          <w:bCs/>
        </w:rPr>
        <w:t>ie</w:t>
      </w:r>
      <w:r w:rsidR="0053475B" w:rsidRPr="004B4EBD">
        <w:rPr>
          <w:b/>
          <w:bCs/>
        </w:rPr>
        <w:t xml:space="preserve"> eine Umrüstung am besten stattfinden könnte</w:t>
      </w:r>
      <w:r w:rsidR="0053475B">
        <w:t xml:space="preserve">. Siehe </w:t>
      </w:r>
      <w:proofErr w:type="gramStart"/>
      <w:r w:rsidR="0053475B">
        <w:t>zu diesen Frage</w:t>
      </w:r>
      <w:proofErr w:type="gramEnd"/>
      <w:r w:rsidR="0053475B">
        <w:t xml:space="preserve"> weiter unten das Fazit.</w:t>
      </w:r>
    </w:p>
    <w:p w14:paraId="1FC0D2C8" w14:textId="77777777" w:rsidR="00C37D23" w:rsidRDefault="00C37D23" w:rsidP="00112190"/>
    <w:p w14:paraId="061E886F" w14:textId="77777777" w:rsidR="00E264E7" w:rsidRDefault="00E264E7" w:rsidP="00112190"/>
    <w:p w14:paraId="375EA8C4" w14:textId="2269118C" w:rsidR="00112190" w:rsidRDefault="00BF5B73" w:rsidP="00112190">
      <w:r>
        <w:t>6.</w:t>
      </w:r>
      <w:r w:rsidR="00112190">
        <w:t xml:space="preserve"> USA</w:t>
      </w:r>
    </w:p>
    <w:p w14:paraId="457D302F" w14:textId="77777777" w:rsidR="00112190" w:rsidRDefault="00112190" w:rsidP="00112190"/>
    <w:p w14:paraId="2839B494" w14:textId="77777777" w:rsidR="00CA3D74" w:rsidRDefault="00112190" w:rsidP="00112190">
      <w:r>
        <w:t>Die USA sind mit der Präsidentschaft Joe Bidens wieder dem Übereinkommen von Paris beigetreten, am 20. Januar 2021, und möchten ihre Emissionen mit einem groß aufgelegten Programm mindern. Präsident Biden betont, dass er beim Begriff Klimawandel auch an Jobs denkt. Die USA hat sich das Ziel gesetzt bis 2030 eine 50 % bis 52 % Reduktion der Emissionen unter das Niveau von 2005 zu erreichen, siehe NDC der USA, Stand: 21. April 2021.</w:t>
      </w:r>
      <w:r>
        <w:rPr>
          <w:rStyle w:val="Funotenzeichen"/>
        </w:rPr>
        <w:footnoteReference w:id="1858"/>
      </w:r>
      <w:r>
        <w:t xml:space="preserve"> </w:t>
      </w:r>
    </w:p>
    <w:p w14:paraId="23176222" w14:textId="77777777" w:rsidR="00CA3D74" w:rsidRDefault="00CA3D74" w:rsidP="00112190"/>
    <w:p w14:paraId="67C6EA26" w14:textId="48D15E31" w:rsidR="004640D3" w:rsidRDefault="00112190" w:rsidP="00112190">
      <w:r w:rsidRPr="00D17A9A">
        <w:rPr>
          <w:u w:val="single"/>
        </w:rPr>
        <w:t>Bis 2050 soll die U.S. klimaneutral werden, und dies soll eine soziale Komponente haben, 40 % der Investitionen des Bundes ollen benachteiligten Gemeinden zukommen</w:t>
      </w:r>
      <w:r>
        <w:t>.</w:t>
      </w:r>
      <w:r>
        <w:rPr>
          <w:rStyle w:val="Funotenzeichen"/>
        </w:rPr>
        <w:footnoteReference w:id="1859"/>
      </w:r>
      <w:r>
        <w:t xml:space="preserve"> Bis 2050 sollen 50 % der Neuwagen emissionsfrei sein, dieses Ziel ist nicht verbindlich, wird aber von den großen Herstellern General Motors, Ford und Stellantis unterstützt</w:t>
      </w:r>
      <w:r>
        <w:rPr>
          <w:rStyle w:val="Funotenzeichen"/>
        </w:rPr>
        <w:footnoteReference w:id="1860"/>
      </w:r>
      <w:r>
        <w:t>, dies wird aktuell bezweifelt, siehe aber die Box weiter unten. Bis 2035 soll die Stromversorgung CO2 neutral sein. Bis 2030 sollen 30 GW Offshore Strom erzeugt werden.</w:t>
      </w:r>
      <w:r>
        <w:rPr>
          <w:rStyle w:val="Funotenzeichen"/>
        </w:rPr>
        <w:footnoteReference w:id="1861"/>
      </w:r>
      <w:r>
        <w:t xml:space="preserve"> </w:t>
      </w:r>
    </w:p>
    <w:p w14:paraId="1EF2136A" w14:textId="77777777" w:rsidR="004640D3" w:rsidRDefault="004640D3" w:rsidP="00112190"/>
    <w:p w14:paraId="64F7613A" w14:textId="77777777" w:rsidR="00227C78" w:rsidRDefault="003E5125" w:rsidP="00CA3D74">
      <w:r>
        <w:t>Die USA ist unter Präsident Donald Trump wieder aus dem Pariser Übereinkommen ausgestiegen, kurz nach seiner Vereidigung, am 20.01.2025, damit ist die USA noch 1 Jahr lang Mitglied.</w:t>
      </w:r>
      <w:r>
        <w:rPr>
          <w:rStyle w:val="Funotenzeichen"/>
        </w:rPr>
        <w:footnoteReference w:id="1862"/>
      </w:r>
      <w:r>
        <w:t xml:space="preserve"> </w:t>
      </w:r>
    </w:p>
    <w:p w14:paraId="6C822560" w14:textId="77777777" w:rsidR="00227C78" w:rsidRDefault="00227C78" w:rsidP="00CA3D74"/>
    <w:p w14:paraId="22E61213" w14:textId="0159C90A" w:rsidR="00CA3D74" w:rsidRPr="00D84D1A" w:rsidRDefault="003E5125" w:rsidP="00CA3D74">
      <w:r>
        <w:t>Die sog. Climate Alliance von 24 U.S. Staaten, die 54 % der U.S.-Bevölkerung und 57 % der U.S. Wirtschaft ausmachen</w:t>
      </w:r>
      <w:r>
        <w:rPr>
          <w:rStyle w:val="Funotenzeichen"/>
        </w:rPr>
        <w:footnoteReference w:id="1863"/>
      </w:r>
      <w:r>
        <w:t xml:space="preserve">, haben </w:t>
      </w:r>
      <w:r w:rsidR="00CA3D74">
        <w:t xml:space="preserve">allerdings </w:t>
      </w:r>
      <w:r>
        <w:t>öffentlich erklärt, die Energiewende weiter verfolgen zu wollen.</w:t>
      </w:r>
      <w:r>
        <w:rPr>
          <w:rStyle w:val="Funotenzeichen"/>
        </w:rPr>
        <w:footnoteReference w:id="1864"/>
      </w:r>
      <w:r w:rsidR="00CA3D74">
        <w:t xml:space="preserve"> Viel passiert in den USA anhand von staatenübergreifenden Initiativen. Die Regional Greenhouse Gas Initiative (RGGI) erreichte den Zusammenschluss von Emissionshandelssystemen von </w:t>
      </w:r>
      <w:r w:rsidR="00CA3D74">
        <w:lastRenderedPageBreak/>
        <w:t>11 Staaten.</w:t>
      </w:r>
      <w:r w:rsidR="00CA3D74">
        <w:rPr>
          <w:rStyle w:val="Funotenzeichen"/>
        </w:rPr>
        <w:footnoteReference w:id="1865"/>
      </w:r>
      <w:r w:rsidR="00CA3D74">
        <w:t xml:space="preserve"> </w:t>
      </w:r>
      <w:r w:rsidR="00CA3D74" w:rsidRPr="00285910">
        <w:t>Eine Transportation and Climate Initiative (TCI) en</w:t>
      </w:r>
      <w:r w:rsidR="00CA3D74">
        <w:t>t</w:t>
      </w:r>
      <w:r w:rsidR="00CA3D74" w:rsidRPr="00285910">
        <w:t xml:space="preserve">stand zwischen Connecticut, Massachusetts, Rhode Island und Washington DC. </w:t>
      </w:r>
      <w:r w:rsidR="00CA3D74" w:rsidRPr="00D84D1A">
        <w:t>Die U.S. Climate Alliance ist ein Zusammenschluss von G</w:t>
      </w:r>
      <w:r w:rsidR="00CA3D74">
        <w:t>ouverneuren von 24 Staaten.</w:t>
      </w:r>
      <w:r w:rsidR="00CA3D74">
        <w:rPr>
          <w:rStyle w:val="Funotenzeichen"/>
        </w:rPr>
        <w:footnoteReference w:id="1866"/>
      </w:r>
    </w:p>
    <w:p w14:paraId="0881B6EF" w14:textId="77777777" w:rsidR="008F2CE9" w:rsidRDefault="008F2CE9" w:rsidP="00112190"/>
    <w:p w14:paraId="6EAE6026" w14:textId="25D2BF6E" w:rsidR="00112190" w:rsidRDefault="00CA3D74" w:rsidP="00112190">
      <w:r>
        <w:rPr>
          <w:u w:val="single"/>
        </w:rPr>
        <w:t>In den USA haben d</w:t>
      </w:r>
      <w:r w:rsidR="00112190" w:rsidRPr="00D17A9A">
        <w:rPr>
          <w:u w:val="single"/>
        </w:rPr>
        <w:t>erzeit (2021) erneuerbare Energien einen Anteil von 30 % a</w:t>
      </w:r>
      <w:r w:rsidR="00112190">
        <w:rPr>
          <w:u w:val="single"/>
        </w:rPr>
        <w:t>n der</w:t>
      </w:r>
      <w:r w:rsidR="00112190" w:rsidRPr="00D17A9A">
        <w:rPr>
          <w:u w:val="single"/>
        </w:rPr>
        <w:t xml:space="preserve"> Strom</w:t>
      </w:r>
      <w:r w:rsidR="00112190">
        <w:rPr>
          <w:u w:val="single"/>
        </w:rPr>
        <w:t>produktion</w:t>
      </w:r>
      <w:r w:rsidR="00112190">
        <w:t>.</w:t>
      </w:r>
      <w:r w:rsidR="00112190">
        <w:rPr>
          <w:rStyle w:val="Funotenzeichen"/>
        </w:rPr>
        <w:footnoteReference w:id="1867"/>
      </w:r>
      <w:r w:rsidR="00112190">
        <w:t xml:space="preserve"> </w:t>
      </w:r>
      <w:r w:rsidR="00A217B3">
        <w:t>Davon wird Wind 10 % und Solar 5 % zugeschrieben (für 2023).</w:t>
      </w:r>
      <w:r w:rsidR="00A217B3">
        <w:rPr>
          <w:rStyle w:val="Funotenzeichen"/>
        </w:rPr>
        <w:footnoteReference w:id="1868"/>
      </w:r>
      <w:r w:rsidR="00A217B3">
        <w:t xml:space="preserve"> </w:t>
      </w:r>
      <w:r w:rsidR="004640D3">
        <w:t>20 % der Stromproduktion erfolgt durch Kernkraft, mit 54 Kernkraftwerken mit 93 Reaktoren, hierbei gab es einen leichten Rückgang von 110 auf 93 Reaktoren.</w:t>
      </w:r>
      <w:r w:rsidR="004640D3">
        <w:rPr>
          <w:rStyle w:val="Funotenzeichen"/>
        </w:rPr>
        <w:footnoteReference w:id="1869"/>
      </w:r>
      <w:r w:rsidR="004640D3">
        <w:t xml:space="preserve"> </w:t>
      </w:r>
    </w:p>
    <w:p w14:paraId="32AB9348" w14:textId="77777777" w:rsidR="00112190" w:rsidRDefault="00112190" w:rsidP="00112190"/>
    <w:p w14:paraId="7B3E0632" w14:textId="645F0889" w:rsidR="00112190" w:rsidRDefault="00A217B3" w:rsidP="00112190">
      <w:r>
        <w:t xml:space="preserve">Im Bereich </w:t>
      </w:r>
      <w:proofErr w:type="spellStart"/>
      <w:r>
        <w:t>Onshore</w:t>
      </w:r>
      <w:proofErr w:type="spellEnd"/>
      <w:r>
        <w:t>-Wind hat die USA 146 GW installiert.</w:t>
      </w:r>
      <w:r>
        <w:rPr>
          <w:rStyle w:val="Funotenzeichen"/>
        </w:rPr>
        <w:footnoteReference w:id="1870"/>
      </w:r>
      <w:r>
        <w:t xml:space="preserve"> </w:t>
      </w:r>
      <w:r w:rsidR="00112190">
        <w:t xml:space="preserve">Zögerlich waren die USA im Bereich Offshore-Wind: In den USA sind mehrere Windparks in Planung, in einigen Fällen wurde die Planung pausiert, hier streben die Firmen eine Neuausschreibung an. In Betrieb sind 3 Windparks, Block Island (2026), </w:t>
      </w:r>
      <w:proofErr w:type="spellStart"/>
      <w:r w:rsidR="00112190">
        <w:t>Coastal</w:t>
      </w:r>
      <w:proofErr w:type="spellEnd"/>
      <w:r w:rsidR="00112190">
        <w:t xml:space="preserve"> Virginia (2020, ein Showcase Projekt von Siemens-Gamesa) und aktuell South Fork (2024), vom dänischen Entwickler Orsted. </w:t>
      </w:r>
      <w:r w:rsidR="00CA3D74">
        <w:t>Nun</w:t>
      </w:r>
      <w:r w:rsidR="00112190">
        <w:t xml:space="preserve"> </w:t>
      </w:r>
      <w:r w:rsidR="00CA3D74">
        <w:t>wurden</w:t>
      </w:r>
      <w:r w:rsidR="00112190">
        <w:t xml:space="preserve"> mehrere Projekte eingestellt, auch aufgrund von Preissteigerungen in dem Bereich.</w:t>
      </w:r>
      <w:r w:rsidR="00112190">
        <w:rPr>
          <w:rStyle w:val="Funotenzeichen"/>
        </w:rPr>
        <w:footnoteReference w:id="1871"/>
      </w:r>
      <w:r w:rsidR="00112190">
        <w:t xml:space="preserve"> Im Teilbetrieb finden sich ein größerer Windpark Vineyard Wind.</w:t>
      </w:r>
      <w:r w:rsidR="00112190">
        <w:rPr>
          <w:rStyle w:val="Funotenzeichen"/>
        </w:rPr>
        <w:footnoteReference w:id="1872"/>
      </w:r>
      <w:r w:rsidR="00695FBD">
        <w:t xml:space="preserve"> Nun hat U.S.-Präsident Trump doch erlaubt, dass Equinor den </w:t>
      </w:r>
      <w:r w:rsidR="001F55CA">
        <w:t xml:space="preserve">Bau des </w:t>
      </w:r>
      <w:r w:rsidR="00695FBD">
        <w:t>Windpark</w:t>
      </w:r>
      <w:r w:rsidR="001F55CA">
        <w:t>s</w:t>
      </w:r>
      <w:r w:rsidR="00695FBD">
        <w:t xml:space="preserve"> Empire Wind vor New York </w:t>
      </w:r>
      <w:r w:rsidR="001F55CA">
        <w:t>fortsetzen dürfe</w:t>
      </w:r>
      <w:r w:rsidR="00695FBD">
        <w:t>.</w:t>
      </w:r>
      <w:r w:rsidR="00695FBD">
        <w:rPr>
          <w:rStyle w:val="Funotenzeichen"/>
        </w:rPr>
        <w:footnoteReference w:id="1873"/>
      </w:r>
    </w:p>
    <w:p w14:paraId="1DDDC944" w14:textId="77777777" w:rsidR="00CA3D74" w:rsidRDefault="00CA3D74" w:rsidP="00112190"/>
    <w:p w14:paraId="054FF93D" w14:textId="551BFC3D" w:rsidR="00112190" w:rsidRDefault="00112190" w:rsidP="00112190">
      <w:r w:rsidRPr="007356DD">
        <w:rPr>
          <w:u w:val="single"/>
        </w:rPr>
        <w:t xml:space="preserve">Die USA </w:t>
      </w:r>
      <w:r w:rsidR="00227C78">
        <w:rPr>
          <w:u w:val="single"/>
        </w:rPr>
        <w:t>ist</w:t>
      </w:r>
      <w:r w:rsidRPr="007356DD">
        <w:rPr>
          <w:u w:val="single"/>
        </w:rPr>
        <w:t xml:space="preserve"> zögerlich </w:t>
      </w:r>
      <w:proofErr w:type="gramStart"/>
      <w:r w:rsidRPr="007356DD">
        <w:rPr>
          <w:u w:val="single"/>
        </w:rPr>
        <w:t>hinsichtlich einem CO2-Preis</w:t>
      </w:r>
      <w:proofErr w:type="gramEnd"/>
      <w:r w:rsidRPr="007356DD">
        <w:rPr>
          <w:u w:val="single"/>
        </w:rPr>
        <w:t>, einem landesweitem Emissionshandel und deshalb bleib</w:t>
      </w:r>
      <w:r>
        <w:rPr>
          <w:u w:val="single"/>
        </w:rPr>
        <w:t>t</w:t>
      </w:r>
      <w:r w:rsidRPr="007356DD">
        <w:rPr>
          <w:u w:val="single"/>
        </w:rPr>
        <w:t xml:space="preserve"> auch </w:t>
      </w:r>
      <w:r>
        <w:rPr>
          <w:u w:val="single"/>
        </w:rPr>
        <w:t xml:space="preserve">das Thema Klimaklub bzw. CBAM bzw. </w:t>
      </w:r>
      <w:r w:rsidRPr="007356DD">
        <w:rPr>
          <w:u w:val="single"/>
        </w:rPr>
        <w:t>Grenzausgleichsteuern schwierig</w:t>
      </w:r>
      <w:r>
        <w:t>.</w:t>
      </w:r>
      <w:r>
        <w:rPr>
          <w:rStyle w:val="Funotenzeichen"/>
        </w:rPr>
        <w:footnoteReference w:id="1874"/>
      </w:r>
      <w:r>
        <w:t xml:space="preserve"> </w:t>
      </w:r>
      <w:r w:rsidR="00CA3D74">
        <w:t>Emissionshandel gibt es auf regionaler Ebene. Die Regional Greenhouse Gas Initiative (RGGI) erreichte den Zusammenschluss von Emissionshandelssystemen von 11 Staaten.</w:t>
      </w:r>
      <w:r w:rsidR="00CA3D74">
        <w:rPr>
          <w:rStyle w:val="Funotenzeichen"/>
        </w:rPr>
        <w:footnoteReference w:id="1875"/>
      </w:r>
      <w:r w:rsidR="00CA3D74">
        <w:t xml:space="preserve"> </w:t>
      </w:r>
      <w:r>
        <w:t>Es wird aber immer mal wieder von Einzelpersonen versucht, einen CO2-Preis zu etablieren bzw. als Gesetzesentwurf im Kongress einzubringen, 2023-2024 von den Abgeordneten Salud Carbajal (D) und Brian Fitzpatrick (R ).</w:t>
      </w:r>
      <w:r>
        <w:rPr>
          <w:rStyle w:val="Funotenzeichen"/>
        </w:rPr>
        <w:footnoteReference w:id="1876"/>
      </w:r>
    </w:p>
    <w:p w14:paraId="68195D58" w14:textId="77777777" w:rsidR="00112190" w:rsidRDefault="00112190" w:rsidP="00112190"/>
    <w:p w14:paraId="2AD32E8D" w14:textId="190280B8" w:rsidR="00E11353" w:rsidRDefault="00E11353" w:rsidP="00112190">
      <w:r>
        <w:t xml:space="preserve">Die USA hat eine </w:t>
      </w:r>
      <w:r w:rsidRPr="00CA3D74">
        <w:rPr>
          <w:u w:val="single"/>
        </w:rPr>
        <w:t>Methangebühr</w:t>
      </w:r>
      <w:r>
        <w:t xml:space="preserve"> im Inflation </w:t>
      </w:r>
      <w:proofErr w:type="spellStart"/>
      <w:r>
        <w:t>Reduction</w:t>
      </w:r>
      <w:proofErr w:type="spellEnd"/>
      <w:r>
        <w:t xml:space="preserve"> Act erhoben, die EU hat ähnliche Ziele, dies wird derzeit als große Chance zu einer U.S.-EU Kooperation in diesem Bereich gesehen und dazu, dass die U.S. dann später ggf. auch einen CO2-Preis einführt, etwas, dass in den USA als schwierig angesehen wird.</w:t>
      </w:r>
      <w:r>
        <w:rPr>
          <w:rStyle w:val="Funotenzeichen"/>
        </w:rPr>
        <w:footnoteReference w:id="1877"/>
      </w:r>
    </w:p>
    <w:p w14:paraId="5B6050A4" w14:textId="77777777" w:rsidR="00E11353" w:rsidRDefault="00E11353" w:rsidP="00112190"/>
    <w:p w14:paraId="301EDE0C" w14:textId="133C6723" w:rsidR="00112190" w:rsidRDefault="00112190" w:rsidP="00112190">
      <w:r w:rsidRPr="00703949">
        <w:rPr>
          <w:u w:val="single"/>
        </w:rPr>
        <w:lastRenderedPageBreak/>
        <w:t xml:space="preserve">Es ist </w:t>
      </w:r>
      <w:r>
        <w:rPr>
          <w:u w:val="single"/>
        </w:rPr>
        <w:t xml:space="preserve">in den USA </w:t>
      </w:r>
      <w:r w:rsidR="00BF5B73">
        <w:rPr>
          <w:u w:val="single"/>
        </w:rPr>
        <w:t xml:space="preserve">offenkundig </w:t>
      </w:r>
      <w:proofErr w:type="gramStart"/>
      <w:r w:rsidRPr="00703949">
        <w:rPr>
          <w:u w:val="single"/>
        </w:rPr>
        <w:t>keine Enddatum</w:t>
      </w:r>
      <w:proofErr w:type="gramEnd"/>
      <w:r w:rsidRPr="00703949">
        <w:rPr>
          <w:u w:val="single"/>
        </w:rPr>
        <w:t xml:space="preserve"> für die Öl- und Gasproduktion geplant.</w:t>
      </w:r>
      <w:r>
        <w:t xml:space="preserve"> Die USA sind weltweit der größte Ölproduzent, gefolgt von </w:t>
      </w:r>
      <w:proofErr w:type="gramStart"/>
      <w:r>
        <w:t>Saudi Arabien</w:t>
      </w:r>
      <w:proofErr w:type="gramEnd"/>
      <w:r>
        <w:t>, Russland, Kanada und dem Irak. Die USA produzierten 2022 759 Millionen Tonnen, weltweit wurden 4407 Millionen Tonnen gefördert. 2011 lag dies auf 4008 Millionen Tonnen. Es wurde also nur in den letzten 10 Jahren deutlich mehr Tonnen Öl gefördert.</w:t>
      </w:r>
      <w:r>
        <w:rPr>
          <w:rStyle w:val="Funotenzeichen"/>
        </w:rPr>
        <w:footnoteReference w:id="1878"/>
      </w:r>
      <w:r>
        <w:t xml:space="preserve"> Geschätzt wurde 2011, dass die Ölreserven noch 56 reichen werden.</w:t>
      </w:r>
      <w:r>
        <w:rPr>
          <w:rStyle w:val="Funotenzeichen"/>
        </w:rPr>
        <w:footnoteReference w:id="1879"/>
      </w:r>
      <w:r>
        <w:t xml:space="preserve"> Siehe auch hier.</w:t>
      </w:r>
      <w:r>
        <w:rPr>
          <w:rStyle w:val="Funotenzeichen"/>
        </w:rPr>
        <w:footnoteReference w:id="1880"/>
      </w:r>
      <w:r>
        <w:t xml:space="preserve"> Dieser Industriebereich soll vorerst nur sauberer werden, Methanlecks verhindert werden und Subventionen für fossile Energien abgebaut werden. CSS soll die Nutzung von Kohle und Gas klimaneutral machen, Ziel ist es benachteiligte Regionen zu fördern, gutbezahlte, gewerkschaftlich organisierte Jobs zu schaffen, deshalb sollen Wertschöpfungsketten </w:t>
      </w:r>
      <w:proofErr w:type="gramStart"/>
      <w:r>
        <w:t>in der USA</w:t>
      </w:r>
      <w:proofErr w:type="gramEnd"/>
      <w:r>
        <w:t xml:space="preserve"> gehalten werden, bei öffentlich geförderten Projekten soll </w:t>
      </w:r>
      <w:proofErr w:type="spellStart"/>
      <w:r>
        <w:t>local</w:t>
      </w:r>
      <w:proofErr w:type="spellEnd"/>
      <w:r>
        <w:t xml:space="preserve"> </w:t>
      </w:r>
      <w:proofErr w:type="spellStart"/>
      <w:r>
        <w:t>content</w:t>
      </w:r>
      <w:proofErr w:type="spellEnd"/>
      <w:r>
        <w:t xml:space="preserve"> soll von aktuell 55 % auf 60, später 75 % steigen, siehe zu diesem Abschnitt Thielges (2022).</w:t>
      </w:r>
      <w:r>
        <w:rPr>
          <w:rStyle w:val="Funotenzeichen"/>
        </w:rPr>
        <w:footnoteReference w:id="1881"/>
      </w:r>
      <w:r>
        <w:t xml:space="preserve"> </w:t>
      </w:r>
    </w:p>
    <w:p w14:paraId="2B394D79" w14:textId="77777777" w:rsidR="00112190" w:rsidRDefault="00112190" w:rsidP="00112190"/>
    <w:tbl>
      <w:tblPr>
        <w:tblStyle w:val="Tabellenraster"/>
        <w:tblW w:w="0" w:type="auto"/>
        <w:tblLook w:val="04A0" w:firstRow="1" w:lastRow="0" w:firstColumn="1" w:lastColumn="0" w:noHBand="0" w:noVBand="1"/>
      </w:tblPr>
      <w:tblGrid>
        <w:gridCol w:w="9062"/>
      </w:tblGrid>
      <w:tr w:rsidR="00112190" w14:paraId="3ECD100F" w14:textId="77777777" w:rsidTr="006B301B">
        <w:tc>
          <w:tcPr>
            <w:tcW w:w="9062" w:type="dxa"/>
          </w:tcPr>
          <w:p w14:paraId="505DF000" w14:textId="77777777" w:rsidR="00112190" w:rsidRDefault="00112190" w:rsidP="006B301B">
            <w:r>
              <w:t xml:space="preserve">Im </w:t>
            </w:r>
            <w:proofErr w:type="spellStart"/>
            <w:r>
              <w:t>Permbecken</w:t>
            </w:r>
            <w:proofErr w:type="spellEnd"/>
            <w:r>
              <w:t xml:space="preserve"> zwischen West Texas und New Mexiko wird Öl und Gas abgebaut, mehr als 40 % der amerikanischen Ölproduktion und 18 % des Erdgases. Die tägliche Produktion beträgt 5,6 Mill. Fass Rohöl, fast so viel wie Kanada, mehr als der Irak, Iran oder die Vereinigten Arabische Emirate. Im </w:t>
            </w:r>
            <w:proofErr w:type="spellStart"/>
            <w:r>
              <w:t>Permbecken</w:t>
            </w:r>
            <w:proofErr w:type="spellEnd"/>
            <w:r>
              <w:t xml:space="preserve"> wurde vor 15 Jahren erstmals mit Fracking und horizontalem Bohren neu an Vorkommen herangekommen. Es wurde herausgefunden, dass dort Öl und Gas in mehreren, untereinander gelagerten Gesteinsschichten vorhanden sind, sodass man sie quasi in Ruhe hintereinander ausbeuten kann. Die beteiligten Firmen sind reich geworden, sie glauben zudem, dass Erdöl und Gas weiter gebraucht wird. Im Februar 2024 hat die Firma Diamondback Energy, die zu einer großen Firma aufgestiegen ist, eine Fusion mit der Firma </w:t>
            </w:r>
            <w:proofErr w:type="spellStart"/>
            <w:r>
              <w:t>Endeavor</w:t>
            </w:r>
            <w:proofErr w:type="spellEnd"/>
            <w:r>
              <w:t xml:space="preserve"> bekanntgegeben, für die Summe von 26 Mrd. U.S. Dollar. Chevron erwarb letzten Herbst die Hess Corporation für 53 Mrd. US. Dollar., </w:t>
            </w:r>
            <w:proofErr w:type="spellStart"/>
            <w:r>
              <w:t>Exxonmobil</w:t>
            </w:r>
            <w:proofErr w:type="spellEnd"/>
            <w:r>
              <w:t xml:space="preserve"> hatte letztes Jahr </w:t>
            </w:r>
            <w:proofErr w:type="spellStart"/>
            <w:r>
              <w:t>Pioneer</w:t>
            </w:r>
            <w:proofErr w:type="spellEnd"/>
            <w:r>
              <w:t xml:space="preserve"> Natural Resources für 60 Mrd. Dollar übernommen. Es gibt aber einige Firmen, die auch im Klimabereich aktiv sind. Occidental Petroleum verfolgt in West Texas ein großes Projekt zur CO2-Abscheidung.</w:t>
            </w:r>
            <w:r>
              <w:rPr>
                <w:rStyle w:val="Funotenzeichen"/>
              </w:rPr>
              <w:footnoteReference w:id="1882"/>
            </w:r>
            <w:r>
              <w:t xml:space="preserve"> Nun kauft Conoco Philipps den Wettbewerber Marathon Oil, für möglichweise 15 Mrd. US$.</w:t>
            </w:r>
            <w:r>
              <w:rPr>
                <w:rStyle w:val="Funotenzeichen"/>
              </w:rPr>
              <w:footnoteReference w:id="1883"/>
            </w:r>
          </w:p>
        </w:tc>
      </w:tr>
    </w:tbl>
    <w:p w14:paraId="3613700D" w14:textId="77777777" w:rsidR="00227C78" w:rsidRDefault="00227C78" w:rsidP="00112190"/>
    <w:p w14:paraId="0ADBB30D" w14:textId="3587F75F" w:rsidR="00227C78" w:rsidRDefault="00227C78" w:rsidP="00227C78">
      <w:r>
        <w:t xml:space="preserve">Von U.S. Präsident Joe Biden wurde der Inflation </w:t>
      </w:r>
      <w:proofErr w:type="spellStart"/>
      <w:r>
        <w:t>Reduction</w:t>
      </w:r>
      <w:proofErr w:type="spellEnd"/>
      <w:r>
        <w:t xml:space="preserve"> Act eingeführt, ein großangelegtes Programm zur Förderung des Aufbaus erneuerbarer Energien, aber auch von </w:t>
      </w:r>
      <w:proofErr w:type="spellStart"/>
      <w:r>
        <w:t>Atomkraften</w:t>
      </w:r>
      <w:proofErr w:type="spellEnd"/>
      <w:r>
        <w:t>, CCS, Batterien, E-Autos. Präsident Trump hat die Ausschüttung von IRA Geldern gestoppt</w:t>
      </w:r>
      <w:r>
        <w:rPr>
          <w:rStyle w:val="Funotenzeichen"/>
        </w:rPr>
        <w:footnoteReference w:id="1884"/>
      </w:r>
      <w:r>
        <w:t>, ein Gericht hat festgestellt, dass dies nicht rechtens sei.</w:t>
      </w:r>
      <w:r>
        <w:rPr>
          <w:rStyle w:val="Funotenzeichen"/>
        </w:rPr>
        <w:footnoteReference w:id="1885"/>
      </w:r>
    </w:p>
    <w:p w14:paraId="00A0B348" w14:textId="77777777" w:rsidR="00227C78" w:rsidRDefault="00227C78" w:rsidP="00112190"/>
    <w:p w14:paraId="5052569B" w14:textId="77777777" w:rsidR="00112190" w:rsidRPr="00BF7E82" w:rsidRDefault="00112190" w:rsidP="00112190">
      <w:r w:rsidRPr="00BF7E82">
        <w:t xml:space="preserve">Der Inflation </w:t>
      </w:r>
      <w:proofErr w:type="spellStart"/>
      <w:r w:rsidRPr="00BF7E82">
        <w:t>Reduction</w:t>
      </w:r>
      <w:proofErr w:type="spellEnd"/>
      <w:r w:rsidRPr="00BF7E82">
        <w:t xml:space="preserve"> Act enthält 369 Mrd</w:t>
      </w:r>
      <w:r>
        <w:t xml:space="preserve">. US$ für erneuerbare Energien, diese Summe enthält 270 Mrd. Steuergutschriften, also den Verzicht auf Steuereinnahmen aus Projekten mit erneuerbaren </w:t>
      </w:r>
      <w:r>
        <w:lastRenderedPageBreak/>
        <w:t xml:space="preserve">Energien, sodass deren Attraktivität bzw. deren Gewinne erhöht werden. Dadurch </w:t>
      </w:r>
      <w:proofErr w:type="gramStart"/>
      <w:r>
        <w:t>wird</w:t>
      </w:r>
      <w:proofErr w:type="gramEnd"/>
      <w:r>
        <w:t xml:space="preserve"> das Finanzministerium und die Finanzämter wichtige durchführende Organe dieses Programms.</w:t>
      </w:r>
      <w:r>
        <w:rPr>
          <w:rStyle w:val="Funotenzeichen"/>
        </w:rPr>
        <w:footnoteReference w:id="1886"/>
      </w:r>
      <w:r>
        <w:t xml:space="preserve"> </w:t>
      </w:r>
    </w:p>
    <w:p w14:paraId="01D165A2" w14:textId="7E8648ED" w:rsidR="00112190" w:rsidRPr="00047284" w:rsidRDefault="00112190" w:rsidP="00112190">
      <w:r>
        <w:t>Siehe die Ankündigungsseite des Finanzministeriums</w:t>
      </w:r>
      <w:r>
        <w:rPr>
          <w:rStyle w:val="Funotenzeichen"/>
        </w:rPr>
        <w:footnoteReference w:id="1887"/>
      </w:r>
      <w:r>
        <w:t>, hier eine weitere Seite des Finanzministeriums.</w:t>
      </w:r>
      <w:r>
        <w:rPr>
          <w:rStyle w:val="Funotenzeichen"/>
        </w:rPr>
        <w:footnoteReference w:id="1888"/>
      </w:r>
      <w:r>
        <w:t xml:space="preserve"> Siehe die Infoseite der Finanzämter bzw. des Internal Revenue Service (IRS), hier</w:t>
      </w:r>
      <w:r>
        <w:rPr>
          <w:rStyle w:val="Funotenzeichen"/>
        </w:rPr>
        <w:footnoteReference w:id="1889"/>
      </w:r>
      <w:r>
        <w:t xml:space="preserve"> und hier.</w:t>
      </w:r>
      <w:r>
        <w:rPr>
          <w:rStyle w:val="Funotenzeichen"/>
        </w:rPr>
        <w:footnoteReference w:id="1890"/>
      </w:r>
      <w:r>
        <w:t xml:space="preserve"> Interessanterweise haben die Mittel des Inflation </w:t>
      </w:r>
      <w:proofErr w:type="spellStart"/>
      <w:r>
        <w:t>Reduction</w:t>
      </w:r>
      <w:proofErr w:type="spellEnd"/>
      <w:r>
        <w:t xml:space="preserve"> Act die Finanzämter dazu befähigt, neues Equipment zu kaufen und Steuern von reichen Personen einzufordern, bis dato 520 Mill. US$.</w:t>
      </w:r>
      <w:r>
        <w:rPr>
          <w:rStyle w:val="Funotenzeichen"/>
        </w:rPr>
        <w:footnoteReference w:id="1891"/>
      </w:r>
      <w:r>
        <w:t xml:space="preserve"> </w:t>
      </w:r>
      <w:r w:rsidRPr="00D820E5">
        <w:t xml:space="preserve">Im White House Fact Sheet, 16. </w:t>
      </w:r>
      <w:r w:rsidRPr="00047284">
        <w:t>August 2023, w</w:t>
      </w:r>
      <w:r>
        <w:t>ird</w:t>
      </w:r>
      <w:r w:rsidRPr="00047284">
        <w:t xml:space="preserve"> für den Inflation </w:t>
      </w:r>
      <w:proofErr w:type="spellStart"/>
      <w:r w:rsidRPr="00047284">
        <w:t>Reduction</w:t>
      </w:r>
      <w:proofErr w:type="spellEnd"/>
      <w:r w:rsidRPr="00047284">
        <w:t xml:space="preserve"> Act angegeben, dass </w:t>
      </w:r>
      <w:r>
        <w:t xml:space="preserve">dadurch </w:t>
      </w:r>
      <w:r w:rsidRPr="00047284">
        <w:t>seit der W</w:t>
      </w:r>
      <w:r>
        <w:t xml:space="preserve">ahl von Präsident Biden 240 Mrd. US$ Investitionen in erneuerbare Energien durch den privaten Sektor angekündigt wurden. Prognostiziert wird, dass allein durch diese Gesetze die Treibhausemissionen bis 2030 um 43 bis 48 % fallen werden. Nimmt man drei Gesetze zusammen, den </w:t>
      </w:r>
      <w:proofErr w:type="spellStart"/>
      <w:r>
        <w:t>Bipartisan</w:t>
      </w:r>
      <w:proofErr w:type="spellEnd"/>
      <w:r>
        <w:t xml:space="preserve"> Infrastructure Law, den CHIPS and Science Act und den Inflation </w:t>
      </w:r>
      <w:proofErr w:type="spellStart"/>
      <w:r>
        <w:t>Reduction</w:t>
      </w:r>
      <w:proofErr w:type="spellEnd"/>
      <w:r>
        <w:t xml:space="preserve"> Act, dann wird geschätzt, dass insgesamt 500 Mrd. US$ Investitionen des privaten Sektors dadurch ausgelöst werden.</w:t>
      </w:r>
      <w:r>
        <w:rPr>
          <w:rStyle w:val="Funotenzeichen"/>
        </w:rPr>
        <w:footnoteReference w:id="1892"/>
      </w:r>
      <w:r>
        <w:t xml:space="preserve"> </w:t>
      </w:r>
      <w:r w:rsidR="00F008F9">
        <w:t xml:space="preserve">Durch das </w:t>
      </w:r>
      <w:proofErr w:type="spellStart"/>
      <w:r w:rsidR="00F008F9">
        <w:t>Bipartisan</w:t>
      </w:r>
      <w:proofErr w:type="spellEnd"/>
      <w:r w:rsidR="00F008F9">
        <w:t xml:space="preserve"> Infrastructure Law wurden etwa für 1,6 Mrd. US$ Lithium Projekte gefördert, um Rohstoffe zu verarbeiten, Batterieteile zu fertigen, Recycling und zur Erhöhung der Rohstoffförderung.</w:t>
      </w:r>
      <w:r w:rsidR="00F008F9">
        <w:rPr>
          <w:rStyle w:val="Funotenzeichen"/>
        </w:rPr>
        <w:footnoteReference w:id="1893"/>
      </w:r>
      <w:r w:rsidR="00F008F9">
        <w:t xml:space="preserve"> </w:t>
      </w:r>
      <w:r>
        <w:t>Im Halbleiterbereich sind insgesamt 39 Mrd. US$ Subventionen beschlossen und 75 Mrd. an Krediten. Intel erhält 8,5 Mrd. Subventionen und 11 Mrd. US$ Kredite. Insgesamt seien 240 Mrd. private Investitionen mobilisiert worden.</w:t>
      </w:r>
      <w:r>
        <w:rPr>
          <w:rStyle w:val="Funotenzeichen"/>
        </w:rPr>
        <w:footnoteReference w:id="1894"/>
      </w:r>
    </w:p>
    <w:p w14:paraId="5934ABDA" w14:textId="77777777" w:rsidR="00112190" w:rsidRPr="00047284" w:rsidRDefault="00112190" w:rsidP="00112190"/>
    <w:p w14:paraId="54B1A649" w14:textId="77777777" w:rsidR="00112190" w:rsidRDefault="00112190" w:rsidP="00112190">
      <w:r>
        <w:t xml:space="preserve">Der Inflation </w:t>
      </w:r>
      <w:proofErr w:type="spellStart"/>
      <w:r>
        <w:t>Reduction</w:t>
      </w:r>
      <w:proofErr w:type="spellEnd"/>
      <w:r>
        <w:t xml:space="preserve"> Act ist das Hauptprogramm zur Förderung erneuerbarer Energien, es ist ein auf 10 Jahre angelegtes Programm</w:t>
      </w:r>
      <w:r>
        <w:rPr>
          <w:rStyle w:val="Funotenzeichen"/>
        </w:rPr>
        <w:footnoteReference w:id="1895"/>
      </w:r>
      <w:r>
        <w:t xml:space="preserve">, hier wird eine Auswahl von Programmen wiedergegeben. Er setzt auf hohe, mehrjährig wirksame Anreize durch Steuergutschriften, als </w:t>
      </w:r>
      <w:proofErr w:type="spellStart"/>
      <w:r>
        <w:t>Production</w:t>
      </w:r>
      <w:proofErr w:type="spellEnd"/>
      <w:r>
        <w:t xml:space="preserve"> </w:t>
      </w:r>
      <w:proofErr w:type="spellStart"/>
      <w:r>
        <w:t>Tax</w:t>
      </w:r>
      <w:proofErr w:type="spellEnd"/>
      <w:r>
        <w:t xml:space="preserve"> </w:t>
      </w:r>
      <w:proofErr w:type="spellStart"/>
      <w:r>
        <w:t>Credit</w:t>
      </w:r>
      <w:proofErr w:type="spellEnd"/>
      <w:r>
        <w:t xml:space="preserve"> (PTC) und Investment </w:t>
      </w:r>
      <w:proofErr w:type="spellStart"/>
      <w:r>
        <w:t>Tax</w:t>
      </w:r>
      <w:proofErr w:type="spellEnd"/>
      <w:r>
        <w:t xml:space="preserve"> </w:t>
      </w:r>
      <w:proofErr w:type="spellStart"/>
      <w:r>
        <w:t>Credit</w:t>
      </w:r>
      <w:proofErr w:type="spellEnd"/>
      <w:r>
        <w:t xml:space="preserve"> (ITC); 27 Mrd. US$ Subventionen (hier müssen 40 % benachteiligten Gemeinden zukommen, Justice40); 40 Mrd. US$ Kreditgarantien; und es ist möglich, dass Entitäten, die nicht von Steuergutschriften profitieren würden, wie Staaten, Stadtregierungen etc. die Steuergutschriften als direkte Zahlungen erhalten können oder diese Zahlungen weitergeben, siehe</w:t>
      </w:r>
      <w:r w:rsidRPr="00912595">
        <w:t xml:space="preserve"> Inflation </w:t>
      </w:r>
      <w:proofErr w:type="spellStart"/>
      <w:r w:rsidRPr="00912595">
        <w:t>Reduction</w:t>
      </w:r>
      <w:proofErr w:type="spellEnd"/>
      <w:r w:rsidRPr="00912595">
        <w:t xml:space="preserve"> Act, </w:t>
      </w:r>
      <w:proofErr w:type="spellStart"/>
      <w:r w:rsidRPr="00912595">
        <w:t>Guidebook</w:t>
      </w:r>
      <w:proofErr w:type="spellEnd"/>
      <w:r>
        <w:t xml:space="preserve">, </w:t>
      </w:r>
      <w:proofErr w:type="spellStart"/>
      <w:r>
        <w:t>January</w:t>
      </w:r>
      <w:proofErr w:type="spellEnd"/>
      <w:r>
        <w:t xml:space="preserve"> 2023.</w:t>
      </w:r>
      <w:r>
        <w:rPr>
          <w:rStyle w:val="Funotenzeichen"/>
          <w:lang w:val="en-GB"/>
        </w:rPr>
        <w:footnoteReference w:id="1896"/>
      </w:r>
    </w:p>
    <w:p w14:paraId="3E451211" w14:textId="77777777" w:rsidR="00112190" w:rsidRDefault="00112190" w:rsidP="00112190"/>
    <w:p w14:paraId="7AD2DDF4" w14:textId="77777777" w:rsidR="00112190" w:rsidRDefault="00112190" w:rsidP="00112190">
      <w:r>
        <w:lastRenderedPageBreak/>
        <w:t xml:space="preserve">Die Steuergutschriften des ITC werden um 10 % erhöht, wenn man in einer Energy </w:t>
      </w:r>
      <w:proofErr w:type="spellStart"/>
      <w:r>
        <w:t>community</w:t>
      </w:r>
      <w:proofErr w:type="spellEnd"/>
      <w:r>
        <w:t xml:space="preserve"> investiert oder in einer armen Gegend oder einer Region indigener Bewohner etwa Solar- oder Windanlagen aufbaut. Bonusgutschriften gibt es, </w:t>
      </w:r>
      <w:proofErr w:type="gramStart"/>
      <w:r>
        <w:t>5 mal</w:t>
      </w:r>
      <w:proofErr w:type="gramEnd"/>
      <w:r>
        <w:t xml:space="preserve"> mehr, wenn Lohnregeln erfüllt werden und der Betrieb ausbildet, um 10 % steigt er an, wenn </w:t>
      </w:r>
      <w:proofErr w:type="spellStart"/>
      <w:r>
        <w:t>local</w:t>
      </w:r>
      <w:proofErr w:type="spellEnd"/>
      <w:r>
        <w:t xml:space="preserve"> </w:t>
      </w:r>
      <w:proofErr w:type="spellStart"/>
      <w:r>
        <w:t>content</w:t>
      </w:r>
      <w:proofErr w:type="spellEnd"/>
      <w:r>
        <w:t xml:space="preserve"> Anforderungen für Stahl und verarbeitete Produkte erfüllt wird und um 10 %, wenn es in einer Energy </w:t>
      </w:r>
      <w:proofErr w:type="spellStart"/>
      <w:r>
        <w:t>community</w:t>
      </w:r>
      <w:proofErr w:type="spellEnd"/>
      <w:r>
        <w:t xml:space="preserve"> stattfindet.</w:t>
      </w:r>
      <w:r>
        <w:rPr>
          <w:rStyle w:val="Funotenzeichen"/>
        </w:rPr>
        <w:footnoteReference w:id="1897"/>
      </w:r>
      <w:r>
        <w:t xml:space="preserve"> </w:t>
      </w:r>
    </w:p>
    <w:p w14:paraId="0699DA4C" w14:textId="77777777" w:rsidR="00112190" w:rsidRDefault="00112190" w:rsidP="00112190">
      <w:r>
        <w:t>Die Steuergutschriften für Investitionen sind auf 1,8 GW pro Jahr begrenzt.</w:t>
      </w:r>
      <w:r>
        <w:rPr>
          <w:rStyle w:val="Funotenzeichen"/>
        </w:rPr>
        <w:footnoteReference w:id="1898"/>
      </w:r>
      <w:r>
        <w:t xml:space="preserve"> Steuergutschriften gibt es für Atomkraftwerke bzw. neue Atomkraftprojekte 0,3 Cent /kWh, bis 2032, aber absinkend, je nach Leistung.</w:t>
      </w:r>
      <w:r>
        <w:rPr>
          <w:rStyle w:val="Funotenzeichen"/>
        </w:rPr>
        <w:footnoteReference w:id="1899"/>
      </w:r>
      <w:r>
        <w:t xml:space="preserve"> Weiterhin werden Kreditgarantien vergeben, um die Energieinfrastruktur zu erneuern auf erneuerbare Energien einzustellen. Diese Kreditsubventionen sollen US$ 250 Mrd. neue Kredite ermöglichen.</w:t>
      </w:r>
      <w:r>
        <w:rPr>
          <w:rStyle w:val="Funotenzeichen"/>
        </w:rPr>
        <w:footnoteReference w:id="1900"/>
      </w:r>
      <w:r>
        <w:t xml:space="preserve"> Für Hersteller, die erneuerbare Energien herstellen oder neue Automobile, CSS-Technologien, Recycling von kritischen Rohstoffen, sind 10 Mrd. US$ Kredit oder Subventionen verfügbar, hiervon sollen 40 % in Kohleregionen fließen.</w:t>
      </w:r>
      <w:r>
        <w:rPr>
          <w:rStyle w:val="Funotenzeichen"/>
        </w:rPr>
        <w:footnoteReference w:id="1901"/>
      </w:r>
      <w:r>
        <w:t xml:space="preserve"> Ebenso sollen 10 Mrd. US$ als </w:t>
      </w:r>
      <w:proofErr w:type="spellStart"/>
      <w:r>
        <w:t>Advanced</w:t>
      </w:r>
      <w:proofErr w:type="spellEnd"/>
      <w:r>
        <w:t xml:space="preserve"> Manufacturing </w:t>
      </w:r>
      <w:proofErr w:type="spellStart"/>
      <w:r>
        <w:t>Production</w:t>
      </w:r>
      <w:proofErr w:type="spellEnd"/>
      <w:r>
        <w:t xml:space="preserve"> </w:t>
      </w:r>
      <w:proofErr w:type="spellStart"/>
      <w:r>
        <w:t>Credit</w:t>
      </w:r>
      <w:proofErr w:type="spellEnd"/>
      <w:r>
        <w:t>, in die Produktion von Solarmodulen, Windturbinen, Batteriezellen und Modulen und in die Verarbeitung von kritischen Rohstoffen fließen.</w:t>
      </w:r>
      <w:r>
        <w:rPr>
          <w:rStyle w:val="Funotenzeichen"/>
        </w:rPr>
        <w:footnoteReference w:id="1902"/>
      </w:r>
      <w:r>
        <w:t xml:space="preserve"> 3 Mrd. Kredite und 2 Mrd. US$ Subventionen sind für die Produktionsumstellung hin zu Elektroautos verfügbar, 1 Mrd. US$ für Lkw.</w:t>
      </w:r>
      <w:r>
        <w:rPr>
          <w:rStyle w:val="Funotenzeichen"/>
        </w:rPr>
        <w:footnoteReference w:id="1903"/>
      </w:r>
      <w:r>
        <w:t xml:space="preserve"> Steuergutschriften gibt es für Elektroautos, aber unter vielen Bedingungen.</w:t>
      </w:r>
      <w:r>
        <w:rPr>
          <w:rStyle w:val="Funotenzeichen"/>
        </w:rPr>
        <w:footnoteReference w:id="1904"/>
      </w:r>
      <w:r>
        <w:t xml:space="preserve"> </w:t>
      </w:r>
    </w:p>
    <w:p w14:paraId="57584470" w14:textId="77777777" w:rsidR="00112190" w:rsidRDefault="00112190" w:rsidP="00112190"/>
    <w:p w14:paraId="70466AAE" w14:textId="77777777" w:rsidR="00112190" w:rsidRDefault="00112190" w:rsidP="00112190">
      <w:r>
        <w:t xml:space="preserve">Die zuletzt aufzählten Programme, die direkt bestimmten Industriebereichen zugutekommen (Atomkraft, Energieinfrastruktur, erneuerbare Energien, neue Automobile, CSS-Technologien, Recycling von kritischen Rohstoffen, Solarmodule, Windturbinen, Batteriezellen und die Verarbeitung kritischer Rohstoffe, sind damit gemeint, wenn z.B. die Stiftung </w:t>
      </w:r>
      <w:proofErr w:type="spellStart"/>
      <w:r>
        <w:t>KlimaWirtschaft</w:t>
      </w:r>
      <w:proofErr w:type="spellEnd"/>
      <w:r>
        <w:t xml:space="preserve"> sagt, dass in der USA die verarbeitende Industrie mit dem IRA direkter gefördert als dies in der EU der Fall ist, in der oft Forschung und mittelgroße, beispielgebende Projekte gefördert werden, mit einigen Ausnahmen, etwa der Wasserstoffbank.</w:t>
      </w:r>
      <w:r>
        <w:rPr>
          <w:rStyle w:val="Funotenzeichen"/>
        </w:rPr>
        <w:footnoteReference w:id="1905"/>
      </w:r>
      <w:r>
        <w:t xml:space="preserve"> </w:t>
      </w:r>
    </w:p>
    <w:p w14:paraId="587787ED" w14:textId="77777777" w:rsidR="00112190" w:rsidRDefault="00112190" w:rsidP="00112190"/>
    <w:p w14:paraId="1F81EF66" w14:textId="0F3E7597" w:rsidR="00CA3D74" w:rsidRDefault="00E26EA9" w:rsidP="00CA3D74">
      <w:r>
        <w:t xml:space="preserve">In den USA sind CCS-Speicherung auch im Inflation </w:t>
      </w:r>
      <w:proofErr w:type="spellStart"/>
      <w:r>
        <w:t>Reduction</w:t>
      </w:r>
      <w:proofErr w:type="spellEnd"/>
      <w:r>
        <w:t xml:space="preserve"> Act als Steuerersparnis enthalten, und zwar 85 US$ für 1 Tonne permanent verpresstes CO2, 60 US$ für 1 Tonne in einer erschöpften Ölquelle (als </w:t>
      </w:r>
      <w:proofErr w:type="spellStart"/>
      <w:r>
        <w:t>enhanced</w:t>
      </w:r>
      <w:proofErr w:type="spellEnd"/>
      <w:r>
        <w:t xml:space="preserve"> </w:t>
      </w:r>
      <w:proofErr w:type="spellStart"/>
      <w:r>
        <w:t>oil</w:t>
      </w:r>
      <w:proofErr w:type="spellEnd"/>
      <w:r>
        <w:t xml:space="preserve"> </w:t>
      </w:r>
      <w:proofErr w:type="spellStart"/>
      <w:r>
        <w:t>recovery</w:t>
      </w:r>
      <w:proofErr w:type="spellEnd"/>
      <w:r>
        <w:t xml:space="preserve">, um Ölreste herauszupressen), 130 US$ für genutztes CO2 (CCU) und sogar 180 US$ für CO2, dass über </w:t>
      </w:r>
      <w:proofErr w:type="spellStart"/>
      <w:r>
        <w:t>Direct</w:t>
      </w:r>
      <w:proofErr w:type="spellEnd"/>
      <w:r>
        <w:t xml:space="preserve"> Air Capture DAC aufgefangen wurde und dann </w:t>
      </w:r>
      <w:r>
        <w:lastRenderedPageBreak/>
        <w:t>permanent verpresst wurde (</w:t>
      </w:r>
      <w:proofErr w:type="spellStart"/>
      <w:r>
        <w:t>Section</w:t>
      </w:r>
      <w:proofErr w:type="spellEnd"/>
      <w:r>
        <w:t xml:space="preserve"> 13104).</w:t>
      </w:r>
      <w:r>
        <w:rPr>
          <w:rStyle w:val="Funotenzeichen"/>
        </w:rPr>
        <w:footnoteReference w:id="1906"/>
      </w:r>
      <w:r>
        <w:t xml:space="preserve"> Hier ist der Originaltext des Inflation </w:t>
      </w:r>
      <w:proofErr w:type="spellStart"/>
      <w:r>
        <w:t>Reduction</w:t>
      </w:r>
      <w:proofErr w:type="spellEnd"/>
      <w:r>
        <w:t xml:space="preserve"> Act.</w:t>
      </w:r>
      <w:r>
        <w:rPr>
          <w:rStyle w:val="Funotenzeichen"/>
        </w:rPr>
        <w:footnoteReference w:id="1907"/>
      </w:r>
      <w:r w:rsidR="00CA3D74">
        <w:t xml:space="preserve"> CSS ermöglicht der USA die Produktion von blauem Wasserstoff.</w:t>
      </w:r>
      <w:r w:rsidR="00CA3D74">
        <w:rPr>
          <w:rStyle w:val="Funotenzeichen"/>
        </w:rPr>
        <w:footnoteReference w:id="1908"/>
      </w:r>
      <w:r w:rsidR="00CA3D74">
        <w:t xml:space="preserve"> </w:t>
      </w:r>
    </w:p>
    <w:p w14:paraId="4453750A" w14:textId="77777777" w:rsidR="00E26EA9" w:rsidRDefault="00E26EA9" w:rsidP="00112190"/>
    <w:p w14:paraId="7CA66C88" w14:textId="77777777" w:rsidR="00112190" w:rsidRDefault="00112190" w:rsidP="00112190">
      <w:r>
        <w:t xml:space="preserve">Auffällig ist aber auch, dass es in den USA nicht ‚immer‘ um riesige Subventionssummen geht, sondern in den jeweiligen Bereichen ein Limit gibt und es auch um staatlich abgesicherte Kredite und eben Steuergutschriften geht.  </w:t>
      </w:r>
    </w:p>
    <w:p w14:paraId="058EF558" w14:textId="77777777" w:rsidR="003F050E" w:rsidRDefault="003F050E" w:rsidP="00112190"/>
    <w:p w14:paraId="76AE1AB7" w14:textId="49C56EF0" w:rsidR="00486535" w:rsidRPr="003B27FE" w:rsidRDefault="00227C78" w:rsidP="00486535">
      <w:r>
        <w:t xml:space="preserve">Immerhin werden in den USA auch einmal Pläne für die Zukunft mit Forderungen nach einer Senkung der Kosten für erneuerbare Energien verbunden (auch wenn diese Initiative offenkundig wirkungslos geblieben ist): </w:t>
      </w:r>
      <w:r w:rsidR="00486535">
        <w:t xml:space="preserve">Im Jahr 2021 wurden sog. 8 Energy </w:t>
      </w:r>
      <w:proofErr w:type="spellStart"/>
      <w:r w:rsidR="00486535">
        <w:t>Earthshots</w:t>
      </w:r>
      <w:proofErr w:type="spellEnd"/>
      <w:r w:rsidR="00486535">
        <w:t xml:space="preserve"> vom U.S. Department </w:t>
      </w:r>
      <w:proofErr w:type="spellStart"/>
      <w:r w:rsidR="00486535">
        <w:t>of</w:t>
      </w:r>
      <w:proofErr w:type="spellEnd"/>
      <w:r w:rsidR="00486535">
        <w:t xml:space="preserve"> Energy vorgestellt, mit direkten Zielen: 1 kg Wasserstoff für 1 US$ bis 2030 verfügbar sein, bis 2050 sollen 50 Mill. Tonnen verfügbar sein.</w:t>
      </w:r>
      <w:r w:rsidR="00486535">
        <w:rPr>
          <w:rStyle w:val="Funotenzeichen"/>
        </w:rPr>
        <w:footnoteReference w:id="1909"/>
      </w:r>
      <w:r w:rsidR="00486535">
        <w:t xml:space="preserve"> Andere Ziele sind 90 % Verbilligung großer Stromspeicher, die mehr als 10 Stunden Strom in das Netz abgeben können, Entnahme von CO2 aus der Atmosphäre für weniger als US$ 100 für eine metrische Tonne CO2, Geothermale Energie für 45 US$ pro 1 MWh, schwimmende Windenergie, 85 % CO2 Einsparungen bei Prozesswärme bis 2035 und alternative Kohlenstoffquellen für die Chemie und Petrochemie, um 85 % weniger CO2 Emissionen bis 2035 zu erreichen.</w:t>
      </w:r>
      <w:r w:rsidR="00486535">
        <w:rPr>
          <w:rStyle w:val="Funotenzeichen"/>
        </w:rPr>
        <w:footnoteReference w:id="1910"/>
      </w:r>
    </w:p>
    <w:p w14:paraId="3CD53D0B" w14:textId="4DA560D2" w:rsidR="00486535" w:rsidRDefault="00486535" w:rsidP="00486535"/>
    <w:p w14:paraId="5B93980D" w14:textId="77777777" w:rsidR="00486535" w:rsidRDefault="00486535" w:rsidP="00486535">
      <w:r>
        <w:t xml:space="preserve">In den USA gibt es einige positive Entwicklungen im Bereich Wasserstoff, aber es fehlt die konkrete Umsetzung, und es gibt viele Firmen, die es auf das schnelle Geld abgesehen haben und blauen Wasserstoff produzieren wollen, mit CCS-Projekten, bei denen CO2 auf dem Land verpresst werden soll. Da wird einem mulmig. Höchstwahrscheinlich erfolgt die </w:t>
      </w:r>
      <w:proofErr w:type="spellStart"/>
      <w:r>
        <w:t>Verpressung</w:t>
      </w:r>
      <w:proofErr w:type="spellEnd"/>
      <w:r>
        <w:t xml:space="preserve"> von CCS unter laxen Sicherheitsstandards, Rücksicht auf Anwohner wird nicht genommen, man denkt dabei an die Methan- und sonstigen Emissionen bei der derzeitigen Öl- und Erdgasförderung in den USA und wieder an den großartigen Julia Roberts Film Erin </w:t>
      </w:r>
      <w:proofErr w:type="spellStart"/>
      <w:r>
        <w:t>Brockovich</w:t>
      </w:r>
      <w:proofErr w:type="spellEnd"/>
      <w:r>
        <w:t xml:space="preserve">, der in den USA offenbar für immer aktuell bleibt. </w:t>
      </w:r>
    </w:p>
    <w:p w14:paraId="483D0862" w14:textId="77777777" w:rsidR="00486535" w:rsidRDefault="00486535" w:rsidP="00486535"/>
    <w:p w14:paraId="68777363" w14:textId="5C803700" w:rsidR="00486535" w:rsidRDefault="00486535" w:rsidP="00486535">
      <w:r>
        <w:t xml:space="preserve">In den USA haben sich im Jahr 2022 einige Regionen für eine 8 Mrd. US$ Förderung durch das U.S. Department </w:t>
      </w:r>
      <w:proofErr w:type="spellStart"/>
      <w:r>
        <w:t>of</w:t>
      </w:r>
      <w:proofErr w:type="spellEnd"/>
      <w:r>
        <w:t xml:space="preserve"> Energy beworben, dazu wurden 7 sog. H2Hubs</w:t>
      </w:r>
      <w:r>
        <w:rPr>
          <w:rStyle w:val="Funotenzeichen"/>
        </w:rPr>
        <w:footnoteReference w:id="1911"/>
      </w:r>
      <w:r>
        <w:t xml:space="preserve"> wurden etabliert: In Mississippi ist ein genuin grünes, mit Solar- und Landwind funktionierendes Wasserstoff Elektrolyseur Cluster geplant, wobei in diesem Land bereits viele Gaspipelines existieren und unterirdische Salzkavernen, in denen man Wasserstoff speichern kann, siehe das HY STOR Energy Projekt bzw. deren Webseite.</w:t>
      </w:r>
      <w:r>
        <w:rPr>
          <w:rStyle w:val="Funotenzeichen"/>
        </w:rPr>
        <w:footnoteReference w:id="1912"/>
      </w:r>
      <w:r>
        <w:t xml:space="preserve"> Die Firma HY STOR Energy hat dazu bereits die Genehmigung von einigen Landkreisen bekommen, Ziel ist es ab 2025 1.300 Kubikmeter grünen Wasserstoff pro Jahr zu erzeugen, die Speicher liegen bei 830 Millionen Kubikmeter.</w:t>
      </w:r>
      <w:r>
        <w:rPr>
          <w:rStyle w:val="Funotenzeichen"/>
        </w:rPr>
        <w:footnoteReference w:id="1913"/>
      </w:r>
      <w:r>
        <w:t xml:space="preserve"> Offenkundig gibt es hier aber Probleme: </w:t>
      </w:r>
      <w:proofErr w:type="spellStart"/>
      <w:r>
        <w:t>Hy</w:t>
      </w:r>
      <w:proofErr w:type="spellEnd"/>
      <w:r>
        <w:t xml:space="preserve"> Store Energy hat seine Kapazitätsreservierung beim norwegischen Elektrolyseur Hersteller NEL wieder aufheben müssen.</w:t>
      </w:r>
      <w:r>
        <w:rPr>
          <w:rStyle w:val="Funotenzeichen"/>
        </w:rPr>
        <w:footnoteReference w:id="1914"/>
      </w:r>
      <w:r>
        <w:t xml:space="preserve"> Oder die West Virginia Hydrogen Hub </w:t>
      </w:r>
      <w:proofErr w:type="spellStart"/>
      <w:r>
        <w:t>Coalition</w:t>
      </w:r>
      <w:proofErr w:type="spellEnd"/>
      <w:r>
        <w:rPr>
          <w:rStyle w:val="Funotenzeichen"/>
        </w:rPr>
        <w:footnoteReference w:id="1915"/>
      </w:r>
      <w:r>
        <w:t xml:space="preserve">, die offenkundig noch in den Anfängen steht, hier </w:t>
      </w:r>
      <w:r>
        <w:lastRenderedPageBreak/>
        <w:t xml:space="preserve">soll aber auch das Erdgas zur Erzeugung blauen Wasserstoffs genutzt werden, der von der Stahl- Zement und Chemieindustrie offenbar beigemischt werden soll. Auch an anderen Standorten gibt es große Pläne zur Herstellung von blauem Wasserstoff, also die Herstellung aus Erdgas mit Dampfreformierung und eine Einlagerung des CO2 auf dem Land. Air Products will bis 2026 in Ascension </w:t>
      </w:r>
      <w:proofErr w:type="spellStart"/>
      <w:r>
        <w:t>Parish</w:t>
      </w:r>
      <w:proofErr w:type="spellEnd"/>
      <w:r>
        <w:t xml:space="preserve"> eine solche Anlage bauen. Dort gibt es bereits ein 900 Kilometer langes Wasserstoff Pipeline Netz, das mit 45 Millionen Kubikmeter am Tag 25 Produktionsanlagen versorgt. In Pennsylvania soll in </w:t>
      </w:r>
      <w:proofErr w:type="spellStart"/>
      <w:r>
        <w:t>Pittsburg</w:t>
      </w:r>
      <w:proofErr w:type="spellEnd"/>
      <w:r>
        <w:t xml:space="preserve"> ein Zentrum für blauen Wasserstoff entstehen. In New Mexico sollte ein Gesetz zur Erzeugung von blauem Wasserstoff durch die Republikaner verabschiedet werden, die Demokraten wollten aber grünen Wasserstoff. In </w:t>
      </w:r>
      <w:proofErr w:type="spellStart"/>
      <w:r>
        <w:t>Smyma</w:t>
      </w:r>
      <w:proofErr w:type="spellEnd"/>
      <w:r>
        <w:t xml:space="preserve">, Georgia, wurde von Georgia Power </w:t>
      </w:r>
      <w:proofErr w:type="gramStart"/>
      <w:r>
        <w:t>eine Kraftwerk</w:t>
      </w:r>
      <w:proofErr w:type="gramEnd"/>
      <w:r>
        <w:t xml:space="preserve"> in Betrieb genommen, das Erdgas und Wasserstoff 80 / 20 verfeuert, Turbinenbauer war Mitsubishi Power. (Informationen, wie oben gesagt, für 2022).</w:t>
      </w:r>
      <w:r>
        <w:rPr>
          <w:rStyle w:val="Funotenzeichen"/>
        </w:rPr>
        <w:footnoteReference w:id="1916"/>
      </w:r>
      <w:r>
        <w:t xml:space="preserve"> In Port Arthur, Texas, baut die Firma 8 Rivers die Fabrik </w:t>
      </w:r>
      <w:proofErr w:type="spellStart"/>
      <w:r>
        <w:t>Cormorant</w:t>
      </w:r>
      <w:proofErr w:type="spellEnd"/>
      <w:r>
        <w:t xml:space="preserve"> Clean Energy, die 880.000 Tonnen Ammoniak produzieren soll, kombiniert mit einer Oxy-</w:t>
      </w:r>
      <w:proofErr w:type="spellStart"/>
      <w:r>
        <w:t>Combustor</w:t>
      </w:r>
      <w:proofErr w:type="spellEnd"/>
      <w:r>
        <w:t xml:space="preserve">, einer Anlage </w:t>
      </w:r>
      <w:proofErr w:type="gramStart"/>
      <w:r>
        <w:t>der reiner Sauerstoff</w:t>
      </w:r>
      <w:proofErr w:type="gramEnd"/>
      <w:r>
        <w:t xml:space="preserve"> beigefügt wird, die den Vorteil hat, dass reines CO2, jährlich sollen 1,4 Mill. Tonnen CO2 aufgefangen. Die Anlage wird beworben, dass sie einen ‚ultra-</w:t>
      </w:r>
      <w:proofErr w:type="spellStart"/>
      <w:r>
        <w:t>low</w:t>
      </w:r>
      <w:proofErr w:type="spellEnd"/>
      <w:r>
        <w:t xml:space="preserve"> </w:t>
      </w:r>
      <w:proofErr w:type="spellStart"/>
      <w:r>
        <w:t>carbon</w:t>
      </w:r>
      <w:proofErr w:type="spellEnd"/>
      <w:r>
        <w:t xml:space="preserve"> </w:t>
      </w:r>
      <w:proofErr w:type="spellStart"/>
      <w:r>
        <w:t>production</w:t>
      </w:r>
      <w:proofErr w:type="spellEnd"/>
      <w:r>
        <w:t xml:space="preserve"> </w:t>
      </w:r>
      <w:proofErr w:type="spellStart"/>
      <w:r>
        <w:t>process</w:t>
      </w:r>
      <w:proofErr w:type="spellEnd"/>
      <w:r>
        <w:t>‘ hat, dies ist im Vergleich zu anderen Anlagen gemeint und irreführend, denn CCS erfolgt nicht.</w:t>
      </w:r>
      <w:r>
        <w:rPr>
          <w:rStyle w:val="Funotenzeichen"/>
        </w:rPr>
        <w:footnoteReference w:id="1917"/>
      </w:r>
      <w:r>
        <w:t xml:space="preserve">  </w:t>
      </w:r>
    </w:p>
    <w:p w14:paraId="49928A5C" w14:textId="77777777" w:rsidR="00486535" w:rsidRDefault="00486535" w:rsidP="00486535"/>
    <w:p w14:paraId="63C0C3A5" w14:textId="3DCADC42" w:rsidR="00486535" w:rsidRDefault="00486535" w:rsidP="00486535">
      <w:bookmarkStart w:id="107" w:name="_Hlk186157338"/>
      <w:r>
        <w:t xml:space="preserve">Projekte, die eine Förderung bekommen, sind u.a. in Texas der </w:t>
      </w:r>
      <w:proofErr w:type="spellStart"/>
      <w:r>
        <w:t>Gulf</w:t>
      </w:r>
      <w:proofErr w:type="spellEnd"/>
      <w:r>
        <w:t xml:space="preserve"> Coast </w:t>
      </w:r>
      <w:proofErr w:type="spellStart"/>
      <w:r>
        <w:t>HyVelocityHub</w:t>
      </w:r>
      <w:proofErr w:type="spellEnd"/>
      <w:r>
        <w:t xml:space="preserve"> (</w:t>
      </w:r>
      <w:proofErr w:type="spellStart"/>
      <w:r>
        <w:t>HyV</w:t>
      </w:r>
      <w:proofErr w:type="spellEnd"/>
      <w:r>
        <w:t>), hier wird bis zu 1,2 Mrd. US$ Förderung für die Herstellung von blauem Wasserstoff ausgegeben (also die Projektion mit Erdgas, und einem Verpressen des CO2s mit CCS), mit dem Argument, dass man mit dem Überfluss an Erdgas günstigen Wasserstoff herstellen kann, um einen Marktstart zu Verbreitung von Wasserstoff zu fördern.</w:t>
      </w:r>
      <w:r>
        <w:rPr>
          <w:rStyle w:val="Funotenzeichen"/>
        </w:rPr>
        <w:footnoteReference w:id="1918"/>
      </w:r>
      <w:r>
        <w:t xml:space="preserve"> Ähnlich der </w:t>
      </w:r>
      <w:proofErr w:type="spellStart"/>
      <w:r>
        <w:t>Appalachian</w:t>
      </w:r>
      <w:proofErr w:type="spellEnd"/>
      <w:r>
        <w:t xml:space="preserve"> Hydrogen Hub (Arch2).</w:t>
      </w:r>
      <w:r>
        <w:rPr>
          <w:rStyle w:val="Funotenzeichen"/>
        </w:rPr>
        <w:footnoteReference w:id="1919"/>
      </w:r>
      <w:r>
        <w:t xml:space="preserve"> Ebenso ausgewählt wurde die </w:t>
      </w:r>
      <w:proofErr w:type="spellStart"/>
      <w:r w:rsidRPr="00B83EA6">
        <w:t>Midwest</w:t>
      </w:r>
      <w:proofErr w:type="spellEnd"/>
      <w:r w:rsidRPr="00B83EA6">
        <w:t xml:space="preserve"> Alliance </w:t>
      </w:r>
      <w:proofErr w:type="spellStart"/>
      <w:r w:rsidRPr="00B83EA6">
        <w:t>for</w:t>
      </w:r>
      <w:proofErr w:type="spellEnd"/>
      <w:r w:rsidRPr="00B83EA6">
        <w:t xml:space="preserve"> Clean Hydrogen (MachH2</w:t>
      </w:r>
      <w:r>
        <w:rPr>
          <w:rStyle w:val="Funotenzeichen"/>
        </w:rPr>
        <w:footnoteReference w:id="1920"/>
      </w:r>
      <w:r w:rsidRPr="00B83EA6">
        <w:t>)</w:t>
      </w:r>
      <w:r>
        <w:t>.</w:t>
      </w:r>
      <w:r>
        <w:rPr>
          <w:rStyle w:val="Funotenzeichen"/>
        </w:rPr>
        <w:footnoteReference w:id="1921"/>
      </w:r>
      <w:r>
        <w:t xml:space="preserve"> In Kalifornien das </w:t>
      </w:r>
      <w:proofErr w:type="spellStart"/>
      <w:r>
        <w:t>Arches</w:t>
      </w:r>
      <w:proofErr w:type="spellEnd"/>
      <w:r>
        <w:rPr>
          <w:rStyle w:val="Funotenzeichen"/>
        </w:rPr>
        <w:footnoteReference w:id="1922"/>
      </w:r>
      <w:r>
        <w:t xml:space="preserve"> Projekt, das 1,2 Mrd. US$ Subventionen vom Staat erhält, aber auf regionaler Ebene weiter 10 Mrd. US$ aktivieren wird. Kalifornien berichtet, dass es diesen Sommer 97 Tage von 115 Tage seinen Strombedarf zu 100 % aus erneuerbaren Energien gedeckt hat. </w:t>
      </w:r>
      <w:r>
        <w:rPr>
          <w:rStyle w:val="Funotenzeichen"/>
        </w:rPr>
        <w:footnoteReference w:id="1923"/>
      </w:r>
      <w:r>
        <w:t xml:space="preserve"> Elektrolyse soll im Pacific </w:t>
      </w:r>
      <w:proofErr w:type="spellStart"/>
      <w:r>
        <w:t>Northwest</w:t>
      </w:r>
      <w:proofErr w:type="spellEnd"/>
      <w:r>
        <w:t xml:space="preserve"> </w:t>
      </w:r>
      <w:proofErr w:type="spellStart"/>
      <w:r>
        <w:t>Hydrongen</w:t>
      </w:r>
      <w:proofErr w:type="spellEnd"/>
      <w:r>
        <w:t xml:space="preserve"> Hub aufgebaut werden und für den LKW-Verkehr genutzt werden.</w:t>
      </w:r>
      <w:r>
        <w:rPr>
          <w:rStyle w:val="Funotenzeichen"/>
        </w:rPr>
        <w:footnoteReference w:id="1924"/>
      </w:r>
      <w:bookmarkEnd w:id="107"/>
      <w:r>
        <w:t xml:space="preserve"> Siehe auch diese Webseite.</w:t>
      </w:r>
      <w:r>
        <w:rPr>
          <w:rStyle w:val="Funotenzeichen"/>
        </w:rPr>
        <w:footnoteReference w:id="1925"/>
      </w:r>
      <w:r>
        <w:t xml:space="preserve"> Von diesen Projekten erscheint nur das Kalifornien Projekt halbwegs groß.</w:t>
      </w:r>
    </w:p>
    <w:p w14:paraId="4B079432" w14:textId="77777777" w:rsidR="00486535" w:rsidRDefault="00486535" w:rsidP="00112190"/>
    <w:p w14:paraId="471EC3C9" w14:textId="3DFC7FA8" w:rsidR="00227C78" w:rsidRDefault="00227C78" w:rsidP="00227C78">
      <w:r w:rsidRPr="00227C78">
        <w:rPr>
          <w:b/>
          <w:bCs/>
        </w:rPr>
        <w:t>Somit gibt es leider</w:t>
      </w:r>
      <w:r>
        <w:rPr>
          <w:b/>
          <w:bCs/>
        </w:rPr>
        <w:t xml:space="preserve"> </w:t>
      </w:r>
      <w:r w:rsidRPr="00227C78">
        <w:rPr>
          <w:b/>
          <w:bCs/>
        </w:rPr>
        <w:t>in den USA bislang kein Windenergie Elektrolyse Cluster, das günstig grünen Wasserstoff herstellt</w:t>
      </w:r>
      <w:r>
        <w:t xml:space="preserve">, wie dies Prof. Robert Schlögl </w:t>
      </w:r>
      <w:r w:rsidR="00412BD0">
        <w:t xml:space="preserve">in einem Vortrag auf dem Petersberg </w:t>
      </w:r>
      <w:r>
        <w:t>erzählt.</w:t>
      </w:r>
      <w:r>
        <w:rPr>
          <w:rStyle w:val="Funotenzeichen"/>
        </w:rPr>
        <w:footnoteReference w:id="1926"/>
      </w:r>
    </w:p>
    <w:p w14:paraId="6D21DCC1" w14:textId="77777777" w:rsidR="00227C78" w:rsidRDefault="00227C78" w:rsidP="00112190"/>
    <w:p w14:paraId="7857E714" w14:textId="2980A9FF" w:rsidR="00E57DF7" w:rsidRDefault="00E57DF7" w:rsidP="00E57DF7">
      <w:r w:rsidRPr="003B27FE">
        <w:lastRenderedPageBreak/>
        <w:t xml:space="preserve">Im Inflation </w:t>
      </w:r>
      <w:proofErr w:type="spellStart"/>
      <w:r w:rsidRPr="003B27FE">
        <w:t>Reduction</w:t>
      </w:r>
      <w:proofErr w:type="spellEnd"/>
      <w:r w:rsidRPr="003B27FE">
        <w:t xml:space="preserve"> Act wer</w:t>
      </w:r>
      <w:r>
        <w:t>den Steuergutschriften für eine Reihe von Bereichen etabliert, darunter auch für Wasserstoff, da die USA aber kaum Elektrolyseanlagen bauen, u.a. z.B. eine F&amp;E-Förderung von 300 Mill. US$</w:t>
      </w:r>
      <w:r>
        <w:rPr>
          <w:rStyle w:val="Funotenzeichen"/>
        </w:rPr>
        <w:footnoteReference w:id="1927"/>
      </w:r>
      <w:r>
        <w:t>, am 13. März 2024 wurden 750 Mill. US$ für 52 Projekte in 24 Staaten angekündigt</w:t>
      </w:r>
      <w:r>
        <w:rPr>
          <w:rStyle w:val="Funotenzeichen"/>
        </w:rPr>
        <w:footnoteReference w:id="1928"/>
      </w:r>
      <w:r>
        <w:t>, und aktuell z.B. noch einmal 8 Mill. US$.</w:t>
      </w:r>
      <w:r>
        <w:rPr>
          <w:rStyle w:val="Funotenzeichen"/>
        </w:rPr>
        <w:footnoteReference w:id="1929"/>
      </w:r>
      <w:r w:rsidR="00BF5B73">
        <w:t xml:space="preserve"> </w:t>
      </w:r>
      <w:r>
        <w:t>Die Wasserstoff Programme werden in diesem Sekretariat gebündelt (</w:t>
      </w:r>
      <w:r w:rsidRPr="005B5C7F">
        <w:t xml:space="preserve">Hydrogen and Fuel </w:t>
      </w:r>
      <w:proofErr w:type="spellStart"/>
      <w:r w:rsidRPr="005B5C7F">
        <w:t>Cell</w:t>
      </w:r>
      <w:proofErr w:type="spellEnd"/>
      <w:r w:rsidRPr="005B5C7F">
        <w:t xml:space="preserve"> Technologies Office HFTO</w:t>
      </w:r>
      <w:r>
        <w:t>).</w:t>
      </w:r>
      <w:r>
        <w:rPr>
          <w:rStyle w:val="Funotenzeichen"/>
        </w:rPr>
        <w:footnoteReference w:id="1930"/>
      </w:r>
    </w:p>
    <w:p w14:paraId="5711A74B" w14:textId="577792DC" w:rsidR="00E57DF7" w:rsidRPr="00912595" w:rsidRDefault="00E57DF7" w:rsidP="00E57DF7">
      <w:r>
        <w:t xml:space="preserve">Gefördert wird u.a. </w:t>
      </w:r>
      <w:r w:rsidR="00BF5B73">
        <w:t xml:space="preserve">der Elektrolyseurhersteller </w:t>
      </w:r>
      <w:r>
        <w:t>Thyssenkrupp Nucera mit ihrer Niederlassung in Texas, siehe hier die Übersicht über Projekte und Firmen.</w:t>
      </w:r>
      <w:r>
        <w:rPr>
          <w:rStyle w:val="Funotenzeichen"/>
        </w:rPr>
        <w:footnoteReference w:id="1931"/>
      </w:r>
      <w:r w:rsidR="00BF5B73">
        <w:t xml:space="preserve"> </w:t>
      </w:r>
      <w:r>
        <w:t>Zur Wasserstoffpolitik der USA.</w:t>
      </w:r>
      <w:r>
        <w:rPr>
          <w:rStyle w:val="Funotenzeichen"/>
        </w:rPr>
        <w:footnoteReference w:id="1932"/>
      </w:r>
      <w:r>
        <w:t xml:space="preserve"> Vergleich zur Wasserstoffstrategie der EU.</w:t>
      </w:r>
      <w:r>
        <w:rPr>
          <w:rStyle w:val="Funotenzeichen"/>
        </w:rPr>
        <w:footnoteReference w:id="1933"/>
      </w:r>
      <w:r>
        <w:t xml:space="preserve"> </w:t>
      </w:r>
      <w:r w:rsidRPr="007356DD">
        <w:t>Siehe National Climate Task Force.</w:t>
      </w:r>
      <w:r>
        <w:rPr>
          <w:rStyle w:val="Funotenzeichen"/>
        </w:rPr>
        <w:footnoteReference w:id="1934"/>
      </w:r>
      <w:r w:rsidRPr="007356DD">
        <w:t xml:space="preserve"> </w:t>
      </w:r>
      <w:r w:rsidRPr="00912595">
        <w:t xml:space="preserve">Siehe: Inflation </w:t>
      </w:r>
      <w:proofErr w:type="spellStart"/>
      <w:r w:rsidRPr="00912595">
        <w:t>Reduction</w:t>
      </w:r>
      <w:proofErr w:type="spellEnd"/>
      <w:r w:rsidRPr="00912595">
        <w:t xml:space="preserve"> Act, </w:t>
      </w:r>
      <w:proofErr w:type="spellStart"/>
      <w:r w:rsidRPr="00912595">
        <w:t>Guidebook</w:t>
      </w:r>
      <w:proofErr w:type="spellEnd"/>
      <w:r>
        <w:rPr>
          <w:rStyle w:val="Funotenzeichen"/>
          <w:lang w:val="en-GB"/>
        </w:rPr>
        <w:footnoteReference w:id="1935"/>
      </w:r>
      <w:r w:rsidRPr="00912595">
        <w:t>, konkret</w:t>
      </w:r>
      <w:r>
        <w:t>e</w:t>
      </w:r>
      <w:r w:rsidRPr="00912595">
        <w:t xml:space="preserve"> Programme und Neuerungen sind</w:t>
      </w:r>
      <w:r>
        <w:t xml:space="preserve"> zu sehen unter Cleanenergy.gov</w:t>
      </w:r>
      <w:r>
        <w:rPr>
          <w:rStyle w:val="Funotenzeichen"/>
        </w:rPr>
        <w:footnoteReference w:id="1936"/>
      </w:r>
      <w:r>
        <w:t xml:space="preserve">, </w:t>
      </w:r>
      <w:r w:rsidRPr="00912595">
        <w:t xml:space="preserve"> Inflation </w:t>
      </w:r>
      <w:proofErr w:type="spellStart"/>
      <w:r w:rsidRPr="00912595">
        <w:t>Reduction</w:t>
      </w:r>
      <w:proofErr w:type="spellEnd"/>
      <w:r w:rsidRPr="00912595">
        <w:t xml:space="preserve"> Act Wikipedia.</w:t>
      </w:r>
      <w:r>
        <w:rPr>
          <w:rStyle w:val="Funotenzeichen"/>
          <w:lang w:val="en-GB"/>
        </w:rPr>
        <w:footnoteReference w:id="1937"/>
      </w:r>
      <w:r w:rsidRPr="00912595">
        <w:t xml:space="preserve"> </w:t>
      </w:r>
    </w:p>
    <w:p w14:paraId="0D9638E7" w14:textId="77777777" w:rsidR="00E57DF7" w:rsidRDefault="00E57DF7" w:rsidP="00112190"/>
    <w:p w14:paraId="3839FC37" w14:textId="77777777" w:rsidR="00112190" w:rsidRDefault="00112190" w:rsidP="00112190">
      <w:r>
        <w:t xml:space="preserve">In den USA gibt es einen großen Unterschied zwischen den Staaten, z.B. sind Iowa und Kansas mit dem Anteil der Windenergie am Strom von 58 % und 43 % führend. Der Strompreis variiert zwischen 7,7 US$ in Louisiana (4,8 US$ Industriestrom in Louisiana), 14,7 US$ und 28,7 US$ in Hawaii, pro Megawattstunde für Endverbraucher. Die Staaten haben große Freiheiten in der Gestaltung ihrer Energiepolitik, erst 10 Staaten haben Regulierungen für erneuerbare Energien eingeführt, Vorreiter ist etwa Virginia, welches 2040 CO2 neutral sein will und auch Kohlekraftwerke stilllegen will. Louisiana will klimaneutral werden, verfügt aber </w:t>
      </w:r>
      <w:proofErr w:type="gramStart"/>
      <w:r>
        <w:t>über eine hohe Öl</w:t>
      </w:r>
      <w:proofErr w:type="gramEnd"/>
      <w:r>
        <w:t xml:space="preserve"> und Gasproduktion und hat keine Programme für erneuerbare Energien begonnen.</w:t>
      </w:r>
      <w:r>
        <w:rPr>
          <w:rStyle w:val="Funotenzeichen"/>
        </w:rPr>
        <w:footnoteReference w:id="1938"/>
      </w:r>
      <w:r>
        <w:t xml:space="preserve"> Die Ölproduktion in Louisiana ist aber seit Jahren rückläufig und liegt derzeit bei ca. 3 Millionen Barrel pro Monat, 36 Mill. Barrel pro Jahr.</w:t>
      </w:r>
      <w:r>
        <w:rPr>
          <w:rStyle w:val="Funotenzeichen"/>
        </w:rPr>
        <w:footnoteReference w:id="1939"/>
      </w:r>
      <w:r>
        <w:t xml:space="preserve"> Ölkonzerne wie Exxon und Chevron investieren viel weniger in erneuerbare Energien wie Royal </w:t>
      </w:r>
      <w:proofErr w:type="spellStart"/>
      <w:r>
        <w:t>Dutch</w:t>
      </w:r>
      <w:proofErr w:type="spellEnd"/>
      <w:r>
        <w:t xml:space="preserve"> Shell oder TotalEnergies in Europa.</w:t>
      </w:r>
      <w:r>
        <w:rPr>
          <w:rStyle w:val="Funotenzeichen"/>
        </w:rPr>
        <w:footnoteReference w:id="1940"/>
      </w:r>
      <w:r>
        <w:t xml:space="preserve"> </w:t>
      </w:r>
    </w:p>
    <w:p w14:paraId="238D91C4" w14:textId="77777777" w:rsidR="00112190" w:rsidRDefault="00112190" w:rsidP="00112190"/>
    <w:p w14:paraId="2B8E4BEA" w14:textId="77777777" w:rsidR="0066086F" w:rsidRDefault="00481319" w:rsidP="00112190">
      <w:r>
        <w:t xml:space="preserve">Für Texas und Wyoming (groß wie Österreich, mit 1/15 der Einwohner) wird ein Solarboom vermeldet. Texas hat 2023 für 6,5 GW Solaranlagen fertiggestellt, angestrebt werden 100 Gigawatt in den nächsten 10 Jahren. In Wyoming baut </w:t>
      </w:r>
      <w:proofErr w:type="spellStart"/>
      <w:r>
        <w:t>Enbridge</w:t>
      </w:r>
      <w:proofErr w:type="spellEnd"/>
      <w:r>
        <w:t xml:space="preserve"> das Projekt Cowboy Solar mit einer Leistung von </w:t>
      </w:r>
      <w:r>
        <w:lastRenderedPageBreak/>
        <w:t xml:space="preserve">770 Megawatt plus einem Batteriespeicher, um kontinuierlich Strom liefern zu können, Fläche 15 Quadratkilometer. Dies liegt offenbar auch daran, dass in diesem Staat Konzerne wie </w:t>
      </w:r>
      <w:proofErr w:type="spellStart"/>
      <w:r>
        <w:t>Meta</w:t>
      </w:r>
      <w:proofErr w:type="spellEnd"/>
      <w:r>
        <w:t xml:space="preserve"> und Microsoft große Rechenzentren errichten.</w:t>
      </w:r>
    </w:p>
    <w:p w14:paraId="4C0D6B27" w14:textId="77777777" w:rsidR="0066086F" w:rsidRDefault="0066086F" w:rsidP="00112190"/>
    <w:p w14:paraId="532E5DFA" w14:textId="1984C8B8" w:rsidR="0066086F" w:rsidRDefault="0066086F" w:rsidP="0066086F">
      <w:r>
        <w:t>Dass es bald normal sein wir</w:t>
      </w:r>
      <w:r w:rsidR="00BF5B73">
        <w:t xml:space="preserve">d </w:t>
      </w:r>
      <w:r>
        <w:t xml:space="preserve">große Solarparks zu bauen, zeigt </w:t>
      </w:r>
      <w:proofErr w:type="spellStart"/>
      <w:r>
        <w:t>Enbridge</w:t>
      </w:r>
      <w:proofErr w:type="spellEnd"/>
      <w:r>
        <w:t xml:space="preserve"> am Cowboy Solar I und II Projekt in Wyoming, mit 400 MW Solar und 136 MW Batteriespeicher in Phase I und 371 Solar und 133 Batteriespeicher in Phase II (771 MW).</w:t>
      </w:r>
      <w:r w:rsidR="00BF5B73" w:rsidRPr="00BF5B73">
        <w:rPr>
          <w:rStyle w:val="Funotenzeichen"/>
        </w:rPr>
        <w:t xml:space="preserve"> </w:t>
      </w:r>
      <w:r w:rsidR="00BF5B73">
        <w:rPr>
          <w:rStyle w:val="Funotenzeichen"/>
        </w:rPr>
        <w:footnoteReference w:id="1941"/>
      </w:r>
      <w:r w:rsidR="00BF5B73">
        <w:t xml:space="preserve"> Kosten ca. 1,2 Mrd. US$.</w:t>
      </w:r>
      <w:r w:rsidR="00BF5B73">
        <w:rPr>
          <w:rStyle w:val="Funotenzeichen"/>
        </w:rPr>
        <w:footnoteReference w:id="1942"/>
      </w:r>
      <w:r>
        <w:t xml:space="preserve"> Batteriespeicher von Fluence Energy Inc., Solar von American Hyperion Solar LLC, Tochter von Jiangsu Runergy New Energy Technology Co. Ltd. Ein Grund für diesen Solarpark ist der Aufbau von Rechenzentren, u.a. von Microsoft.</w:t>
      </w:r>
      <w:r>
        <w:rPr>
          <w:rStyle w:val="Funotenzeichen"/>
        </w:rPr>
        <w:footnoteReference w:id="1943"/>
      </w:r>
    </w:p>
    <w:p w14:paraId="10316CFA" w14:textId="77777777" w:rsidR="0066086F" w:rsidRDefault="0066086F" w:rsidP="00112190"/>
    <w:p w14:paraId="4F8161B2" w14:textId="05EE64A4" w:rsidR="00FD2C27" w:rsidRPr="00EB1D02" w:rsidRDefault="00481319" w:rsidP="00112190">
      <w:r>
        <w:t>Insgesamt hat die USA nun eine Solarkapazität von 139 Gigawatt</w:t>
      </w:r>
      <w:r w:rsidR="00CA3D74">
        <w:t xml:space="preserve"> und im Jahr 2023 wurden </w:t>
      </w:r>
      <w:r>
        <w:t xml:space="preserve">25 Gigawatt </w:t>
      </w:r>
      <w:proofErr w:type="spellStart"/>
      <w:r>
        <w:t>dazugebaut</w:t>
      </w:r>
      <w:proofErr w:type="spellEnd"/>
      <w:r>
        <w:t>. Im 1. Quartal 2024 wurden bereits 11 GW gebaut. In Wyoming, Montana, Colorado, Oregon, Kalifornien, Arizona, Nevada und New Mexico gehören große Gebiete dem Staat. Die Biden Regierung hat mit dem Western Solar Plan 90.000 Quadratkilometer für die Solarnutzung geöffnet, wobei dies aber immer noch aufwendig genehmigt werden muss. Auch die USA haben aber Problem mit zu viel Produktion, in Kalifornien gibt es teils schon ein Überangebot, nun sollen Batteriespeicher helfen.</w:t>
      </w:r>
      <w:r>
        <w:rPr>
          <w:rStyle w:val="Funotenzeichen"/>
        </w:rPr>
        <w:footnoteReference w:id="1944"/>
      </w:r>
      <w:r>
        <w:t xml:space="preserve"> </w:t>
      </w:r>
      <w:r w:rsidR="00662691" w:rsidRPr="00EB1D02">
        <w:t>Hier braucht man</w:t>
      </w:r>
      <w:r w:rsidRPr="00EB1D02">
        <w:t xml:space="preserve"> </w:t>
      </w:r>
      <w:r w:rsidR="003F050E" w:rsidRPr="00EB1D02">
        <w:t xml:space="preserve">mehr </w:t>
      </w:r>
      <w:r w:rsidRPr="00EB1D02">
        <w:t>Netzausbau.</w:t>
      </w:r>
      <w:r w:rsidR="00EF0449">
        <w:rPr>
          <w:rStyle w:val="Funotenzeichen"/>
        </w:rPr>
        <w:footnoteReference w:id="1945"/>
      </w:r>
      <w:r w:rsidRPr="00EB1D02">
        <w:t xml:space="preserve"> </w:t>
      </w:r>
    </w:p>
    <w:p w14:paraId="24E2D0F0" w14:textId="77777777" w:rsidR="00FD2C27" w:rsidRPr="00EB1D02" w:rsidRDefault="00FD2C27" w:rsidP="00112190"/>
    <w:p w14:paraId="4F4AD6B4" w14:textId="21225034" w:rsidR="00FD2C27" w:rsidRPr="00CA3D74" w:rsidRDefault="00BF5B73" w:rsidP="00FD2C27">
      <w:pPr>
        <w:rPr>
          <w:lang w:val="en-GB"/>
        </w:rPr>
      </w:pPr>
      <w:r w:rsidRPr="00BF5B73">
        <w:t>Siehe das folgende Zitat zum Netzausbau</w:t>
      </w:r>
      <w:r>
        <w:t xml:space="preserve"> in den USA: </w:t>
      </w:r>
      <w:r w:rsidR="00FD2C27" w:rsidRPr="00BF5B73">
        <w:t xml:space="preserve">„The </w:t>
      </w:r>
      <w:proofErr w:type="spellStart"/>
      <w:r w:rsidR="00FD2C27" w:rsidRPr="00BF5B73">
        <w:t>reform</w:t>
      </w:r>
      <w:proofErr w:type="spellEnd"/>
      <w:r w:rsidR="00FD2C27" w:rsidRPr="00BF5B73">
        <w:t xml:space="preserve"> </w:t>
      </w:r>
      <w:proofErr w:type="spellStart"/>
      <w:r w:rsidR="00FD2C27" w:rsidRPr="00BF5B73">
        <w:t>of</w:t>
      </w:r>
      <w:proofErr w:type="spellEnd"/>
      <w:r w:rsidR="00FD2C27" w:rsidRPr="00BF5B73">
        <w:t xml:space="preserve"> </w:t>
      </w:r>
      <w:proofErr w:type="spellStart"/>
      <w:r w:rsidR="00FD2C27" w:rsidRPr="00BF5B73">
        <w:t>the</w:t>
      </w:r>
      <w:proofErr w:type="spellEnd"/>
      <w:r w:rsidR="00FD2C27" w:rsidRPr="00BF5B73">
        <w:t xml:space="preserve"> US Interconnection Queue.</w:t>
      </w:r>
      <w:r w:rsidR="00CA3D74" w:rsidRPr="00BF5B73">
        <w:t xml:space="preserve"> </w:t>
      </w:r>
      <w:r w:rsidR="00FD2C27" w:rsidRPr="00FD2C27">
        <w:rPr>
          <w:lang w:val="en-GB"/>
        </w:rPr>
        <w:t>Around 2,000 gigawatts of projects, ranging from</w:t>
      </w:r>
      <w:r>
        <w:rPr>
          <w:lang w:val="en-GB"/>
        </w:rPr>
        <w:t xml:space="preserve"> </w:t>
      </w:r>
      <w:r w:rsidR="00FD2C27" w:rsidRPr="00FD2C27">
        <w:rPr>
          <w:lang w:val="en-GB"/>
        </w:rPr>
        <w:t>renewables and battery installations to natural gas</w:t>
      </w:r>
      <w:r w:rsidR="00CA3D74">
        <w:rPr>
          <w:lang w:val="en-GB"/>
        </w:rPr>
        <w:t xml:space="preserve"> </w:t>
      </w:r>
      <w:r w:rsidR="00FD2C27" w:rsidRPr="00FD2C27">
        <w:rPr>
          <w:lang w:val="en-GB"/>
        </w:rPr>
        <w:t>generators, are trying to connect to the US grid.</w:t>
      </w:r>
      <w:r w:rsidR="00CA3D74">
        <w:rPr>
          <w:lang w:val="en-GB"/>
        </w:rPr>
        <w:t xml:space="preserve"> </w:t>
      </w:r>
      <w:r w:rsidR="00FD2C27" w:rsidRPr="00FD2C27">
        <w:rPr>
          <w:lang w:val="en-GB"/>
        </w:rPr>
        <w:t>However, it could take five years for these projects</w:t>
      </w:r>
      <w:r w:rsidR="00CA3D74">
        <w:rPr>
          <w:lang w:val="en-GB"/>
        </w:rPr>
        <w:t xml:space="preserve"> </w:t>
      </w:r>
      <w:r w:rsidR="00FD2C27" w:rsidRPr="00FD2C27">
        <w:rPr>
          <w:lang w:val="en-GB"/>
        </w:rPr>
        <w:t>to get the necessary approvals to come online. In</w:t>
      </w:r>
      <w:r>
        <w:rPr>
          <w:lang w:val="en-GB"/>
        </w:rPr>
        <w:t xml:space="preserve"> </w:t>
      </w:r>
      <w:r w:rsidR="00FD2C27" w:rsidRPr="00FD2C27">
        <w:rPr>
          <w:lang w:val="en-GB"/>
        </w:rPr>
        <w:t>July 2023, the Federal Energy Regulatory Commission (FERC) approved Order 2023, the most comprehensive set of reforms to the generator</w:t>
      </w:r>
      <w:r>
        <w:rPr>
          <w:lang w:val="en-GB"/>
        </w:rPr>
        <w:t xml:space="preserve"> </w:t>
      </w:r>
      <w:r w:rsidR="00FD2C27" w:rsidRPr="00FD2C27">
        <w:rPr>
          <w:lang w:val="en-GB"/>
        </w:rPr>
        <w:t>interconnection process in two decades. The regulation</w:t>
      </w:r>
      <w:r w:rsidR="00CA3D74">
        <w:rPr>
          <w:lang w:val="en-GB"/>
        </w:rPr>
        <w:t xml:space="preserve"> </w:t>
      </w:r>
      <w:r w:rsidR="00FD2C27" w:rsidRPr="00FD2C27">
        <w:rPr>
          <w:lang w:val="en-GB"/>
        </w:rPr>
        <w:t>clearly shows that FERC clearly understands the</w:t>
      </w:r>
      <w:r w:rsidR="00CA3D74">
        <w:rPr>
          <w:lang w:val="en-GB"/>
        </w:rPr>
        <w:t xml:space="preserve"> </w:t>
      </w:r>
      <w:r w:rsidR="00FD2C27" w:rsidRPr="00FD2C27">
        <w:rPr>
          <w:lang w:val="en-GB"/>
        </w:rPr>
        <w:t>critical need to improve the interconnection process, one of the biggest barriers to the transition</w:t>
      </w:r>
      <w:r w:rsidR="00CA3D74">
        <w:rPr>
          <w:lang w:val="en-GB"/>
        </w:rPr>
        <w:t xml:space="preserve"> </w:t>
      </w:r>
      <w:r w:rsidR="00FD2C27" w:rsidRPr="00FD2C27">
        <w:rPr>
          <w:lang w:val="en-GB"/>
        </w:rPr>
        <w:t>to clean energy. Enel North America backed the</w:t>
      </w:r>
      <w:r w:rsidR="00CA3D74">
        <w:rPr>
          <w:lang w:val="en-GB"/>
        </w:rPr>
        <w:t xml:space="preserve"> </w:t>
      </w:r>
      <w:r w:rsidR="00FD2C27" w:rsidRPr="00FD2C27">
        <w:rPr>
          <w:lang w:val="en-GB"/>
        </w:rPr>
        <w:t>proposed reforms and gave public testimony in</w:t>
      </w:r>
      <w:r w:rsidR="00CA3D74">
        <w:rPr>
          <w:lang w:val="en-GB"/>
        </w:rPr>
        <w:t xml:space="preserve"> </w:t>
      </w:r>
      <w:r w:rsidR="00FD2C27" w:rsidRPr="00FD2C27">
        <w:rPr>
          <w:lang w:val="en-GB"/>
        </w:rPr>
        <w:t>support of the initiatives. FERC referred to Enel’s</w:t>
      </w:r>
      <w:r w:rsidR="00CA3D74">
        <w:rPr>
          <w:lang w:val="en-GB"/>
        </w:rPr>
        <w:t xml:space="preserve"> </w:t>
      </w:r>
      <w:r w:rsidR="00FD2C27" w:rsidRPr="00FD2C27">
        <w:rPr>
          <w:lang w:val="en-GB"/>
        </w:rPr>
        <w:t>comments 247 times in the Final Rule. In multiple</w:t>
      </w:r>
      <w:r w:rsidR="00CA3D74">
        <w:rPr>
          <w:lang w:val="en-GB"/>
        </w:rPr>
        <w:t xml:space="preserve"> </w:t>
      </w:r>
      <w:r w:rsidR="00FD2C27" w:rsidRPr="00FD2C27">
        <w:rPr>
          <w:lang w:val="en-GB"/>
        </w:rPr>
        <w:t>instances, FERC has cited and accepted Enel’s spe</w:t>
      </w:r>
      <w:r w:rsidR="00FD2C27" w:rsidRPr="00CA3D74">
        <w:rPr>
          <w:lang w:val="en-GB"/>
        </w:rPr>
        <w:t xml:space="preserve">cific </w:t>
      </w:r>
      <w:proofErr w:type="gramStart"/>
      <w:r w:rsidR="00FD2C27" w:rsidRPr="00CA3D74">
        <w:rPr>
          <w:lang w:val="en-GB"/>
        </w:rPr>
        <w:t>recommendations.“</w:t>
      </w:r>
      <w:proofErr w:type="gramEnd"/>
      <w:r w:rsidR="00FD2C27" w:rsidRPr="00CA3D74">
        <w:rPr>
          <w:rStyle w:val="Funotenzeichen"/>
          <w:lang w:val="en-GB"/>
        </w:rPr>
        <w:t xml:space="preserve"> </w:t>
      </w:r>
      <w:r w:rsidR="00FD2C27">
        <w:rPr>
          <w:rStyle w:val="Funotenzeichen"/>
        </w:rPr>
        <w:footnoteReference w:id="1946"/>
      </w:r>
    </w:p>
    <w:p w14:paraId="0FEF7B78" w14:textId="77777777" w:rsidR="00FD2C27" w:rsidRPr="00CA3D74" w:rsidRDefault="00FD2C27" w:rsidP="00112190">
      <w:pPr>
        <w:rPr>
          <w:lang w:val="en-GB"/>
        </w:rPr>
      </w:pPr>
    </w:p>
    <w:p w14:paraId="7D4B671C" w14:textId="6DF822BB" w:rsidR="003F050E" w:rsidRDefault="003F050E" w:rsidP="00112190">
      <w:r>
        <w:t xml:space="preserve">Der </w:t>
      </w:r>
      <w:proofErr w:type="spellStart"/>
      <w:r>
        <w:t>Elektravision</w:t>
      </w:r>
      <w:proofErr w:type="spellEnd"/>
      <w:r>
        <w:t xml:space="preserve"> (2024) Bericht schreibt </w:t>
      </w:r>
      <w:r w:rsidR="00BF5B73">
        <w:t>über</w:t>
      </w:r>
      <w:r>
        <w:t xml:space="preserve"> die USA, dass Stromleitungen über 400 Meilen Länge, 15 bis 20 Jahre gedauert hätten, bis sie fertiggestellt waren. Projekte mit weniger als 150 Meilen seien in 5 bis 10 Jahren zu schaffen.</w:t>
      </w:r>
      <w:r>
        <w:rPr>
          <w:rStyle w:val="Funotenzeichen"/>
        </w:rPr>
        <w:footnoteReference w:id="1947"/>
      </w:r>
      <w:r>
        <w:t xml:space="preserve">    </w:t>
      </w:r>
    </w:p>
    <w:p w14:paraId="61E59EF8" w14:textId="77777777" w:rsidR="003F050E" w:rsidRDefault="003F050E" w:rsidP="00112190"/>
    <w:p w14:paraId="3F9FC68A" w14:textId="6BF9B3D7" w:rsidR="00662691" w:rsidRDefault="00662691" w:rsidP="00112190">
      <w:r>
        <w:t>Generell gilt aber, dass der Preis für Erdgas in den USA sehr niedrig liegt</w:t>
      </w:r>
      <w:r w:rsidR="00BF5B73">
        <w:t xml:space="preserve">, es liegt deshalb nahe, </w:t>
      </w:r>
      <w:proofErr w:type="gramStart"/>
      <w:r w:rsidR="00BF5B73">
        <w:t xml:space="preserve">dass </w:t>
      </w:r>
      <w:r>
        <w:t xml:space="preserve"> </w:t>
      </w:r>
      <w:r w:rsidR="004230CF">
        <w:t>auch</w:t>
      </w:r>
      <w:proofErr w:type="gramEnd"/>
      <w:r w:rsidR="004230CF">
        <w:t xml:space="preserve"> </w:t>
      </w:r>
      <w:r>
        <w:t>Erdgaskraftwerke gebaut werden könn</w:t>
      </w:r>
      <w:r w:rsidR="004230CF">
        <w:t>t</w:t>
      </w:r>
      <w:r>
        <w:t>en.</w:t>
      </w:r>
      <w:r w:rsidR="00BF5B73">
        <w:t xml:space="preserve"> Die USA verfügt über ¼ aller weltweit in Betrieb befindlichen Öl- und Gaskraftwerke (556 Gigawatt Leistung), für die Zukunft scheint eine große </w:t>
      </w:r>
      <w:r w:rsidR="00BF5B73">
        <w:lastRenderedPageBreak/>
        <w:t xml:space="preserve">Steigerung erwartet zu werden, </w:t>
      </w:r>
      <w:r w:rsidR="004230CF">
        <w:t>es liegen hier viele Pläne vor, die u.a. damit zu tun haben, dass wegen Rechenzentren für KI viel Energie benötigt wird</w:t>
      </w:r>
      <w:r w:rsidR="00BF5B73">
        <w:t>.</w:t>
      </w:r>
      <w:r w:rsidR="00BF5B73">
        <w:rPr>
          <w:rStyle w:val="Funotenzeichen"/>
        </w:rPr>
        <w:footnoteReference w:id="1948"/>
      </w:r>
      <w:r w:rsidR="00BF5B73">
        <w:t xml:space="preserve"> </w:t>
      </w:r>
    </w:p>
    <w:p w14:paraId="1AA8C4F4" w14:textId="77777777" w:rsidR="003F050E" w:rsidRDefault="003F050E" w:rsidP="00112190"/>
    <w:p w14:paraId="091DC022" w14:textId="65E9F6E9" w:rsidR="00112190" w:rsidRPr="004640D3" w:rsidRDefault="00112190" w:rsidP="00112190">
      <w:r>
        <w:t xml:space="preserve">Auch Kernkraft wird ausgebaut, wenn auch langsam, Southern Company, hat nach 15 Jahren Bauzeit nun den zweiten von zwei neuen Reaktoren an das Netz angeschlossen, die 35 Mrd. US$ gekostet haben, zwei neue Westinghouse AP-1000 Reaktoren. Es wird darüber nachgedacht, die </w:t>
      </w:r>
      <w:proofErr w:type="spellStart"/>
      <w:r>
        <w:t>Tennesee</w:t>
      </w:r>
      <w:proofErr w:type="spellEnd"/>
      <w:r>
        <w:t xml:space="preserve"> Valley Authority mit der Möglichkeit höherer Kreditausnahme auszustatten, um ggf. neue Kernkraftwerke bauen zu können. Über ein Uranimportverbot aus Russland wird im Senat abgestimmt.</w:t>
      </w:r>
      <w:r>
        <w:rPr>
          <w:rStyle w:val="Funotenzeichen"/>
        </w:rPr>
        <w:footnoteReference w:id="1949"/>
      </w:r>
      <w:r w:rsidR="004640D3">
        <w:t xml:space="preserve"> Am 18.06.2024 hat der U.S. Kongress, in großer Mehrheit von Demokraten und Republikanern, den sog. </w:t>
      </w:r>
      <w:r w:rsidR="004640D3" w:rsidRPr="004640D3">
        <w:t xml:space="preserve">Advance Act beschlossen, der die </w:t>
      </w:r>
      <w:proofErr w:type="spellStart"/>
      <w:r w:rsidR="004640D3" w:rsidRPr="004640D3">
        <w:t>Nuclear</w:t>
      </w:r>
      <w:proofErr w:type="spellEnd"/>
      <w:r w:rsidR="004640D3" w:rsidRPr="004640D3">
        <w:t xml:space="preserve"> </w:t>
      </w:r>
      <w:proofErr w:type="spellStart"/>
      <w:r w:rsidR="004640D3" w:rsidRPr="004640D3">
        <w:t>Regulatory</w:t>
      </w:r>
      <w:proofErr w:type="spellEnd"/>
      <w:r w:rsidR="004640D3" w:rsidRPr="004640D3">
        <w:t xml:space="preserve"> </w:t>
      </w:r>
      <w:proofErr w:type="spellStart"/>
      <w:r w:rsidR="004640D3" w:rsidRPr="004640D3">
        <w:t>Commission</w:t>
      </w:r>
      <w:proofErr w:type="spellEnd"/>
      <w:r w:rsidR="004640D3" w:rsidRPr="004640D3">
        <w:t xml:space="preserve"> neu aufstellt</w:t>
      </w:r>
      <w:r w:rsidR="004640D3">
        <w:t xml:space="preserve"> und Genehmigungsverfahren vereinfacht. Im Schnitt sind die Reaktoren in den USA 40 Jahre alt und es wurden in den letzten Jahren kaum Neue gebaut.</w:t>
      </w:r>
      <w:r w:rsidR="004640D3">
        <w:rPr>
          <w:rStyle w:val="Funotenzeichen"/>
        </w:rPr>
        <w:footnoteReference w:id="1950"/>
      </w:r>
    </w:p>
    <w:p w14:paraId="5560871B" w14:textId="77777777" w:rsidR="00112190" w:rsidRDefault="00112190" w:rsidP="00112190"/>
    <w:tbl>
      <w:tblPr>
        <w:tblStyle w:val="Tabellenraster"/>
        <w:tblW w:w="0" w:type="auto"/>
        <w:tblLook w:val="04A0" w:firstRow="1" w:lastRow="0" w:firstColumn="1" w:lastColumn="0" w:noHBand="0" w:noVBand="1"/>
      </w:tblPr>
      <w:tblGrid>
        <w:gridCol w:w="9062"/>
      </w:tblGrid>
      <w:tr w:rsidR="00370D14" w14:paraId="4B79B592" w14:textId="77777777" w:rsidTr="00370D14">
        <w:tc>
          <w:tcPr>
            <w:tcW w:w="9062" w:type="dxa"/>
          </w:tcPr>
          <w:p w14:paraId="33F14F3D" w14:textId="7CB5CE15" w:rsidR="00370D14" w:rsidRDefault="00370D14" w:rsidP="00112190">
            <w:r>
              <w:t>In Kemmerer, Wyoming begann im Juni 2024 der Bau eines neuen Reaktors, der mit flüssigem Salz gekühlt werden soll und billiger sein soll. Dieser Reaktor wird von Bill Gates und seiner Firma Terrapower gebaut und soll 2030 in Betrieb gehen.</w:t>
            </w:r>
            <w:r>
              <w:rPr>
                <w:rStyle w:val="Funotenzeichen"/>
              </w:rPr>
              <w:t xml:space="preserve"> </w:t>
            </w:r>
            <w:r>
              <w:rPr>
                <w:rStyle w:val="Funotenzeichen"/>
              </w:rPr>
              <w:footnoteReference w:id="1951"/>
            </w:r>
            <w:r>
              <w:t xml:space="preserve"> </w:t>
            </w:r>
          </w:p>
        </w:tc>
      </w:tr>
    </w:tbl>
    <w:p w14:paraId="4F598258" w14:textId="77777777" w:rsidR="00112190" w:rsidRDefault="00112190" w:rsidP="00112190"/>
    <w:p w14:paraId="73387DEE" w14:textId="3BCC7411" w:rsidR="00412BD0" w:rsidRDefault="00412BD0" w:rsidP="00112190">
      <w:r>
        <w:t>Ein Grund für das Revival der Kernkraft ist der steigende Strombedarf der Rechenzentren in den USA, er ist seit 2020 von 200 TWh auf 400 TWh gestiegen, seit dem Jahr 2018 hat sich der Treibhausausstoß verdreifacht auf 105 Mill. Tonnen CO2-Äquivalent. Amazon hat bereits ein Rechenzentrum in der Nähe eines Kernkraftwerks situiert</w:t>
      </w:r>
      <w:r w:rsidR="00B43316">
        <w:t xml:space="preserve">, das Atomkraftwerke </w:t>
      </w:r>
      <w:proofErr w:type="spellStart"/>
      <w:r w:rsidR="00B43316">
        <w:t>Three</w:t>
      </w:r>
      <w:proofErr w:type="spellEnd"/>
      <w:r w:rsidR="00B43316">
        <w:t xml:space="preserve"> Mile Island wird offenbar nur deshalb wieder aufgebaut, weil Microsoft einen 20 Jahre Stromabnahmevertrag abgeschlossen hat.</w:t>
      </w:r>
      <w:r>
        <w:rPr>
          <w:rStyle w:val="Funotenzeichen"/>
        </w:rPr>
        <w:footnoteReference w:id="1952"/>
      </w:r>
    </w:p>
    <w:p w14:paraId="22F85AFD" w14:textId="77777777" w:rsidR="00412BD0" w:rsidRDefault="00412BD0" w:rsidP="00112190"/>
    <w:p w14:paraId="3D0DBECE" w14:textId="098AD47D" w:rsidR="00412BD0" w:rsidRDefault="00412BD0" w:rsidP="00112190">
      <w:r>
        <w:t>Eine Lösung können optischen Chips sein, die viel weniger Energie verbrauchen, das dauert aber noch.</w:t>
      </w:r>
      <w:r>
        <w:rPr>
          <w:rStyle w:val="Funotenzeichen"/>
        </w:rPr>
        <w:footnoteReference w:id="1953"/>
      </w:r>
    </w:p>
    <w:p w14:paraId="505FCDE3" w14:textId="77777777" w:rsidR="00412BD0" w:rsidRDefault="00412BD0" w:rsidP="00112190"/>
    <w:p w14:paraId="7D5A683D" w14:textId="2C76AD99" w:rsidR="00CA3D74" w:rsidRPr="0024273B" w:rsidRDefault="00CA3D74" w:rsidP="00CA3D74">
      <w:pPr>
        <w:rPr>
          <w:lang w:val="en-GB"/>
        </w:rPr>
      </w:pPr>
      <w:r>
        <w:t xml:space="preserve">Die Solarindustrie hatte die USA konsequenter als die EU zollgeschützt, </w:t>
      </w:r>
      <w:r w:rsidR="009A21FC">
        <w:t xml:space="preserve">es gab aber das Problem der Umgehung, und es gab Ausnahmen, langsam steigt </w:t>
      </w:r>
      <w:r>
        <w:t xml:space="preserve">die Produktion </w:t>
      </w:r>
      <w:r w:rsidR="009A21FC">
        <w:t>von Modulen</w:t>
      </w:r>
      <w:r>
        <w:rPr>
          <w:rStyle w:val="Funotenzeichen"/>
        </w:rPr>
        <w:footnoteReference w:id="1954"/>
      </w:r>
      <w:r w:rsidR="009A21FC">
        <w:t>, es fehlt aber die gesamte Wertschöpfungskette von Quarzsand, Polysilizium (aber: Wacker Industrie und andere haben Werke in den USA u.a. für Computerchips, die reines Silizium brauchen), Ingots, Wafer, Zellen, Module, siehe dazu den Schluss von Teil 3.</w:t>
      </w:r>
      <w:r w:rsidR="00307CB3">
        <w:t xml:space="preserve"> </w:t>
      </w:r>
      <w:r>
        <w:t>Dieser Zollschutz hat aber im letzten Jahrzehnt nicht gut funktioniert</w:t>
      </w:r>
      <w:r w:rsidR="009A21FC">
        <w:t>:</w:t>
      </w:r>
      <w:r>
        <w:t xml:space="preserve"> </w:t>
      </w:r>
      <w:r w:rsidRPr="009A21FC">
        <w:t>„The US Anti-</w:t>
      </w:r>
      <w:proofErr w:type="spellStart"/>
      <w:r w:rsidRPr="009A21FC">
        <w:t>Circumvention</w:t>
      </w:r>
      <w:proofErr w:type="spellEnd"/>
      <w:r w:rsidRPr="009A21FC">
        <w:t xml:space="preserve"> Petition. </w:t>
      </w:r>
      <w:r w:rsidRPr="00780946">
        <w:rPr>
          <w:lang w:val="en-GB"/>
        </w:rPr>
        <w:t>In February</w:t>
      </w:r>
      <w:r w:rsidRPr="00CA3D74">
        <w:rPr>
          <w:lang w:val="en-GB"/>
        </w:rPr>
        <w:t xml:space="preserve"> </w:t>
      </w:r>
      <w:r w:rsidRPr="00780946">
        <w:rPr>
          <w:lang w:val="en-GB"/>
        </w:rPr>
        <w:t>2022, a California-based solar manufacturer filed</w:t>
      </w:r>
      <w:r>
        <w:rPr>
          <w:lang w:val="en-GB"/>
        </w:rPr>
        <w:t xml:space="preserve"> </w:t>
      </w:r>
      <w:r w:rsidRPr="00780946">
        <w:rPr>
          <w:lang w:val="en-GB"/>
        </w:rPr>
        <w:t>an anti-circumvention petition with the US Department of Commerce (DOC), alleging that crystalline</w:t>
      </w:r>
      <w:r>
        <w:rPr>
          <w:lang w:val="en-GB"/>
        </w:rPr>
        <w:t xml:space="preserve"> </w:t>
      </w:r>
      <w:r w:rsidRPr="00780946">
        <w:rPr>
          <w:lang w:val="en-GB"/>
        </w:rPr>
        <w:t>silicon photovoltaic (CSPV) cells and modules from</w:t>
      </w:r>
      <w:r>
        <w:rPr>
          <w:lang w:val="en-GB"/>
        </w:rPr>
        <w:t xml:space="preserve"> </w:t>
      </w:r>
      <w:r w:rsidRPr="00780946">
        <w:rPr>
          <w:lang w:val="en-GB"/>
        </w:rPr>
        <w:t>four Southeast Asian countries were “circumventing” the 2012 anti-dumping and countervailing duty</w:t>
      </w:r>
      <w:r>
        <w:rPr>
          <w:lang w:val="en-GB"/>
        </w:rPr>
        <w:t xml:space="preserve"> </w:t>
      </w:r>
      <w:r w:rsidRPr="00780946">
        <w:rPr>
          <w:lang w:val="en-GB"/>
        </w:rPr>
        <w:t>regulations. In the autumn of 2023, the DOC finally</w:t>
      </w:r>
      <w:r>
        <w:rPr>
          <w:lang w:val="en-GB"/>
        </w:rPr>
        <w:t xml:space="preserve"> </w:t>
      </w:r>
      <w:r w:rsidRPr="00780946">
        <w:rPr>
          <w:lang w:val="en-GB"/>
        </w:rPr>
        <w:t>found that several Southeast Asian producers were</w:t>
      </w:r>
      <w:r>
        <w:rPr>
          <w:lang w:val="en-GB"/>
        </w:rPr>
        <w:t xml:space="preserve"> </w:t>
      </w:r>
      <w:r w:rsidRPr="00780946">
        <w:rPr>
          <w:lang w:val="en-GB"/>
        </w:rPr>
        <w:t>indeed in breach of the rules. Therefore, the AD/CVD applicable to Chinese solar cells and modules</w:t>
      </w:r>
      <w:r>
        <w:rPr>
          <w:lang w:val="en-GB"/>
        </w:rPr>
        <w:t xml:space="preserve"> </w:t>
      </w:r>
      <w:r w:rsidRPr="00780946">
        <w:rPr>
          <w:lang w:val="en-GB"/>
        </w:rPr>
        <w:t xml:space="preserve">will be extended to cells and modules from Cambodia, Malaysia, </w:t>
      </w:r>
      <w:proofErr w:type="gramStart"/>
      <w:r w:rsidRPr="00780946">
        <w:rPr>
          <w:lang w:val="en-GB"/>
        </w:rPr>
        <w:t>Thailand</w:t>
      </w:r>
      <w:proofErr w:type="gramEnd"/>
      <w:r w:rsidRPr="00780946">
        <w:rPr>
          <w:lang w:val="en-GB"/>
        </w:rPr>
        <w:t xml:space="preserve"> and Vietnam. Enel North</w:t>
      </w:r>
      <w:r>
        <w:rPr>
          <w:lang w:val="en-GB"/>
        </w:rPr>
        <w:t xml:space="preserve"> </w:t>
      </w:r>
      <w:r w:rsidRPr="00780946">
        <w:rPr>
          <w:lang w:val="en-GB"/>
        </w:rPr>
        <w:t xml:space="preserve">America formally </w:t>
      </w:r>
      <w:r w:rsidRPr="00780946">
        <w:rPr>
          <w:lang w:val="en-GB"/>
        </w:rPr>
        <w:lastRenderedPageBreak/>
        <w:t>opposed the Auxin petition and</w:t>
      </w:r>
      <w:r>
        <w:rPr>
          <w:lang w:val="en-GB"/>
        </w:rPr>
        <w:t xml:space="preserve"> </w:t>
      </w:r>
      <w:r w:rsidRPr="00780946">
        <w:rPr>
          <w:lang w:val="en-GB"/>
        </w:rPr>
        <w:t>supported the Biden Administration’s actions in</w:t>
      </w:r>
      <w:r>
        <w:rPr>
          <w:lang w:val="en-GB"/>
        </w:rPr>
        <w:t xml:space="preserve"> </w:t>
      </w:r>
      <w:r w:rsidRPr="00780946">
        <w:rPr>
          <w:lang w:val="en-GB"/>
        </w:rPr>
        <w:t>2022 to mitigate undue risks to the US solar project development market through the Presidential</w:t>
      </w:r>
      <w:r>
        <w:rPr>
          <w:lang w:val="en-GB"/>
        </w:rPr>
        <w:t xml:space="preserve"> </w:t>
      </w:r>
      <w:r w:rsidRPr="00CA3D74">
        <w:rPr>
          <w:lang w:val="en-GB"/>
        </w:rPr>
        <w:t>Proclamation and subsequent DOC implementing</w:t>
      </w:r>
      <w:r>
        <w:rPr>
          <w:lang w:val="en-GB"/>
        </w:rPr>
        <w:t xml:space="preserve"> </w:t>
      </w:r>
      <w:proofErr w:type="gramStart"/>
      <w:r w:rsidRPr="00CA3D74">
        <w:rPr>
          <w:lang w:val="en-GB"/>
        </w:rPr>
        <w:t>Regulations“</w:t>
      </w:r>
      <w:proofErr w:type="gramEnd"/>
      <w:r>
        <w:rPr>
          <w:rStyle w:val="Funotenzeichen"/>
        </w:rPr>
        <w:footnoteReference w:id="1955"/>
      </w:r>
    </w:p>
    <w:p w14:paraId="6C5730EE" w14:textId="77777777" w:rsidR="00CA3D74" w:rsidRPr="00CA3D74" w:rsidRDefault="00CA3D74" w:rsidP="00112190">
      <w:pPr>
        <w:rPr>
          <w:lang w:val="en-GB"/>
        </w:rPr>
      </w:pPr>
    </w:p>
    <w:tbl>
      <w:tblPr>
        <w:tblStyle w:val="Tabellenraster"/>
        <w:tblW w:w="0" w:type="auto"/>
        <w:tblLook w:val="04A0" w:firstRow="1" w:lastRow="0" w:firstColumn="1" w:lastColumn="0" w:noHBand="0" w:noVBand="1"/>
      </w:tblPr>
      <w:tblGrid>
        <w:gridCol w:w="9062"/>
      </w:tblGrid>
      <w:tr w:rsidR="00112190" w:rsidRPr="00B00617" w14:paraId="33C4B084" w14:textId="77777777" w:rsidTr="006B301B">
        <w:tc>
          <w:tcPr>
            <w:tcW w:w="9062" w:type="dxa"/>
          </w:tcPr>
          <w:p w14:paraId="37EA54D1" w14:textId="77777777" w:rsidR="00112190" w:rsidRPr="00B00617" w:rsidRDefault="00112190" w:rsidP="006B301B">
            <w:r w:rsidRPr="00B00617">
              <w:t xml:space="preserve">Am 4. Dezember 2023 wurde angekündigt, dass </w:t>
            </w:r>
            <w:r>
              <w:t>Steuergutschriften (</w:t>
            </w:r>
            <w:proofErr w:type="spellStart"/>
            <w:r>
              <w:t>tax</w:t>
            </w:r>
            <w:proofErr w:type="spellEnd"/>
            <w:r>
              <w:t xml:space="preserve"> </w:t>
            </w:r>
            <w:proofErr w:type="spellStart"/>
            <w:r>
              <w:t>credits</w:t>
            </w:r>
            <w:proofErr w:type="spellEnd"/>
            <w:r>
              <w:t xml:space="preserve">), für Elektroautos verringert werden, wenn die Akkus von Foreign </w:t>
            </w:r>
            <w:proofErr w:type="spellStart"/>
            <w:r>
              <w:t>Entities</w:t>
            </w:r>
            <w:proofErr w:type="spellEnd"/>
            <w:r>
              <w:t xml:space="preserve"> </w:t>
            </w:r>
            <w:proofErr w:type="spellStart"/>
            <w:r>
              <w:t>of</w:t>
            </w:r>
            <w:proofErr w:type="spellEnd"/>
            <w:r>
              <w:t xml:space="preserve"> </w:t>
            </w:r>
            <w:proofErr w:type="spellStart"/>
            <w:r>
              <w:t>Concern</w:t>
            </w:r>
            <w:proofErr w:type="spellEnd"/>
            <w:r>
              <w:t xml:space="preserve"> (FEOC) gebaut oder zusammenmontiert wurden. Dies scheint auch für Tesla zu gelten, welcher von </w:t>
            </w:r>
            <w:proofErr w:type="gramStart"/>
            <w:r>
              <w:t>CATL Akkus</w:t>
            </w:r>
            <w:proofErr w:type="gramEnd"/>
            <w:r>
              <w:t xml:space="preserve"> bezieht und für eine Fabrik von Ford, die zwar Ford gehört, wobei CATL aber die Technologie zur Verfügung stellt. Diese Fabrik sollte 3,5 Mrd. kosten, löste aber eine Kontroverse aus. Tesla soll statt 7500 Doller nur noch 3750 bekommen. Der Inflation </w:t>
            </w:r>
            <w:proofErr w:type="spellStart"/>
            <w:r>
              <w:t>Reduction</w:t>
            </w:r>
            <w:proofErr w:type="spellEnd"/>
            <w:r>
              <w:t xml:space="preserve"> Act sieht vor, dass Autos nur dann die Steuergutschrift bekommen, wenn das Auto in den USA hergestellt wurde, eingeschlossen der Rohstoffe, die zu 40 % in den USA geschürft oder weiterverarbeitet werden müssen (oder in einem Land, mit dem die USA ein Freihandelsabkommen haben, spricht Australien oder Chile), siehe Michelle Toh, CNN Hongkong, 4. Dezember 2023.</w:t>
            </w:r>
            <w:r>
              <w:rPr>
                <w:rStyle w:val="Funotenzeichen"/>
              </w:rPr>
              <w:footnoteReference w:id="1956"/>
            </w:r>
            <w:r>
              <w:t xml:space="preserve"> Diese die Ankündigung im Original vom Weißen Haus.</w:t>
            </w:r>
            <w:r>
              <w:rPr>
                <w:rStyle w:val="Funotenzeichen"/>
              </w:rPr>
              <w:footnoteReference w:id="1957"/>
            </w:r>
          </w:p>
        </w:tc>
      </w:tr>
    </w:tbl>
    <w:p w14:paraId="1BB48296" w14:textId="77777777" w:rsidR="00112190" w:rsidRDefault="00112190" w:rsidP="00112190"/>
    <w:tbl>
      <w:tblPr>
        <w:tblStyle w:val="Tabellenraster"/>
        <w:tblW w:w="0" w:type="auto"/>
        <w:tblLook w:val="04A0" w:firstRow="1" w:lastRow="0" w:firstColumn="1" w:lastColumn="0" w:noHBand="0" w:noVBand="1"/>
      </w:tblPr>
      <w:tblGrid>
        <w:gridCol w:w="9062"/>
      </w:tblGrid>
      <w:tr w:rsidR="00112190" w14:paraId="31DCEC75" w14:textId="77777777" w:rsidTr="006B301B">
        <w:tc>
          <w:tcPr>
            <w:tcW w:w="9062" w:type="dxa"/>
          </w:tcPr>
          <w:p w14:paraId="770264AB" w14:textId="1EC5F646" w:rsidR="00112190" w:rsidRDefault="00112190" w:rsidP="006B301B">
            <w:r>
              <w:t>U.S. Präsident Biden</w:t>
            </w:r>
            <w:r w:rsidR="009A21FC">
              <w:t xml:space="preserve"> hat </w:t>
            </w:r>
            <w:r>
              <w:t>eine geplante Emissionsregulierung ‚entschärft‘. Geplant war, dass 2032 der Marktanteil für Elektroautos bei 67 % liegen sollte. Nun soll bis 2030 Zeit sein, bis der Marktanteil massiv erhöht werden muss. Gemeldet wird, dass der Ford Pickup F150 Lightning, von dem pro Jahr 150.000 produziert werden sollten, nur 24.000 verkauft werden konnten. Hybridautos werden vermehrt gekauft. Problem ist in den USA auch die Ladeinfrastruktur, nur Tesla hat hier eine gute Infrastruktur. Ladesäulen sind in der Mitte des Landes noch spärlich vorhanden, trotz dem es Subventionen dafür gibt. Zudem sind sie nicht immer zuverlässig, dies hat ein Test ergeben. Joe Biden ist damit auf die Gewerkschaft der Automobilarbeiter UAW zugegangen, die seine Wiederwahl unterstützen. Donald Trump greift die Verkehrswende regelmäßig an und hat dadurch an Unterstützung bei den Autoarbeitern gewonnen.</w:t>
            </w:r>
            <w:r>
              <w:rPr>
                <w:rStyle w:val="Funotenzeichen"/>
              </w:rPr>
              <w:footnoteReference w:id="1958"/>
            </w:r>
            <w:r>
              <w:t xml:space="preserve"> </w:t>
            </w:r>
          </w:p>
        </w:tc>
      </w:tr>
    </w:tbl>
    <w:p w14:paraId="0368138F" w14:textId="77777777" w:rsidR="00112190" w:rsidRDefault="00112190" w:rsidP="00112190"/>
    <w:tbl>
      <w:tblPr>
        <w:tblStyle w:val="Tabellenraster"/>
        <w:tblW w:w="0" w:type="auto"/>
        <w:tblLook w:val="04A0" w:firstRow="1" w:lastRow="0" w:firstColumn="1" w:lastColumn="0" w:noHBand="0" w:noVBand="1"/>
      </w:tblPr>
      <w:tblGrid>
        <w:gridCol w:w="9062"/>
      </w:tblGrid>
      <w:tr w:rsidR="00BE4976" w14:paraId="56CBF3F2" w14:textId="77777777" w:rsidTr="00BE4976">
        <w:tc>
          <w:tcPr>
            <w:tcW w:w="9062" w:type="dxa"/>
          </w:tcPr>
          <w:p w14:paraId="6402B44E" w14:textId="1F320BE3" w:rsidR="00BE4976" w:rsidRDefault="00BE4976" w:rsidP="00112190">
            <w:r>
              <w:t xml:space="preserve">Lancaster, </w:t>
            </w:r>
            <w:proofErr w:type="spellStart"/>
            <w:r>
              <w:t>Californien</w:t>
            </w:r>
            <w:proofErr w:type="spellEnd"/>
            <w:r w:rsidR="009A21FC">
              <w:t>,</w:t>
            </w:r>
            <w:r>
              <w:t xml:space="preserve"> </w:t>
            </w:r>
            <w:r w:rsidR="009A21FC">
              <w:t>i</w:t>
            </w:r>
            <w:r>
              <w:t xml:space="preserve">st von ihrem Bürgermeister zur Modellstadt ausgebaut worden. Es lohnt deshalb ein Blick auf die Ideen dort. Eine aus dem deutschen Blickwinkel völlig seltsame Idee ist es aus Papierabfällen Wasserstoff herzustellen </w:t>
            </w:r>
            <w:r w:rsidR="00470C23">
              <w:t xml:space="preserve">SGH2 </w:t>
            </w:r>
            <w:proofErr w:type="spellStart"/>
            <w:r w:rsidR="00470C23">
              <w:t>SGH2</w:t>
            </w:r>
            <w:proofErr w:type="spellEnd"/>
            <w:r w:rsidR="00404E4E">
              <w:t xml:space="preserve"> </w:t>
            </w:r>
            <w:bookmarkStart w:id="108" w:name="_Hlk183716369"/>
            <w:r w:rsidR="00404E4E" w:rsidRPr="00404E4E">
              <w:t xml:space="preserve">SGH2’s </w:t>
            </w:r>
            <w:proofErr w:type="spellStart"/>
            <w:r w:rsidR="00404E4E" w:rsidRPr="00404E4E">
              <w:t>patented</w:t>
            </w:r>
            <w:proofErr w:type="spellEnd"/>
            <w:r w:rsidR="00404E4E" w:rsidRPr="00404E4E">
              <w:t xml:space="preserve"> Solena Plasma Enhanced </w:t>
            </w:r>
            <w:proofErr w:type="spellStart"/>
            <w:r w:rsidR="00404E4E" w:rsidRPr="00404E4E">
              <w:t>Gasification</w:t>
            </w:r>
            <w:proofErr w:type="spellEnd"/>
            <w:r w:rsidR="00404E4E" w:rsidRPr="00404E4E">
              <w:t xml:space="preserve"> (SPEG) </w:t>
            </w:r>
            <w:proofErr w:type="spellStart"/>
            <w:r w:rsidR="00404E4E" w:rsidRPr="00404E4E">
              <w:t>technology</w:t>
            </w:r>
            <w:proofErr w:type="spellEnd"/>
            <w:r w:rsidR="00404E4E" w:rsidRPr="00404E4E">
              <w:t xml:space="preserve"> </w:t>
            </w:r>
            <w:proofErr w:type="spellStart"/>
            <w:r w:rsidR="00404E4E" w:rsidRPr="00404E4E">
              <w:t>gasifies</w:t>
            </w:r>
            <w:proofErr w:type="spellEnd"/>
            <w:r w:rsidR="00404E4E" w:rsidRPr="00404E4E">
              <w:t xml:space="preserve"> </w:t>
            </w:r>
            <w:proofErr w:type="spellStart"/>
            <w:r w:rsidR="00404E4E" w:rsidRPr="00404E4E">
              <w:t>biogenic</w:t>
            </w:r>
            <w:proofErr w:type="spellEnd"/>
            <w:r w:rsidR="00404E4E" w:rsidRPr="00404E4E">
              <w:t xml:space="preserve"> </w:t>
            </w:r>
            <w:proofErr w:type="spellStart"/>
            <w:r w:rsidR="00404E4E" w:rsidRPr="00404E4E">
              <w:t>waste</w:t>
            </w:r>
            <w:proofErr w:type="spellEnd"/>
            <w:r w:rsidR="00404E4E" w:rsidRPr="00404E4E">
              <w:t xml:space="preserve"> </w:t>
            </w:r>
            <w:proofErr w:type="spellStart"/>
            <w:r w:rsidR="00404E4E" w:rsidRPr="00404E4E">
              <w:t>materials</w:t>
            </w:r>
            <w:proofErr w:type="spellEnd"/>
            <w:r w:rsidR="00404E4E" w:rsidRPr="00404E4E">
              <w:t xml:space="preserve">, and </w:t>
            </w:r>
            <w:proofErr w:type="spellStart"/>
            <w:r w:rsidR="00404E4E" w:rsidRPr="00404E4E">
              <w:t>uses</w:t>
            </w:r>
            <w:proofErr w:type="spellEnd"/>
            <w:r w:rsidR="00404E4E" w:rsidRPr="00404E4E">
              <w:t xml:space="preserve"> </w:t>
            </w:r>
            <w:proofErr w:type="spellStart"/>
            <w:r w:rsidR="00404E4E" w:rsidRPr="00404E4E">
              <w:t>no</w:t>
            </w:r>
            <w:proofErr w:type="spellEnd"/>
            <w:r w:rsidR="00404E4E" w:rsidRPr="00404E4E">
              <w:t xml:space="preserve"> </w:t>
            </w:r>
            <w:proofErr w:type="spellStart"/>
            <w:r w:rsidR="00404E4E" w:rsidRPr="00404E4E">
              <w:t>externally</w:t>
            </w:r>
            <w:proofErr w:type="spellEnd"/>
            <w:r w:rsidR="00404E4E" w:rsidRPr="00404E4E">
              <w:t xml:space="preserve"> </w:t>
            </w:r>
            <w:proofErr w:type="spellStart"/>
            <w:r w:rsidR="00404E4E" w:rsidRPr="00404E4E">
              <w:t>sourced</w:t>
            </w:r>
            <w:proofErr w:type="spellEnd"/>
            <w:r w:rsidR="00404E4E" w:rsidRPr="00404E4E">
              <w:t xml:space="preserve"> </w:t>
            </w:r>
            <w:proofErr w:type="spellStart"/>
            <w:r w:rsidR="00404E4E" w:rsidRPr="00404E4E">
              <w:t>energy</w:t>
            </w:r>
            <w:proofErr w:type="spellEnd"/>
            <w:r w:rsidR="00404E4E" w:rsidRPr="00404E4E">
              <w:t>.</w:t>
            </w:r>
            <w:r w:rsidR="00470C23">
              <w:rPr>
                <w:rStyle w:val="Funotenzeichen"/>
              </w:rPr>
              <w:footnoteReference w:id="1959"/>
            </w:r>
            <w:bookmarkEnd w:id="108"/>
          </w:p>
        </w:tc>
      </w:tr>
    </w:tbl>
    <w:p w14:paraId="74740975" w14:textId="77777777" w:rsidR="00B556A9" w:rsidRDefault="00B556A9" w:rsidP="00112190"/>
    <w:p w14:paraId="12DF529A" w14:textId="77777777" w:rsidR="00B556A9" w:rsidRDefault="00B556A9" w:rsidP="00B556A9">
      <w:r>
        <w:t xml:space="preserve">Zum Ende der Präsidentschaft von Joe Biden haben sich einige Projekte des Inflation </w:t>
      </w:r>
      <w:proofErr w:type="spellStart"/>
      <w:r>
        <w:t>Reduction</w:t>
      </w:r>
      <w:proofErr w:type="spellEnd"/>
      <w:r>
        <w:t xml:space="preserve"> Act verzögert, da Lithium nun offenbar nicht mehr knapp ist, so wird eine Lithium Raffinerie des </w:t>
      </w:r>
      <w:proofErr w:type="spellStart"/>
      <w:r>
        <w:t>Abermale</w:t>
      </w:r>
      <w:proofErr w:type="spellEnd"/>
      <w:r>
        <w:t xml:space="preserve"> Konzerns für 1,3 Mrd. US$ offenbar nicht mehr gebaut, auch weil die Autokonzerne ihre E-Auto Ziele verringert haben. Eine Großproduktion von Energiespeichern von LG Chemicals ruht als Projekt derzeit. Der italienische Energiekonzern Enel will keine Solarpaneele mehr in Oklahoma bauen. Auch politische Unsicherheit spielt eine Rolle, ob nach der Wahl die Förderung bestehen </w:t>
      </w:r>
      <w:r>
        <w:lastRenderedPageBreak/>
        <w:t>bleibt.</w:t>
      </w:r>
      <w:r>
        <w:rPr>
          <w:rStyle w:val="Funotenzeichen"/>
        </w:rPr>
        <w:footnoteReference w:id="1960"/>
      </w:r>
      <w:r>
        <w:t xml:space="preserve"> Dies ist derzeit unter Präsident Donald Trump unklar. Er hat die Ausschüttung von IRA Geldern gestoppt</w:t>
      </w:r>
      <w:r>
        <w:rPr>
          <w:rStyle w:val="Funotenzeichen"/>
        </w:rPr>
        <w:footnoteReference w:id="1961"/>
      </w:r>
      <w:r>
        <w:t>, ein Gericht hat festgestellt, dass dies nicht rechtens sei.</w:t>
      </w:r>
      <w:r>
        <w:rPr>
          <w:rStyle w:val="Funotenzeichen"/>
        </w:rPr>
        <w:footnoteReference w:id="1962"/>
      </w:r>
    </w:p>
    <w:p w14:paraId="4A3D5152" w14:textId="77777777" w:rsidR="00BB6A8C" w:rsidRDefault="00BB6A8C" w:rsidP="00112190"/>
    <w:p w14:paraId="7912476F" w14:textId="3A4B1A23" w:rsidR="00961075" w:rsidRDefault="001E21C7" w:rsidP="00112190">
      <w:r>
        <w:t>7.</w:t>
      </w:r>
      <w:r w:rsidR="00961075">
        <w:t xml:space="preserve"> England</w:t>
      </w:r>
    </w:p>
    <w:p w14:paraId="37177E60" w14:textId="77777777" w:rsidR="00961075" w:rsidRDefault="00961075" w:rsidP="00112190"/>
    <w:p w14:paraId="3BC3BB73" w14:textId="6E425BEC" w:rsidR="00B556A9" w:rsidRDefault="00B556A9" w:rsidP="00112190">
      <w:r>
        <w:t xml:space="preserve">England ist </w:t>
      </w:r>
      <w:r w:rsidR="009A21FC">
        <w:t xml:space="preserve">weltweit (mit-) </w:t>
      </w:r>
      <w:r>
        <w:t xml:space="preserve">führend bei Offshore-Windparks, </w:t>
      </w:r>
      <w:r w:rsidR="00BD2FF5">
        <w:t>es verfügt über 14 GW Leistung, damit können 15 Mill. Haushalte versorgt werden</w:t>
      </w:r>
      <w:r w:rsidR="00BD2FF5">
        <w:rPr>
          <w:rStyle w:val="Funotenzeichen"/>
        </w:rPr>
        <w:footnoteReference w:id="1963"/>
      </w:r>
      <w:r w:rsidR="00BD2FF5">
        <w:t xml:space="preserve">, mehr als Deutschland mit 8 GW, </w:t>
      </w:r>
      <w:r>
        <w:t>siehe die Liste in Wikipedia.</w:t>
      </w:r>
      <w:r>
        <w:rPr>
          <w:rStyle w:val="Funotenzeichen"/>
        </w:rPr>
        <w:footnoteReference w:id="1964"/>
      </w:r>
      <w:r w:rsidR="00BD2FF5">
        <w:t xml:space="preserve"> Das viel größere China, mit eigenen Windenergiekonzernen, liegt Ende 2024 ‚erst‘ bei 41 GW.</w:t>
      </w:r>
      <w:r w:rsidR="00BD2FF5">
        <w:rPr>
          <w:rStyle w:val="Funotenzeichen"/>
        </w:rPr>
        <w:footnoteReference w:id="1965"/>
      </w:r>
    </w:p>
    <w:p w14:paraId="5C5AB0AF" w14:textId="77777777" w:rsidR="00B556A9" w:rsidRDefault="00B556A9" w:rsidP="00112190"/>
    <w:p w14:paraId="69D33D0A" w14:textId="4A772F89" w:rsidR="00BE4976" w:rsidRDefault="00B556A9" w:rsidP="00112190">
      <w:r>
        <w:t>England und Norwegen verbinden sich über die Nordsee derzeit mit Stromleitungen, damit kann England Norwegen mit Strom aus Offshore-Wind beliefern, Norwegen kann Strom aus Wasserkraftwerken bei Flaute an England liefern</w:t>
      </w:r>
      <w:r w:rsidR="00BD2FF5">
        <w:t>, siehe:</w:t>
      </w:r>
      <w:r>
        <w:t xml:space="preserve"> </w:t>
      </w:r>
      <w:proofErr w:type="spellStart"/>
      <w:r w:rsidRPr="00332CA3">
        <w:t>NationalGrid</w:t>
      </w:r>
      <w:proofErr w:type="spellEnd"/>
      <w:r w:rsidRPr="00332CA3">
        <w:t xml:space="preserve">, North </w:t>
      </w:r>
      <w:proofErr w:type="spellStart"/>
      <w:r w:rsidRPr="00332CA3">
        <w:t>Sea</w:t>
      </w:r>
      <w:proofErr w:type="spellEnd"/>
      <w:r w:rsidRPr="00332CA3">
        <w:t xml:space="preserve"> Link</w:t>
      </w:r>
      <w:r>
        <w:rPr>
          <w:rStyle w:val="Funotenzeichen"/>
        </w:rPr>
        <w:footnoteReference w:id="1966"/>
      </w:r>
      <w:r>
        <w:t xml:space="preserve"> E</w:t>
      </w:r>
      <w:r w:rsidRPr="00404E4E">
        <w:t xml:space="preserve">ine </w:t>
      </w:r>
      <w:r>
        <w:t xml:space="preserve">weitere </w:t>
      </w:r>
      <w:r w:rsidRPr="00404E4E">
        <w:t xml:space="preserve">Leitung </w:t>
      </w:r>
      <w:r>
        <w:t>verbindet</w:t>
      </w:r>
      <w:r w:rsidRPr="00404E4E">
        <w:t xml:space="preserve"> England </w:t>
      </w:r>
      <w:r>
        <w:t xml:space="preserve">mit </w:t>
      </w:r>
      <w:r w:rsidRPr="00404E4E">
        <w:t>D</w:t>
      </w:r>
      <w:r>
        <w:t>änemark:</w:t>
      </w:r>
      <w:r>
        <w:rPr>
          <w:rStyle w:val="Funotenzeichen"/>
        </w:rPr>
        <w:footnoteReference w:id="1967"/>
      </w:r>
      <w:r>
        <w:t xml:space="preserve"> </w:t>
      </w:r>
      <w:r w:rsidR="00961075">
        <w:t xml:space="preserve">In England gibt es im Bereich der </w:t>
      </w:r>
      <w:proofErr w:type="spellStart"/>
      <w:r w:rsidR="00961075">
        <w:t>Onshore</w:t>
      </w:r>
      <w:proofErr w:type="spellEnd"/>
      <w:r w:rsidR="00961075">
        <w:t>-Windenergie seit zehn Jahren wenig Aktivität. Seit 2015 hatte die David Cameron eine Regulierung verabschiedet, dass einzelne Anwohnereinsprüche auf kommunaler Ebene Anlagen verhindert konnten. Insgesamt wurden danach nur noch zwei Landwindparks gebaut. Die neue Labor Regierung will dies nun von der nationalen Regierung entscheiden lassen.</w:t>
      </w:r>
      <w:r w:rsidR="00961075">
        <w:rPr>
          <w:rStyle w:val="Funotenzeichen"/>
        </w:rPr>
        <w:footnoteReference w:id="1968"/>
      </w:r>
      <w:r w:rsidR="00961075">
        <w:t xml:space="preserve"> </w:t>
      </w:r>
      <w:r>
        <w:t>Siehe zu England Infos in Teil 2, zu CCS.</w:t>
      </w:r>
    </w:p>
    <w:p w14:paraId="483885E2" w14:textId="77777777" w:rsidR="00BF60D4" w:rsidRDefault="00BF60D4" w:rsidP="001E21C7"/>
    <w:p w14:paraId="436DBA63" w14:textId="0292575E" w:rsidR="001E21C7" w:rsidRDefault="00AD2E4A" w:rsidP="001E21C7">
      <w:r>
        <w:t xml:space="preserve"> </w:t>
      </w:r>
      <w:r w:rsidR="001E21C7">
        <w:t>8. Irland</w:t>
      </w:r>
    </w:p>
    <w:p w14:paraId="6394501D" w14:textId="77777777" w:rsidR="001E21C7" w:rsidRDefault="001E21C7" w:rsidP="001E21C7"/>
    <w:p w14:paraId="4BD254CE" w14:textId="77777777" w:rsidR="001E21C7" w:rsidRDefault="001E21C7" w:rsidP="001E21C7">
      <w:r>
        <w:t xml:space="preserve">Irland hat eine neue Energiestrategie verabschiedet, die den starken Ausbau von Offshore, aber auch </w:t>
      </w:r>
      <w:proofErr w:type="spellStart"/>
      <w:r>
        <w:t>Onshorewind</w:t>
      </w:r>
      <w:proofErr w:type="spellEnd"/>
      <w:r>
        <w:t xml:space="preserve"> und Solarenergie vorsieht.</w:t>
      </w:r>
      <w:r>
        <w:rPr>
          <w:rStyle w:val="Funotenzeichen"/>
        </w:rPr>
        <w:footnoteReference w:id="1969"/>
      </w:r>
      <w:r>
        <w:t xml:space="preserve"> U.a. RWE und Orsted sind dort aktiv … Man könnte aus Irland Wasserstoff über eine Pipeline importieren, eine Gasleitung nach England gibt es bereits.</w:t>
      </w:r>
    </w:p>
    <w:p w14:paraId="48C27279" w14:textId="77777777" w:rsidR="00404E4E" w:rsidRPr="00B00617" w:rsidRDefault="00404E4E" w:rsidP="00112190"/>
    <w:p w14:paraId="3507C7B7" w14:textId="0469C650" w:rsidR="00112190" w:rsidRDefault="001E21C7" w:rsidP="00112190">
      <w:r>
        <w:t>9.</w:t>
      </w:r>
      <w:r w:rsidR="00112190">
        <w:t xml:space="preserve"> Schweden</w:t>
      </w:r>
    </w:p>
    <w:p w14:paraId="06857620" w14:textId="77777777" w:rsidR="00112190" w:rsidRDefault="00112190" w:rsidP="00112190"/>
    <w:p w14:paraId="49115768" w14:textId="71848447" w:rsidR="00112190" w:rsidRDefault="00112190" w:rsidP="00112190">
      <w:r>
        <w:t>Thema Wasserstoff: Schweden</w:t>
      </w:r>
      <w:r>
        <w:rPr>
          <w:rStyle w:val="Funotenzeichen"/>
        </w:rPr>
        <w:footnoteReference w:id="1970"/>
      </w:r>
      <w:r>
        <w:t xml:space="preserve"> ist </w:t>
      </w:r>
      <w:proofErr w:type="spellStart"/>
      <w:r>
        <w:t>großteils</w:t>
      </w:r>
      <w:proofErr w:type="spellEnd"/>
      <w:r>
        <w:t xml:space="preserve"> auf erneuerbare Energien umgestellt, 45 % der Elektrizität kommt aus der Wasserkraft, 29 % Atomkraft, 17 % vom Wind, 1 % Solar, in der Haushaltswärme gibt es Fernwärme, die auf Biomasse beruht oder 40 % der Haushalte, die Wärmepumpen benutzen, es fehlt noch der Verkehrssektor und die Industrie, darunter die Stahlindustrie</w:t>
      </w:r>
      <w:r>
        <w:rPr>
          <w:rStyle w:val="Funotenzeichen"/>
        </w:rPr>
        <w:footnoteReference w:id="1971"/>
      </w:r>
      <w:r>
        <w:t xml:space="preserve">, es gibt einige Wasserstoffprojekte, vor allem rund um die Stahlindustrie, ein Projekt für Stahl aus grünem Wasserstoff von SSAB wurde vom EU Innovation Fund gefördert. Ein </w:t>
      </w:r>
      <w:r>
        <w:lastRenderedPageBreak/>
        <w:t xml:space="preserve">weiteres Unternehmen H2 </w:t>
      </w:r>
      <w:proofErr w:type="spellStart"/>
      <w:r>
        <w:t>GreenSteel</w:t>
      </w:r>
      <w:proofErr w:type="spellEnd"/>
      <w:r>
        <w:t xml:space="preserve"> will eine ganz neue grüne Stahlproduktion aufbauen, in Boden, im Norden Schwedens, hier soll ein 800 MW Elektrolyseur gebaut werden. </w:t>
      </w:r>
      <w:proofErr w:type="spellStart"/>
      <w:r>
        <w:t>Ovako</w:t>
      </w:r>
      <w:proofErr w:type="spellEnd"/>
      <w:r>
        <w:t xml:space="preserve"> baut einen 17 MW Elektrolyseur in </w:t>
      </w:r>
      <w:proofErr w:type="spellStart"/>
      <w:r>
        <w:t>Hofors</w:t>
      </w:r>
      <w:proofErr w:type="spellEnd"/>
      <w:r>
        <w:t>. Schweden exportiert Strom, 2012 25 TWh, es will bis 2030 15 GW Offshore Windprojekte bauen</w:t>
      </w:r>
      <w:r w:rsidR="00BD2FF5">
        <w:t>.</w:t>
      </w:r>
      <w:r w:rsidR="00882AD7">
        <w:t xml:space="preserve"> (Fußnote hierzu unklar).</w:t>
      </w:r>
      <w:r>
        <w:t xml:space="preserve"> </w:t>
      </w:r>
      <w:r w:rsidR="00BD2FF5">
        <w:t>Die</w:t>
      </w:r>
      <w:r w:rsidR="00882AD7">
        <w:t xml:space="preserve"> </w:t>
      </w:r>
      <w:r>
        <w:t xml:space="preserve">neue Regierung favorisiert wieder Atomkraft und will neue Atomkraftwerke bauen und </w:t>
      </w:r>
      <w:r w:rsidR="00DC0AF9">
        <w:t>hat nun 13 von 14 Offshore</w:t>
      </w:r>
      <w:r>
        <w:t xml:space="preserve"> Windkraft</w:t>
      </w:r>
      <w:r w:rsidR="00DC0AF9">
        <w:t>projekte abgesagt, aus Sicherheitsgründen</w:t>
      </w:r>
      <w:r w:rsidR="00882AD7">
        <w:t>, derzeit hat Schweden 6 Kernkraftwerke, bis 2035 sollen zwei weitere dazukommen, bis 2024 bis zu zehn</w:t>
      </w:r>
      <w:r>
        <w:t>.</w:t>
      </w:r>
      <w:r w:rsidR="00DC0AF9">
        <w:rPr>
          <w:rStyle w:val="Funotenzeichen"/>
        </w:rPr>
        <w:footnoteReference w:id="1972"/>
      </w:r>
      <w:r>
        <w:t xml:space="preserve"> Im Norden Schweden ist Strom billiger (mehrere Zonen), hier werden weitere Landwindprojekte entstehen, die die Stahlindustrie dort beliefern. Eine Gasleitung, die auch für Wasserstoff geeignet ist, wird zwischen Finnland und Schweden gebaut, aber sie wird zwischen Schweden und dem Rest der EU als unrealistisch erachtet, weil Schweden nicht über die Pipeline-Infrastruktur verfügt und auch nicht überlegt, diese zu bauen. Der Strombedarf wird geschätzt von 140 TWh bis 2050 auf 266 TWh steigen. Insgesamt ist Schwedens Politik nicht eindeutig genug auf die Nutzung des riesigen Potentials für Landwind und Offshore Wind und diesen Ausbau von erneuerbaren Energien ausgerichtet, wodurch auch ein Export von Wasserstoff möglich wäre, auf den Deutschland nur warten würde.</w:t>
      </w:r>
      <w:r>
        <w:rPr>
          <w:rStyle w:val="Funotenzeichen"/>
        </w:rPr>
        <w:footnoteReference w:id="1973"/>
      </w:r>
      <w:r>
        <w:t xml:space="preserve"> </w:t>
      </w:r>
    </w:p>
    <w:p w14:paraId="395309F2" w14:textId="77777777" w:rsidR="00112190" w:rsidRDefault="00112190" w:rsidP="00112190"/>
    <w:tbl>
      <w:tblPr>
        <w:tblStyle w:val="Tabellenraster"/>
        <w:tblW w:w="0" w:type="auto"/>
        <w:tblLook w:val="04A0" w:firstRow="1" w:lastRow="0" w:firstColumn="1" w:lastColumn="0" w:noHBand="0" w:noVBand="1"/>
      </w:tblPr>
      <w:tblGrid>
        <w:gridCol w:w="9062"/>
      </w:tblGrid>
      <w:tr w:rsidR="00C011CB" w14:paraId="0FC594F8" w14:textId="77777777" w:rsidTr="00C011CB">
        <w:tc>
          <w:tcPr>
            <w:tcW w:w="9062" w:type="dxa"/>
          </w:tcPr>
          <w:p w14:paraId="1E67D0E5" w14:textId="29D0F3C1" w:rsidR="00C011CB" w:rsidRDefault="00C011CB" w:rsidP="00112190">
            <w:r>
              <w:t xml:space="preserve">Schweden hat im Juni 2024 eine Stromleitung nach Deutschland abgesagt. Das Projekt ‚Hansa Power Bridge, eine 300 km lange Stromleitung, wird nun nicht gebaut. Als Grund wird genannt, dass Südschweden, das ein großes Defizit an Strom hat, nicht mit Deutschland verbunden werden will, weil </w:t>
            </w:r>
            <w:r w:rsidR="00D10F9B">
              <w:t>in Deutschland</w:t>
            </w:r>
            <w:r>
              <w:t xml:space="preserve"> der Strommarkt nicht effizient funktionieren würde.</w:t>
            </w:r>
            <w:r>
              <w:rPr>
                <w:rStyle w:val="Funotenzeichen"/>
              </w:rPr>
              <w:footnoteReference w:id="1974"/>
            </w:r>
            <w:r>
              <w:t xml:space="preserve"> </w:t>
            </w:r>
            <w:r w:rsidR="002D0005">
              <w:t xml:space="preserve">Diese Begründung ist aber seltsam, da im Norden Deutschland Stromüberschuss herrscht und dies könnte Schweden helfen, den Süden </w:t>
            </w:r>
            <w:proofErr w:type="gramStart"/>
            <w:r w:rsidR="002D0005">
              <w:t>mit günstigen Strom</w:t>
            </w:r>
            <w:proofErr w:type="gramEnd"/>
            <w:r w:rsidR="002D0005">
              <w:t xml:space="preserve"> zu beliefern</w:t>
            </w:r>
            <w:r w:rsidR="00D10F9B">
              <w:t>. Eher ist es</w:t>
            </w:r>
            <w:r w:rsidR="002D0005">
              <w:t xml:space="preserve"> wohl </w:t>
            </w:r>
            <w:r w:rsidR="00D10F9B">
              <w:t xml:space="preserve">so, dass die konservative </w:t>
            </w:r>
            <w:r w:rsidR="002D0005">
              <w:t xml:space="preserve">schwedische Regierung nicht Deutschland helfen </w:t>
            </w:r>
            <w:r w:rsidR="00D10F9B">
              <w:t xml:space="preserve">will </w:t>
            </w:r>
            <w:r w:rsidR="002D0005">
              <w:t xml:space="preserve">Redispatch </w:t>
            </w:r>
            <w:r w:rsidR="00D10F9B">
              <w:t>Kosten zu sparen</w:t>
            </w:r>
            <w:r w:rsidR="002D0005">
              <w:t xml:space="preserve">! Man müsste auch nochmal gucken, ob Schweden selbst genug Stromleitungen hat, es </w:t>
            </w:r>
            <w:r w:rsidR="00BD2FF5">
              <w:t xml:space="preserve">scheint </w:t>
            </w:r>
            <w:r w:rsidR="002D0005">
              <w:t xml:space="preserve">so, dass die großen Windparks im Norden nicht ausreichend mit dem Süden </w:t>
            </w:r>
            <w:r w:rsidR="00D10F9B">
              <w:t xml:space="preserve">Schwedens </w:t>
            </w:r>
            <w:r w:rsidR="002D0005">
              <w:t>verbunden sind</w:t>
            </w:r>
            <w:r w:rsidR="00D10F9B">
              <w:t>.</w:t>
            </w:r>
          </w:p>
        </w:tc>
      </w:tr>
    </w:tbl>
    <w:p w14:paraId="455497BF" w14:textId="77777777" w:rsidR="00C011CB" w:rsidRDefault="00C011CB" w:rsidP="00112190"/>
    <w:p w14:paraId="6B7E49F2" w14:textId="081F24DA" w:rsidR="00E57DF7" w:rsidRDefault="005C1317" w:rsidP="00112190">
      <w:r>
        <w:t>Weitere Staaten:</w:t>
      </w:r>
    </w:p>
    <w:p w14:paraId="76833431" w14:textId="4888C648" w:rsidR="00112190" w:rsidRDefault="00112190" w:rsidP="00112190">
      <w:r>
        <w:t>Norway.</w:t>
      </w:r>
      <w:r>
        <w:rPr>
          <w:rStyle w:val="Funotenzeichen"/>
        </w:rPr>
        <w:footnoteReference w:id="1975"/>
      </w:r>
      <w:r w:rsidR="005C1317">
        <w:t xml:space="preserve"> </w:t>
      </w:r>
      <w:r>
        <w:t>Spanien Wasserstoff</w:t>
      </w:r>
      <w:r>
        <w:rPr>
          <w:rStyle w:val="Funotenzeichen"/>
        </w:rPr>
        <w:footnoteReference w:id="1976"/>
      </w:r>
      <w:r>
        <w:t xml:space="preserve"> , Ungarn Wasserstoff.</w:t>
      </w:r>
      <w:r>
        <w:rPr>
          <w:rStyle w:val="Funotenzeichen"/>
        </w:rPr>
        <w:footnoteReference w:id="1977"/>
      </w:r>
      <w:r>
        <w:t xml:space="preserve"> Frankreich Wasserstoff.</w:t>
      </w:r>
      <w:r>
        <w:rPr>
          <w:rStyle w:val="Funotenzeichen"/>
        </w:rPr>
        <w:footnoteReference w:id="1978"/>
      </w:r>
      <w:r>
        <w:t xml:space="preserve"> Polen</w:t>
      </w:r>
      <w:r>
        <w:rPr>
          <w:rStyle w:val="Funotenzeichen"/>
        </w:rPr>
        <w:footnoteReference w:id="1979"/>
      </w:r>
      <w:r>
        <w:t xml:space="preserve"> Italien.</w:t>
      </w:r>
      <w:r>
        <w:rPr>
          <w:rStyle w:val="Funotenzeichen"/>
        </w:rPr>
        <w:footnoteReference w:id="1980"/>
      </w:r>
      <w:r>
        <w:t xml:space="preserve"> Niederlande.</w:t>
      </w:r>
      <w:r>
        <w:rPr>
          <w:rStyle w:val="Funotenzeichen"/>
        </w:rPr>
        <w:footnoteReference w:id="1981"/>
      </w:r>
      <w:r>
        <w:t xml:space="preserve"> Deutschland.</w:t>
      </w:r>
      <w:r>
        <w:rPr>
          <w:rStyle w:val="Funotenzeichen"/>
        </w:rPr>
        <w:footnoteReference w:id="1982"/>
      </w:r>
      <w:r>
        <w:t xml:space="preserve"> Golfstaaten.</w:t>
      </w:r>
      <w:r>
        <w:rPr>
          <w:rStyle w:val="Funotenzeichen"/>
        </w:rPr>
        <w:footnoteReference w:id="1983"/>
      </w:r>
    </w:p>
    <w:p w14:paraId="74223E8D" w14:textId="77777777" w:rsidR="00112190" w:rsidRDefault="00112190" w:rsidP="00112190"/>
    <w:p w14:paraId="70D304F3" w14:textId="6C5318A1" w:rsidR="00ED52FA" w:rsidRDefault="00ED52FA" w:rsidP="00ED52FA">
      <w:r>
        <w:t xml:space="preserve">10. Indien </w:t>
      </w:r>
    </w:p>
    <w:p w14:paraId="6A71CFF1" w14:textId="77777777" w:rsidR="00ED52FA" w:rsidRDefault="00ED52FA" w:rsidP="00ED52FA"/>
    <w:p w14:paraId="2B433F85" w14:textId="77777777" w:rsidR="00ED52FA" w:rsidRDefault="00ED52FA" w:rsidP="00ED52FA">
      <w:r>
        <w:t xml:space="preserve">Europa kann Windkraft, die USA hat den Windkrafthersteller GE Electric, beide haben kein/kaum Solar. China ist führend im Bereich Solar und sehr gut in Windkraft. Aber auch Indien und Brasilien sind aktiv: </w:t>
      </w:r>
    </w:p>
    <w:p w14:paraId="4DE8AB88" w14:textId="77777777" w:rsidR="00ED52FA" w:rsidRDefault="00ED52FA" w:rsidP="00ED52FA"/>
    <w:p w14:paraId="72094E8E" w14:textId="77777777" w:rsidR="00ED52FA" w:rsidRDefault="00ED52FA" w:rsidP="00ED52FA">
      <w:r>
        <w:t xml:space="preserve">Indien verfügt versucht gerade Solar aufzubauen und verfügt über Windkrafthersteller, die Turbinen stammen von Siemens Gamesa, Suzlon (China), GE (USA) und Inox (Indien), wobei 90 % der Turbinen </w:t>
      </w:r>
      <w:r>
        <w:lastRenderedPageBreak/>
        <w:t>lokal gefertigt werden.</w:t>
      </w:r>
      <w:r>
        <w:rPr>
          <w:rStyle w:val="Funotenzeichen"/>
        </w:rPr>
        <w:footnoteReference w:id="1984"/>
      </w:r>
      <w:r>
        <w:t xml:space="preserve"> Führend in Indien sind die Industriekonglomerate Adani, ReNew Power und JSF.</w:t>
      </w:r>
      <w:r>
        <w:rPr>
          <w:rStyle w:val="Funotenzeichen"/>
        </w:rPr>
        <w:footnoteReference w:id="1985"/>
      </w:r>
      <w:r>
        <w:t xml:space="preserve"> Enercon lässt in Indien Generatoren, Türme und Verbundwerkstoffe ausschließlich für den Export produzieren.</w:t>
      </w:r>
      <w:r>
        <w:rPr>
          <w:rStyle w:val="Funotenzeichen"/>
        </w:rPr>
        <w:footnoteReference w:id="1986"/>
      </w:r>
      <w:r>
        <w:t xml:space="preserve"> </w:t>
      </w:r>
    </w:p>
    <w:p w14:paraId="6A1788BB" w14:textId="77777777" w:rsidR="00ED52FA" w:rsidRDefault="00ED52FA" w:rsidP="00ED52FA"/>
    <w:p w14:paraId="43E498FA" w14:textId="152CA217" w:rsidR="00ED52FA" w:rsidRDefault="00ED52FA" w:rsidP="00ED52FA">
      <w:r>
        <w:t>11. Brasilien</w:t>
      </w:r>
    </w:p>
    <w:p w14:paraId="6F344ABC" w14:textId="77777777" w:rsidR="00ED52FA" w:rsidRDefault="00ED52FA" w:rsidP="00ED52FA"/>
    <w:p w14:paraId="23E5648C" w14:textId="77777777" w:rsidR="00ED52FA" w:rsidRDefault="00ED52FA" w:rsidP="00ED52FA">
      <w:r>
        <w:t xml:space="preserve">Brasilien ist aktiv in der Windkraftindustrie, in Brasilien engagiert sich </w:t>
      </w:r>
      <w:proofErr w:type="spellStart"/>
      <w:r>
        <w:t>sich</w:t>
      </w:r>
      <w:proofErr w:type="spellEnd"/>
      <w:r>
        <w:t xml:space="preserve"> z.B. die </w:t>
      </w:r>
      <w:proofErr w:type="spellStart"/>
      <w:r>
        <w:t>Acciona</w:t>
      </w:r>
      <w:proofErr w:type="spellEnd"/>
      <w:r>
        <w:t xml:space="preserve"> </w:t>
      </w:r>
      <w:proofErr w:type="spellStart"/>
      <w:r>
        <w:t>WindPower</w:t>
      </w:r>
      <w:proofErr w:type="spellEnd"/>
      <w:r>
        <w:t xml:space="preserve"> Group mit einem Joint Venture mit Nordex und stellt N163/5.X Turbinen her, als Projektentwickler und Investoren sind aktiv Equinor und Shell, eine Turbinenproduktion von Enercon ist vom brasilianischen Hersteller von Rotorblätter Wobben übernommen worden. </w:t>
      </w:r>
      <w:proofErr w:type="spellStart"/>
      <w:r>
        <w:t>Tecsis</w:t>
      </w:r>
      <w:proofErr w:type="spellEnd"/>
      <w:r>
        <w:t xml:space="preserve"> ist ein innovativer Hersteller von Rotorblättern. Thyssenkrupp liefert Lager und Ringe mit großem Durchmesser für Windturbinen. </w:t>
      </w:r>
      <w:r w:rsidRPr="001A1969">
        <w:rPr>
          <w:b/>
          <w:bCs/>
        </w:rPr>
        <w:t xml:space="preserve">Brasiliens lange Küstenlinie ist ideal für </w:t>
      </w:r>
      <w:r>
        <w:rPr>
          <w:b/>
          <w:bCs/>
        </w:rPr>
        <w:t>Offshore-</w:t>
      </w:r>
      <w:r w:rsidRPr="001A1969">
        <w:rPr>
          <w:b/>
          <w:bCs/>
        </w:rPr>
        <w:t>Windkraft, die Kontinentalplattform ist mit 6 bis 20 Meter sehr flach, sodass ideale Bedingungen für Offshore-Windparks vorliegen, es ist auch denkbar, dort eine Wasserstoffproduktion aufzubauen</w:t>
      </w:r>
      <w:r>
        <w:t>.</w:t>
      </w:r>
      <w:bookmarkStart w:id="111" w:name="_Hlk196257931"/>
      <w:r>
        <w:rPr>
          <w:rStyle w:val="Funotenzeichen"/>
        </w:rPr>
        <w:footnoteReference w:id="1987"/>
      </w:r>
      <w:r>
        <w:t xml:space="preserve"> </w:t>
      </w:r>
      <w:bookmarkEnd w:id="111"/>
      <w:r>
        <w:t>Einzelne Komponenten sind teils in Brasilien knapp: Spezialstahlplatten, Glasfasern und Epoxidharz für die Rotorblätter sowie bei Schmiedestahl für die Lager und andere Komponenten der Gondel sowie das lasergesteuerte Windmessgerät Lidar.</w:t>
      </w:r>
      <w:r w:rsidRPr="009345CB">
        <w:rPr>
          <w:rStyle w:val="Funotenzeichen"/>
        </w:rPr>
        <w:t xml:space="preserve"> </w:t>
      </w:r>
      <w:r>
        <w:rPr>
          <w:rStyle w:val="Funotenzeichen"/>
        </w:rPr>
        <w:footnoteReference w:id="1988"/>
      </w:r>
      <w:r>
        <w:t xml:space="preserve"> Letzteres Gerät ist teuer, und wird eher vermietet als verkauft.</w:t>
      </w:r>
      <w:r>
        <w:rPr>
          <w:rStyle w:val="Funotenzeichen"/>
        </w:rPr>
        <w:footnoteReference w:id="1989"/>
      </w:r>
    </w:p>
    <w:p w14:paraId="324F16F1" w14:textId="77777777" w:rsidR="00ED52FA" w:rsidRDefault="00ED52FA" w:rsidP="00ED52FA"/>
    <w:p w14:paraId="49305FC3" w14:textId="77777777" w:rsidR="00ED52FA" w:rsidRDefault="00ED52FA" w:rsidP="00112190"/>
    <w:p w14:paraId="486F4C68" w14:textId="77777777" w:rsidR="00ED52FA" w:rsidRDefault="00ED52FA" w:rsidP="00112190"/>
    <w:p w14:paraId="09ADD641" w14:textId="1D86A947" w:rsidR="00E9298D" w:rsidRDefault="00E9298D" w:rsidP="00E9298D">
      <w:r>
        <w:t>12. Kapitalmärkte finanzieren Energiewende im globalen Süden</w:t>
      </w:r>
    </w:p>
    <w:p w14:paraId="6D0140FF" w14:textId="77777777" w:rsidR="00E9298D" w:rsidRDefault="00E9298D" w:rsidP="00E9298D"/>
    <w:p w14:paraId="6427581E" w14:textId="77777777" w:rsidR="00E9298D" w:rsidRDefault="00E9298D" w:rsidP="00E9298D">
      <w:r>
        <w:t xml:space="preserve">Die Kapitalmärkte sind daran interessiert, in den Aufbau erneuerbarer Energien zu investieren, wenn sie Rendite erwirtschaften können, es ist aber auch in Lateinamerika und in Afrika zu beobachten, dass etwa die Heruntersubventionierung von Krediten oder die Hilfe von staatlichen Entwicklungsbanken hilfreich sein kann. </w:t>
      </w:r>
    </w:p>
    <w:p w14:paraId="546C5CE0" w14:textId="77777777" w:rsidR="00E9298D" w:rsidRDefault="00E9298D" w:rsidP="00E9298D"/>
    <w:p w14:paraId="5C33DF61" w14:textId="77777777" w:rsidR="00E9298D" w:rsidRDefault="00E9298D" w:rsidP="00E9298D">
      <w:r>
        <w:t xml:space="preserve">Interessant ist ein Bericht, den die IEA für die Brasilianische G20 Präsidentschaft produziert hat: Roadmap </w:t>
      </w:r>
      <w:proofErr w:type="spellStart"/>
      <w:r>
        <w:t>to</w:t>
      </w:r>
      <w:proofErr w:type="spellEnd"/>
      <w:r>
        <w:t xml:space="preserve"> </w:t>
      </w:r>
      <w:proofErr w:type="spellStart"/>
      <w:r>
        <w:t>Increase</w:t>
      </w:r>
      <w:proofErr w:type="spellEnd"/>
      <w:r>
        <w:t xml:space="preserve"> Investment in Clean Energy in </w:t>
      </w:r>
      <w:proofErr w:type="spellStart"/>
      <w:r>
        <w:t>Developing</w:t>
      </w:r>
      <w:proofErr w:type="spellEnd"/>
      <w:r>
        <w:t xml:space="preserve"> Countreis – an </w:t>
      </w:r>
      <w:proofErr w:type="spellStart"/>
      <w:r>
        <w:t>initivative</w:t>
      </w:r>
      <w:proofErr w:type="spellEnd"/>
      <w:r>
        <w:t xml:space="preserve"> </w:t>
      </w:r>
      <w:proofErr w:type="spellStart"/>
      <w:r>
        <w:t>by</w:t>
      </w:r>
      <w:proofErr w:type="spellEnd"/>
      <w:r>
        <w:t xml:space="preserve"> </w:t>
      </w:r>
      <w:proofErr w:type="spellStart"/>
      <w:r>
        <w:t>the</w:t>
      </w:r>
      <w:proofErr w:type="spellEnd"/>
      <w:r>
        <w:t xml:space="preserve"> G20 Brazil </w:t>
      </w:r>
      <w:proofErr w:type="spellStart"/>
      <w:r>
        <w:t>Presidency</w:t>
      </w:r>
      <w:proofErr w:type="spellEnd"/>
      <w:r>
        <w:t>, November 2024, hier ist davon die Rede, dass 2000 Mrd. bis 2035 in Entwicklungsländern investiert werden müssen, um im 1,7 Grad Erwärmungsbereich zu bleiben, ein Hemmis sind höhere Kreditzinsen in Entwicklungsländern.</w:t>
      </w:r>
      <w:r>
        <w:rPr>
          <w:rStyle w:val="Funotenzeichen"/>
        </w:rPr>
        <w:footnoteReference w:id="1990"/>
      </w:r>
      <w:r>
        <w:t xml:space="preserve"> Brasilien und Indien berichten davon, dass dort relativ starke Kapitalmärkte bestehen, die auch Investitionen in erneuerbare Energien ermöglich haben. Berichtet wird </w:t>
      </w:r>
      <w:proofErr w:type="gramStart"/>
      <w:r>
        <w:t>z.B.</w:t>
      </w:r>
      <w:proofErr w:type="gramEnd"/>
      <w:r>
        <w:t xml:space="preserve"> dass Brasilien von 2010 an 75 Mrd. Investitionen in Solar und </w:t>
      </w:r>
      <w:r>
        <w:lastRenderedPageBreak/>
        <w:t>Landwind erhalten hat, Indien 130 Mill. vor allem in Solar.</w:t>
      </w:r>
      <w:r>
        <w:rPr>
          <w:rStyle w:val="Funotenzeichen"/>
        </w:rPr>
        <w:footnoteReference w:id="1991"/>
      </w:r>
      <w:r>
        <w:t xml:space="preserve"> Hier in der Fußnote der Erfolgsbericht von Brasilien.</w:t>
      </w:r>
      <w:r>
        <w:rPr>
          <w:rStyle w:val="Funotenzeichen"/>
        </w:rPr>
        <w:footnoteReference w:id="1992"/>
      </w:r>
      <w:r>
        <w:t xml:space="preserve"> Aktiv sind auch bestimmte international aktive Investmentfonds. Der </w:t>
      </w:r>
      <w:proofErr w:type="spellStart"/>
      <w:r>
        <w:t>Alterra</w:t>
      </w:r>
      <w:proofErr w:type="spellEnd"/>
      <w:r>
        <w:t xml:space="preserve"> Fond der Vereinigten Arabischen Emirate (UAE) ist mit 30 Mrd. ausgestattet worden und versucht bis 2030 250 Mrd. Investitionen zu mobilisieren.</w:t>
      </w:r>
      <w:r>
        <w:rPr>
          <w:rStyle w:val="Funotenzeichen"/>
        </w:rPr>
        <w:footnoteReference w:id="1993"/>
      </w:r>
      <w:r>
        <w:t xml:space="preserve"> Der TPG </w:t>
      </w:r>
      <w:proofErr w:type="spellStart"/>
      <w:r>
        <w:t>Rise</w:t>
      </w:r>
      <w:proofErr w:type="spellEnd"/>
      <w:r>
        <w:t xml:space="preserve"> Climate Fond ist ebenso ein großer Fond, mit Hank Paulson im Beirat. TPG </w:t>
      </w:r>
      <w:proofErr w:type="spellStart"/>
      <w:r>
        <w:t>Rise</w:t>
      </w:r>
      <w:proofErr w:type="spellEnd"/>
      <w:r>
        <w:t xml:space="preserve"> Climate</w:t>
      </w:r>
      <w:r>
        <w:rPr>
          <w:rStyle w:val="Funotenzeichen"/>
        </w:rPr>
        <w:footnoteReference w:id="1994"/>
      </w:r>
      <w:r>
        <w:t xml:space="preserve"> hat mit </w:t>
      </w:r>
      <w:proofErr w:type="spellStart"/>
      <w:r>
        <w:t>Alterra</w:t>
      </w:r>
      <w:proofErr w:type="spellEnd"/>
      <w:r>
        <w:t xml:space="preserve"> zusammen den GSI Global South Initiative </w:t>
      </w:r>
      <w:proofErr w:type="spellStart"/>
      <w:r>
        <w:t>Strategy</w:t>
      </w:r>
      <w:proofErr w:type="spellEnd"/>
      <w:r>
        <w:t xml:space="preserve"> gegründet, mit einer ersten Einlag von 1,2 Mrd.</w:t>
      </w:r>
      <w:r>
        <w:rPr>
          <w:rStyle w:val="Funotenzeichen"/>
        </w:rPr>
        <w:footnoteReference w:id="1995"/>
      </w:r>
      <w:r>
        <w:t xml:space="preserve"> </w:t>
      </w:r>
      <w:proofErr w:type="spellStart"/>
      <w:r>
        <w:t>Alterra</w:t>
      </w:r>
      <w:proofErr w:type="spellEnd"/>
      <w:r>
        <w:t xml:space="preserve"> hat mit BlackRock zusammen das BlackRock Climate Transition Vehicle</w:t>
      </w:r>
      <w:r>
        <w:rPr>
          <w:rStyle w:val="Funotenzeichen"/>
        </w:rPr>
        <w:footnoteReference w:id="1996"/>
      </w:r>
      <w:r>
        <w:t xml:space="preserve"> gegründet, und profitiert hier von BlackRocks Erfahrung.</w:t>
      </w:r>
      <w:r>
        <w:rPr>
          <w:rStyle w:val="Funotenzeichen"/>
        </w:rPr>
        <w:footnoteReference w:id="1997"/>
      </w:r>
      <w:r>
        <w:t xml:space="preserve"> Die Vereinigten Arabischen Emirate haben die Zinsen für Kredite heruntersubventioniert, um günstige Kredite für E-Autos zu ermöglichen.</w:t>
      </w:r>
      <w:r>
        <w:rPr>
          <w:rStyle w:val="Funotenzeichen"/>
        </w:rPr>
        <w:footnoteReference w:id="1998"/>
      </w:r>
      <w:r>
        <w:t xml:space="preserve"> In Chile hat eine Gruppe von Entwicklungsbanken, IDB </w:t>
      </w:r>
      <w:proofErr w:type="spellStart"/>
      <w:r>
        <w:t>Invest</w:t>
      </w:r>
      <w:proofErr w:type="spellEnd"/>
      <w:r>
        <w:t>, IFC und die staatlich Banco del Estado de Chile 344 Mill. US$ über 14 Jahre für den Kauf von 1000 elektrischen Bussen bereitgestellt.</w:t>
      </w:r>
      <w:r>
        <w:rPr>
          <w:rStyle w:val="Funotenzeichen"/>
        </w:rPr>
        <w:footnoteReference w:id="1999"/>
      </w:r>
      <w:r>
        <w:t xml:space="preserve"> Chile hat eine Green Hydrogen Facility gegründet, um privates Kapital für Wasserstoffprojekte anzulocken, es will bis 2025 über 5 GW Elektrolysekapazität verfügen und will bis 2030 der weltweit günstigste Anbieter von Wasserstoff sein.</w:t>
      </w:r>
      <w:r>
        <w:rPr>
          <w:rStyle w:val="Funotenzeichen"/>
        </w:rPr>
        <w:footnoteReference w:id="2000"/>
      </w:r>
      <w:r>
        <w:t xml:space="preserve"> </w:t>
      </w:r>
    </w:p>
    <w:p w14:paraId="4D0D7C8E" w14:textId="77777777" w:rsidR="00E9298D" w:rsidRDefault="00E9298D" w:rsidP="00E9298D"/>
    <w:p w14:paraId="19703824" w14:textId="77777777" w:rsidR="00E9298D" w:rsidRDefault="00E9298D" w:rsidP="00E9298D">
      <w:r>
        <w:lastRenderedPageBreak/>
        <w:t>Auch afrikanische Länder haben bereits erneuerbare Energien installiert, z.B. produzieren im Senegal unabhängige Produzenten mit Solar und Wind 23 % des Stroms</w:t>
      </w:r>
      <w:r>
        <w:rPr>
          <w:rStyle w:val="Funotenzeichen"/>
        </w:rPr>
        <w:footnoteReference w:id="2001"/>
      </w:r>
      <w:r>
        <w:t>, siehe den Bericht der IEA über Senegal, hier besteht auch ein Just Energy Transition Partnership mit Kanada, EU, Frankreich und Deutschland, das 2,5 Mrd. enthält und bis 2030 40 % erneuerbare Energien erreichen will.</w:t>
      </w:r>
      <w:r>
        <w:rPr>
          <w:rStyle w:val="Funotenzeichen"/>
        </w:rPr>
        <w:footnoteReference w:id="2002"/>
      </w:r>
      <w:r>
        <w:t xml:space="preserve"> Senegal hat im Kael und </w:t>
      </w:r>
      <w:proofErr w:type="spellStart"/>
      <w:r>
        <w:t>Kahone</w:t>
      </w:r>
      <w:proofErr w:type="spellEnd"/>
      <w:r>
        <w:t xml:space="preserve"> Solarpark Kosten von 4 Cent / US$ erreicht.</w:t>
      </w:r>
      <w:r w:rsidRPr="005143C1">
        <w:rPr>
          <w:rStyle w:val="Funotenzeichen"/>
        </w:rPr>
        <w:t xml:space="preserve"> </w:t>
      </w:r>
      <w:r>
        <w:rPr>
          <w:rStyle w:val="Funotenzeichen"/>
        </w:rPr>
        <w:footnoteReference w:id="2003"/>
      </w:r>
      <w:r>
        <w:t xml:space="preserve"> Der </w:t>
      </w:r>
      <w:r w:rsidRPr="005143C1">
        <w:t>Taiba N’Diaye</w:t>
      </w:r>
      <w:r>
        <w:t xml:space="preserve"> Windpark (158 MW) wurde aufgebaut von der holländischen Firma </w:t>
      </w:r>
      <w:proofErr w:type="spellStart"/>
      <w:r>
        <w:t>Lekela</w:t>
      </w:r>
      <w:proofErr w:type="spellEnd"/>
      <w:r>
        <w:t>, nun übernommen von Masdar, VAE und Infinity Power, Ägypten.</w:t>
      </w:r>
      <w:r>
        <w:rPr>
          <w:rStyle w:val="Funotenzeichen"/>
        </w:rPr>
        <w:footnoteReference w:id="2004"/>
      </w:r>
      <w:r>
        <w:t xml:space="preserve"> Die Stromleitungen in Westafrika, WAPP, werden derzeit aufgebaut, mit Hilfe von Weltbank, European Investment Bank, KfW und African Development Bank.</w:t>
      </w:r>
      <w:r>
        <w:rPr>
          <w:rStyle w:val="Funotenzeichen"/>
        </w:rPr>
        <w:footnoteReference w:id="2005"/>
      </w:r>
      <w:r>
        <w:t xml:space="preserve"> Nicht alles läuft aber im Senegal ideal, es gibt z.B. keine Batterien als Speicher für die Nacht. Die Hauptversorgung läuft weiter über Schweröl und bald über Gas, da Gasvorkommen entdeckt wurden, eine Batterie mit 150 MW Peak wird geplant. Derzeit liegt der Spitzenbedarf bei 950 MW, für 2030 wird ein Peak von 2057 MW erwartet.</w:t>
      </w:r>
      <w:r>
        <w:rPr>
          <w:rStyle w:val="Funotenzeichen"/>
        </w:rPr>
        <w:footnoteReference w:id="2006"/>
      </w:r>
      <w:r>
        <w:t xml:space="preserve"> Es gibt aber natürlich auch Probleme. Generell gilt, dass in Entwicklungsländern Zinsniveaus oft höher sind als in Industrieländern.</w:t>
      </w:r>
      <w:r>
        <w:rPr>
          <w:rStyle w:val="Funotenzeichen"/>
        </w:rPr>
        <w:footnoteReference w:id="2007"/>
      </w:r>
      <w:r>
        <w:t xml:space="preserve"> Viele Projekte waren nur auf den Energiesektor ausgerichtet, um hier weniger CO2 auszustoßen oder etwas effizienter zu machen. Vielfach gibt es gar keine Netze. Viele am wenigsten entwickelte Länder werden als riskant eingestuft, und Kredite sind dadurch teurer, oft sind Energieversorger nicht profitabel, es ist also schon im Normalfall schwer höhere Preise durchzusetzen.</w:t>
      </w:r>
      <w:r>
        <w:rPr>
          <w:rStyle w:val="Funotenzeichen"/>
        </w:rPr>
        <w:footnoteReference w:id="2008"/>
      </w:r>
    </w:p>
    <w:p w14:paraId="0A44BA5A" w14:textId="77777777" w:rsidR="00E9298D" w:rsidRDefault="00E9298D" w:rsidP="00112190"/>
    <w:p w14:paraId="7DD57F34" w14:textId="1DAA4A52" w:rsidR="00FB6ECD" w:rsidRDefault="001E21C7" w:rsidP="00112190">
      <w:r>
        <w:t>1</w:t>
      </w:r>
      <w:r w:rsidR="00E9298D">
        <w:t>3</w:t>
      </w:r>
      <w:r>
        <w:t>.</w:t>
      </w:r>
      <w:r w:rsidR="00FB6ECD">
        <w:t xml:space="preserve"> Japan</w:t>
      </w:r>
    </w:p>
    <w:p w14:paraId="30D9A66F" w14:textId="77777777" w:rsidR="00FB6ECD" w:rsidRDefault="00FB6ECD" w:rsidP="00112190"/>
    <w:p w14:paraId="69C1D148" w14:textId="6E543F56" w:rsidR="005C1317" w:rsidRDefault="00352A4F" w:rsidP="00445CBD">
      <w:r>
        <w:t xml:space="preserve">Japans Regierung strebt bis 2050 Klimaneutralität an. </w:t>
      </w:r>
      <w:r w:rsidR="00FB6ECD">
        <w:t xml:space="preserve">Siehe z.B. </w:t>
      </w:r>
      <w:proofErr w:type="gramStart"/>
      <w:r w:rsidR="00FB6ECD">
        <w:t>GTAI Infos</w:t>
      </w:r>
      <w:proofErr w:type="gramEnd"/>
      <w:r w:rsidR="00FB6ECD">
        <w:t>.</w:t>
      </w:r>
      <w:r w:rsidR="00FB6ECD">
        <w:rPr>
          <w:rStyle w:val="Funotenzeichen"/>
        </w:rPr>
        <w:footnoteReference w:id="2009"/>
      </w:r>
      <w:r>
        <w:t xml:space="preserve"> </w:t>
      </w:r>
      <w:r w:rsidR="004F3AA0">
        <w:t>Die japanische Regierung legt ihrer Energiewende genau dar, in ihrem</w:t>
      </w:r>
      <w:r w:rsidR="005C1317">
        <w:t xml:space="preserve"> 7th Strategic Energy Plan, </w:t>
      </w:r>
      <w:proofErr w:type="spellStart"/>
      <w:r w:rsidR="005C1317">
        <w:t>February</w:t>
      </w:r>
      <w:proofErr w:type="spellEnd"/>
      <w:r w:rsidR="005C1317">
        <w:t xml:space="preserve"> 2025</w:t>
      </w:r>
      <w:r w:rsidR="006A5985">
        <w:t>.</w:t>
      </w:r>
      <w:r w:rsidR="005C1317">
        <w:rPr>
          <w:rStyle w:val="Funotenzeichen"/>
        </w:rPr>
        <w:footnoteReference w:id="2010"/>
      </w:r>
      <w:r w:rsidR="005C1317">
        <w:t xml:space="preserve"> </w:t>
      </w:r>
      <w:r w:rsidR="006A5985">
        <w:t xml:space="preserve">In diesem Plan wird etwa erwähnt, dass Japan </w:t>
      </w:r>
      <w:proofErr w:type="spellStart"/>
      <w:r w:rsidR="006A5985">
        <w:t>Photoelectric</w:t>
      </w:r>
      <w:proofErr w:type="spellEnd"/>
      <w:r w:rsidR="006A5985">
        <w:t xml:space="preserve"> Fusion einsetzen will, um Energie bei</w:t>
      </w:r>
      <w:r w:rsidR="004F3AA0">
        <w:t>m</w:t>
      </w:r>
      <w:r w:rsidR="006A5985">
        <w:t xml:space="preserve"> Computer einzusparen, davon hat hier noch niemand was gehört </w:t>
      </w:r>
      <w:r w:rsidR="006A5985">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p w14:paraId="092CA1FF" w14:textId="77777777" w:rsidR="005C1317" w:rsidRDefault="005C1317" w:rsidP="00445CBD"/>
    <w:p w14:paraId="1BA6BFA8" w14:textId="4E814FFD" w:rsidR="005C1317" w:rsidRDefault="00352A4F" w:rsidP="00445CBD">
      <w:r>
        <w:t>Es gibt Bemühungen im Bereich Wasserstoff</w:t>
      </w:r>
      <w:r>
        <w:rPr>
          <w:rStyle w:val="Funotenzeichen"/>
        </w:rPr>
        <w:footnoteReference w:id="2011"/>
      </w:r>
      <w:r>
        <w:t>, der Speicherung und dem Export von CO2 und nachhaltigen Treibstoffen für Flugzeuge.</w:t>
      </w:r>
      <w:r>
        <w:rPr>
          <w:rStyle w:val="Funotenzeichen"/>
        </w:rPr>
        <w:footnoteReference w:id="2012"/>
      </w:r>
      <w:r w:rsidR="00BD2FF5">
        <w:t xml:space="preserve"> </w:t>
      </w:r>
      <w:r w:rsidR="006F17FE">
        <w:t xml:space="preserve">Japan will viel blauen Wasserstoff produzieren, um die Energiewende voranzubringen, bis genug grüner da ist, </w:t>
      </w:r>
      <w:r w:rsidR="004F3AA0">
        <w:t>dies soll</w:t>
      </w:r>
      <w:r w:rsidR="006F17FE">
        <w:t xml:space="preserve"> mit den anderen Partnerländern ab</w:t>
      </w:r>
      <w:r w:rsidR="004F3AA0">
        <w:t>ge</w:t>
      </w:r>
      <w:r w:rsidR="006F17FE">
        <w:t>stimm</w:t>
      </w:r>
      <w:r w:rsidR="004F3AA0">
        <w:t>t werden</w:t>
      </w:r>
      <w:r w:rsidR="006F17FE">
        <w:t>, siehe dazu.</w:t>
      </w:r>
      <w:r w:rsidR="006F17FE">
        <w:rPr>
          <w:rStyle w:val="Funotenzeichen"/>
        </w:rPr>
        <w:footnoteReference w:id="2013"/>
      </w:r>
      <w:r w:rsidR="00BD2FF5">
        <w:t xml:space="preserve"> </w:t>
      </w:r>
    </w:p>
    <w:p w14:paraId="6C6A3D5B" w14:textId="77777777" w:rsidR="005C1317" w:rsidRDefault="005C1317" w:rsidP="00445CBD"/>
    <w:p w14:paraId="07A34DD5" w14:textId="671359D5" w:rsidR="00DE52D2" w:rsidRDefault="00C27D04" w:rsidP="00445CBD">
      <w:r>
        <w:t xml:space="preserve">Yara hat (zusammen mit CF Industries) mit dem riesigen japanischen Energieversorger JERA eine Absichtserklärung unterzeichnet ab 2027 an Japan „clean </w:t>
      </w:r>
      <w:proofErr w:type="spellStart"/>
      <w:r>
        <w:t>ammoniak</w:t>
      </w:r>
      <w:proofErr w:type="spellEnd"/>
      <w:r>
        <w:t>“ (mit 60 % weniger Emissionen bei der Herstellung) als Treibstoff zu liefern.</w:t>
      </w:r>
      <w:r>
        <w:rPr>
          <w:rStyle w:val="Funotenzeichen"/>
        </w:rPr>
        <w:footnoteReference w:id="2014"/>
      </w:r>
      <w:r>
        <w:t xml:space="preserve"> JERA selbst ist aktiv im Bereich erneuerbarer Energien.</w:t>
      </w:r>
      <w:r>
        <w:rPr>
          <w:rStyle w:val="Funotenzeichen"/>
        </w:rPr>
        <w:footnoteReference w:id="2015"/>
      </w:r>
      <w:r w:rsidR="00BD2FF5">
        <w:t xml:space="preserve"> </w:t>
      </w:r>
    </w:p>
    <w:p w14:paraId="1CBF1489" w14:textId="77777777" w:rsidR="00DE52D2" w:rsidRDefault="00DE52D2" w:rsidP="00445CBD"/>
    <w:p w14:paraId="2DF576AA" w14:textId="50047C8E" w:rsidR="00445CBD" w:rsidRDefault="00A56018" w:rsidP="00445CBD">
      <w:r>
        <w:rPr>
          <w:b/>
          <w:bCs/>
        </w:rPr>
        <w:t xml:space="preserve">Ich füge hier ein langes </w:t>
      </w:r>
      <w:r w:rsidR="00DE52D2" w:rsidRPr="004F3AA0">
        <w:rPr>
          <w:b/>
          <w:bCs/>
        </w:rPr>
        <w:t xml:space="preserve">Zitat </w:t>
      </w:r>
      <w:r>
        <w:rPr>
          <w:b/>
          <w:bCs/>
        </w:rPr>
        <w:t xml:space="preserve">ein </w:t>
      </w:r>
      <w:r w:rsidR="00DE52D2" w:rsidRPr="004F3AA0">
        <w:rPr>
          <w:b/>
          <w:bCs/>
        </w:rPr>
        <w:t xml:space="preserve">(ohne Zwischenüberschriften) </w:t>
      </w:r>
      <w:r>
        <w:rPr>
          <w:b/>
          <w:bCs/>
        </w:rPr>
        <w:t>aus:</w:t>
      </w:r>
      <w:r w:rsidR="00DE52D2" w:rsidRPr="004F3AA0">
        <w:rPr>
          <w:b/>
          <w:bCs/>
        </w:rPr>
        <w:t xml:space="preserve"> Jürgen Maurer. Regierung: Wasserstoff bietet hohes </w:t>
      </w:r>
      <w:proofErr w:type="spellStart"/>
      <w:r w:rsidR="00DE52D2" w:rsidRPr="004F3AA0">
        <w:rPr>
          <w:b/>
          <w:bCs/>
        </w:rPr>
        <w:t>Dekarbonisierungspotential</w:t>
      </w:r>
      <w:proofErr w:type="spellEnd"/>
      <w:r w:rsidR="001E21C7" w:rsidRPr="004F3AA0">
        <w:rPr>
          <w:b/>
          <w:bCs/>
        </w:rPr>
        <w:t>, 20.06.2023, GTAI</w:t>
      </w:r>
      <w:r w:rsidR="00DE52D2">
        <w:rPr>
          <w:rStyle w:val="Funotenzeichen"/>
        </w:rPr>
        <w:footnoteReference w:id="2016"/>
      </w:r>
      <w:r w:rsidR="00DE52D2">
        <w:t>: „</w:t>
      </w:r>
      <w:r w:rsidR="00445CBD">
        <w:t xml:space="preserve">Japan sieht im Wasserstoff viel Potenzial, wenn es darum geht, die Dekarbonisierung und die stabile Energieversorgung voranzutreiben. Daher hat die japanische Regierung im Juni 2023 ihre Basic Hydrogen </w:t>
      </w:r>
      <w:proofErr w:type="spellStart"/>
      <w:r w:rsidR="00445CBD">
        <w:t>Strategy</w:t>
      </w:r>
      <w:proofErr w:type="spellEnd"/>
      <w:r w:rsidR="00445CBD">
        <w:t xml:space="preserve"> aktualisiert. Die Neuerungen betreffen nicht so sehr die mengenmäßigen Ziele. Es geht vielmehr um die finanzielle Hilfestellung, die von öffentlicher Hand für die Umsetzung von Maßnahmen kommen soll.</w:t>
      </w:r>
      <w:r w:rsidR="00BD2FF5">
        <w:t xml:space="preserve"> </w:t>
      </w:r>
      <w:r w:rsidR="00445CBD">
        <w:t>Immerhin ist hier die Rede von umgerechnet rund 108 Milliarden US-Dollar (15 Billionen Yen), die über einen Zeitraum von 15 Jahren aufgebracht werden könnten, um Wasserstoff-Lieferketten aufzubauen. Als Finanzquellen sind öffentliche Anschubfinanzierungen, hauptsächlich durch den Green Innovation Fund, wie auch private Investitionen in die Gleichung eingerechnet.</w:t>
      </w:r>
      <w:r w:rsidR="00BD2FF5">
        <w:t xml:space="preserve"> </w:t>
      </w:r>
      <w:r w:rsidR="00445CBD">
        <w:t xml:space="preserve">Die Nachfrage aus der Energieindustrie, dem Transportsektor und einigen kohlendioxidintensiven Industriebranchen ist vorhanden, denn sie haben sich zu klimaneutralem Wirtschaften verpflichtet. Um den Industrien und Unternehmen Anreize zur Umstellung zu geben, betont die aktualisierte Basic Hydrogen </w:t>
      </w:r>
      <w:proofErr w:type="spellStart"/>
      <w:r w:rsidR="00445CBD">
        <w:t>Strategy</w:t>
      </w:r>
      <w:proofErr w:type="spellEnd"/>
      <w:r w:rsidR="00445CBD">
        <w:t xml:space="preserve"> die Dringlichkeit, die Entstehungs- und Bereitstellungskosten für Wasserstoff zu verringern.</w:t>
      </w:r>
    </w:p>
    <w:p w14:paraId="3CD61546" w14:textId="77777777" w:rsidR="00445CBD" w:rsidRDefault="00445CBD" w:rsidP="00445CBD"/>
    <w:p w14:paraId="7BFAFD23" w14:textId="77777777" w:rsidR="00445CBD" w:rsidRDefault="00445CBD" w:rsidP="00445CBD">
      <w:r>
        <w:t xml:space="preserve">Dazu soll die Kommerzialisierung der entwickelten Technologien in einem internationalen Maßstab beitragen. Denn staatliche Unterstützung kann nur bis </w:t>
      </w:r>
      <w:proofErr w:type="gramStart"/>
      <w:r>
        <w:t>zu einem gewissen Grade</w:t>
      </w:r>
      <w:proofErr w:type="gramEnd"/>
      <w:r>
        <w:t xml:space="preserve"> erfolgen. Sie soll die Entwicklung von Elektrolyseuren, Ausrüstung und Infrastruktur fördern, um eine Wasserstoff-Wertschöpfungskette zu etablieren und stabile Lieferbeziehungen zu garantieren.</w:t>
      </w:r>
    </w:p>
    <w:p w14:paraId="66CE1854" w14:textId="77777777" w:rsidR="00445CBD" w:rsidRDefault="00445CBD" w:rsidP="00445CBD"/>
    <w:p w14:paraId="0B884F05" w14:textId="77777777" w:rsidR="00445CBD" w:rsidRDefault="00445CBD" w:rsidP="00445CBD">
      <w:r>
        <w:t>Auf jeden Fall will die japanische Regierung den Einsatz von Wasserstoffanwendungen beschleunigen. Dabei ist ein prioritäres Ziel, dass Wasserstoff bei der Energieerzeugung bis zum Jahr 2030 im industriellen Rahmen verfügbar ist. Japan visiert an, einige fossile Kraftwerke zukünftig auf hundertprozentige Wasserstoff- wie auch Ammoniaknutzung umzurüsten.</w:t>
      </w:r>
    </w:p>
    <w:p w14:paraId="1259DAE9" w14:textId="77777777" w:rsidR="00445CBD" w:rsidRDefault="00445CBD" w:rsidP="00445CBD"/>
    <w:p w14:paraId="1C2FC602" w14:textId="77777777" w:rsidR="00445CBD" w:rsidRDefault="00445CBD" w:rsidP="00445CBD">
      <w:r>
        <w:t>Daher muss die Wasserstoffbereitstellung deutlich steigen. Die Versorgung soll bis zum Jahr 2040 gegenüber 2020 um das Sechsfache auf 12 Millionen Tonnen zulegen. Japan will die Kooperation mit potenziellen Versorgern in der indopazifischen Region ausweiten, um eine stabile Lieferkette für Wasserstoff aufzubauen. Mit Australien ist ein Pilotprojekt angeschoben.</w:t>
      </w:r>
    </w:p>
    <w:p w14:paraId="6FCBF864" w14:textId="77777777" w:rsidR="00445CBD" w:rsidRDefault="00445CBD" w:rsidP="00445CBD"/>
    <w:p w14:paraId="7F0500F8" w14:textId="77777777" w:rsidR="00445CBD" w:rsidRDefault="00445CBD" w:rsidP="00445CBD">
      <w:r>
        <w:t xml:space="preserve">Dabei wird im australischen Bundesstaat Victoria mit Kohleenergie und angeschlossener Karbonspeicherung Hydrogen hergestellt. Der Wasserstoff wird in verflüssigter Form auf einem Spezialschiff nach Kawasaki in der Präfektur Kanagawa transportiert. Durch Skalierung sollen bis 2030 die Kosten für die Bereitstellung von Wasserstoff in Japan deutlich sinken. An diesem Projekt sind die New Energy and Industrial Technology Development Organisation (NEDO), Japan </w:t>
      </w:r>
      <w:proofErr w:type="spellStart"/>
      <w:r>
        <w:t>Suiso</w:t>
      </w:r>
      <w:proofErr w:type="spellEnd"/>
      <w:r>
        <w:t xml:space="preserve"> Energy (JSE), Iwatani Corporation und ENEOS Corporation beteiligt.</w:t>
      </w:r>
    </w:p>
    <w:p w14:paraId="7E0338FB" w14:textId="77777777" w:rsidR="00445CBD" w:rsidRDefault="00445CBD" w:rsidP="00445CBD"/>
    <w:p w14:paraId="3704ACFD" w14:textId="5CADDE02" w:rsidR="00445CBD" w:rsidRDefault="00445CBD" w:rsidP="00445CBD">
      <w:r>
        <w:lastRenderedPageBreak/>
        <w:t xml:space="preserve">Dass die Bereitstellung funktionieren kann, haben die </w:t>
      </w:r>
      <w:proofErr w:type="spellStart"/>
      <w:r>
        <w:t>Chiyoda</w:t>
      </w:r>
      <w:proofErr w:type="spellEnd"/>
      <w:r>
        <w:t xml:space="preserve"> Corporation mit Mitsubishi, Mitsui und NYK Line bereits bewiesen. Sie haben im Dezember 2020 erstmals Wasserstoff von Brunei nach Japan geliefert</w:t>
      </w:r>
      <w:bookmarkStart w:id="112" w:name="_Hlk198497428"/>
      <w:r>
        <w:t xml:space="preserve">. Das dabei genutzte Verfahren beruht auf einer Technologie von </w:t>
      </w:r>
      <w:proofErr w:type="spellStart"/>
      <w:r>
        <w:t>Chiyoda</w:t>
      </w:r>
      <w:proofErr w:type="spellEnd"/>
      <w:r>
        <w:t xml:space="preserve"> und wandelt </w:t>
      </w:r>
      <w:proofErr w:type="spellStart"/>
      <w:r>
        <w:t>Methylcyclohexane</w:t>
      </w:r>
      <w:proofErr w:type="spellEnd"/>
      <w:r>
        <w:t xml:space="preserve"> (MCH) in Wasserstoff um</w:t>
      </w:r>
      <w:bookmarkEnd w:id="112"/>
      <w:r>
        <w:t>. Leichter Transport und Nutzung bestehender Infrastruktur sind große Vorteile.</w:t>
      </w:r>
    </w:p>
    <w:p w14:paraId="42CFB77B" w14:textId="77777777" w:rsidR="00445CBD" w:rsidRDefault="00445CBD" w:rsidP="00445CBD"/>
    <w:p w14:paraId="06579B68" w14:textId="77777777" w:rsidR="001839F8" w:rsidRDefault="001839F8" w:rsidP="001839F8">
      <w:r>
        <w:t>Noch befinden sich viele neue Technologien für die Wasserstoffproduktion in der Entwicklungs- und Testphase. Bei vorhandener Ausrüstung, wie den Elektrolyseuren, wird an Verbesserungen gearbeitet, um ihre Effizienz zu erhöhen und die Produktionskosten für Wasserstoff zu senken. Elektrolyseure, die Wassermoleküle in Wasserstoff und Sauerstoff trennen, spielen eine zentrale Rolle in der Produktion von Hydrogen.</w:t>
      </w:r>
    </w:p>
    <w:p w14:paraId="69F19136" w14:textId="77777777" w:rsidR="001839F8" w:rsidRDefault="001839F8" w:rsidP="001839F8"/>
    <w:p w14:paraId="1B34FE48" w14:textId="735CB9CD" w:rsidR="001839F8" w:rsidRDefault="001839F8" w:rsidP="001839F8">
      <w:r>
        <w:t>Beispielsweise sind Toshiba und Toray Industries dabei, für die in sauren Elektrolyseuren eingesetzten Polymer-Elektrolyt-Membranen weniger kostspielige seltene Metalle zu nutzen oder sie mit neuartigen Materialien effizienter zu machen. Panasonic, das auf alkalische Elektrolyseure setzt, reduziert ebenfalls den Einsatz von Metallen. In der Entwicklung sind weitere Technologien, die die Wasserstofferzeugung optimieren sollen.</w:t>
      </w:r>
    </w:p>
    <w:p w14:paraId="6CD5D599" w14:textId="77777777" w:rsidR="001839F8" w:rsidRDefault="001839F8" w:rsidP="00445CBD"/>
    <w:p w14:paraId="7B314896" w14:textId="524628F7" w:rsidR="00445CBD" w:rsidRDefault="00445CBD" w:rsidP="00445CBD">
      <w:r>
        <w:t xml:space="preserve">Klimafreundliche Lösungen sind auch in der Chemiebranche gefragt. Dabei geht es zunächst oft um Modellprojekte. So wählte die staatliche Japan </w:t>
      </w:r>
      <w:proofErr w:type="spellStart"/>
      <w:r>
        <w:t>Organization</w:t>
      </w:r>
      <w:proofErr w:type="spellEnd"/>
      <w:r>
        <w:t xml:space="preserve"> </w:t>
      </w:r>
      <w:proofErr w:type="spellStart"/>
      <w:r>
        <w:t>for</w:t>
      </w:r>
      <w:proofErr w:type="spellEnd"/>
      <w:r>
        <w:t xml:space="preserve"> </w:t>
      </w:r>
      <w:proofErr w:type="spellStart"/>
      <w:r>
        <w:t>Metals</w:t>
      </w:r>
      <w:proofErr w:type="spellEnd"/>
      <w:r>
        <w:t xml:space="preserve"> and Energy Security (JOGMEC) im Juni 2023 sieben Pilotprojekte zur Abscheidung und Speicherung von Kohlenstoffdioxid (Carbon Dioxide Capture and Storage, CCS) aus. Bei fünf Vorhaben soll die Speicherung in Japan stattfinden, bei einem in Malaysia und einem weiteren in Ozeanien. Das ab 2030 angestrebte Speichervolumen liegt bei 13 Millionen Tonnen Kohlenstoffdioxid (CO2) pro Jahr. Bis 2050 will JOGMEC Volumina von jährlich 120 bis 240 Millionen Tonnen CO2 erreichen. Sumitomo und andere japanische Firmen planen mit der australischen Woodside Energy eine Machbarkeitsstudie zum Export und der Speicherung von CO2 in Australien. Auch bei Wasserstoff gibt es Bewegung.</w:t>
      </w:r>
      <w:r w:rsidR="001839F8">
        <w:t>“ (</w:t>
      </w:r>
      <w:r w:rsidR="001839F8" w:rsidRPr="004F3AA0">
        <w:rPr>
          <w:b/>
          <w:bCs/>
        </w:rPr>
        <w:t>dieser ganze Abschnitt wurde hier entnommen aus der GTAI-Webseite</w:t>
      </w:r>
      <w:r w:rsidR="00A56018">
        <w:rPr>
          <w:b/>
          <w:bCs/>
        </w:rPr>
        <w:t>, ich bitte um die GTAI um Verständnis</w:t>
      </w:r>
      <w:r w:rsidR="001839F8">
        <w:rPr>
          <w:rStyle w:val="Funotenzeichen"/>
        </w:rPr>
        <w:footnoteReference w:id="2017"/>
      </w:r>
      <w:r w:rsidR="001839F8">
        <w:t>).</w:t>
      </w:r>
    </w:p>
    <w:p w14:paraId="24F88B88" w14:textId="77777777" w:rsidR="006F17FE" w:rsidRDefault="006F17FE" w:rsidP="006F17FE"/>
    <w:p w14:paraId="6E0DA6B0" w14:textId="3986C924" w:rsidR="006F17FE" w:rsidRDefault="006F17FE" w:rsidP="006F17FE">
      <w:r>
        <w:t xml:space="preserve">In Asien hat Japan eine Asia Zero </w:t>
      </w:r>
      <w:proofErr w:type="spellStart"/>
      <w:r>
        <w:t>Emissions</w:t>
      </w:r>
      <w:proofErr w:type="spellEnd"/>
      <w:r>
        <w:t xml:space="preserve"> Community (AZEC) gegründet, nicht mit China, aber u.a. mit Indonesien und Vietnam als Mitglieder. Japan hat vor im Bereich Carbon Capture and Storage (CCS) </w:t>
      </w:r>
      <w:proofErr w:type="gramStart"/>
      <w:r>
        <w:t>mit asiatische Nachbarstaaten</w:t>
      </w:r>
      <w:proofErr w:type="gramEnd"/>
      <w:r>
        <w:t xml:space="preserve"> zusammenzuarbeiten, aber auch im Bereich Wasserstoff, Ammoniak und Windenergie zusammenzuarbeiten.</w:t>
      </w:r>
      <w:r>
        <w:rPr>
          <w:rStyle w:val="Funotenzeichen"/>
        </w:rPr>
        <w:footnoteReference w:id="2018"/>
      </w:r>
      <w:r>
        <w:t xml:space="preserve"> So haben PT Pertamina, die staatliche Energiefirma Indonesiens eine Kooperation mit Mitsui aus Japan begonnen, im Bereich CCS in Zentralsumatra.</w:t>
      </w:r>
      <w:r>
        <w:rPr>
          <w:rStyle w:val="Funotenzeichen"/>
        </w:rPr>
        <w:footnoteReference w:id="2019"/>
      </w:r>
      <w:r>
        <w:t xml:space="preserve"> Siehe oben auch die JETPs.</w:t>
      </w:r>
      <w:r w:rsidR="001839F8">
        <w:t xml:space="preserve"> Siehe die Webseite von </w:t>
      </w:r>
      <w:proofErr w:type="spellStart"/>
      <w:r w:rsidR="001839F8">
        <w:t>Chiyoda</w:t>
      </w:r>
      <w:proofErr w:type="spellEnd"/>
      <w:r w:rsidR="001839F8">
        <w:t xml:space="preserve">, die mit </w:t>
      </w:r>
      <w:proofErr w:type="spellStart"/>
      <w:r w:rsidR="001839F8">
        <w:t>Methylcyclohexan</w:t>
      </w:r>
      <w:proofErr w:type="spellEnd"/>
      <w:r w:rsidR="001839F8">
        <w:t xml:space="preserve"> Wasserstoff transportiert.</w:t>
      </w:r>
      <w:r w:rsidR="001839F8">
        <w:rPr>
          <w:rStyle w:val="Funotenzeichen"/>
        </w:rPr>
        <w:footnoteReference w:id="2020"/>
      </w:r>
    </w:p>
    <w:p w14:paraId="6E91494E" w14:textId="77777777" w:rsidR="00ED52FA" w:rsidRDefault="00ED52FA" w:rsidP="00112190"/>
    <w:p w14:paraId="60C69836" w14:textId="4770A632" w:rsidR="00112190" w:rsidRDefault="001E21C7" w:rsidP="00112190">
      <w:r>
        <w:t>1</w:t>
      </w:r>
      <w:r w:rsidR="00E9298D">
        <w:t>4</w:t>
      </w:r>
      <w:r>
        <w:t>.</w:t>
      </w:r>
      <w:r w:rsidR="00112190">
        <w:t xml:space="preserve"> China</w:t>
      </w:r>
    </w:p>
    <w:p w14:paraId="002F239B" w14:textId="77777777" w:rsidR="00E57DF7" w:rsidRDefault="00E57DF7" w:rsidP="00112190"/>
    <w:p w14:paraId="732C304D" w14:textId="77777777" w:rsidR="001839F8" w:rsidRDefault="001839F8" w:rsidP="001839F8">
      <w:r>
        <w:t xml:space="preserve">China emittiert bei THG 15684 und CO2 12466 fast genauso viel wie die USA, Indien, EU und Russland zusammen (16126 </w:t>
      </w:r>
      <w:proofErr w:type="spellStart"/>
      <w:r>
        <w:t>Mt</w:t>
      </w:r>
      <w:proofErr w:type="spellEnd"/>
      <w:r>
        <w:t xml:space="preserve"> THG, 12116 </w:t>
      </w:r>
      <w:proofErr w:type="spellStart"/>
      <w:r>
        <w:t>Mt</w:t>
      </w:r>
      <w:proofErr w:type="spellEnd"/>
      <w:r>
        <w:t xml:space="preserve"> CO2). Im Umkehrschluss bringt es aber auch etwas, wenn die USA und die EU es schaffen, ihre Emissionen zu verringern (9604 </w:t>
      </w:r>
      <w:proofErr w:type="spellStart"/>
      <w:r>
        <w:t>Mt</w:t>
      </w:r>
      <w:proofErr w:type="spellEnd"/>
      <w:r>
        <w:t xml:space="preserve"> THG, 7526 </w:t>
      </w:r>
      <w:proofErr w:type="spellStart"/>
      <w:r>
        <w:t>Mt</w:t>
      </w:r>
      <w:proofErr w:type="spellEnd"/>
      <w:r>
        <w:t xml:space="preserve"> CO2). </w:t>
      </w:r>
    </w:p>
    <w:p w14:paraId="023F6921" w14:textId="77777777" w:rsidR="001839F8" w:rsidRDefault="001839F8" w:rsidP="001839F8">
      <w:r>
        <w:lastRenderedPageBreak/>
        <w:t>Und auch der Rest der Welt trägt 14552 zu den Emissionen bei, im Jahr 2021</w:t>
      </w:r>
      <w:r w:rsidRPr="00C54E11">
        <w:t>.</w:t>
      </w:r>
      <w:r>
        <w:rPr>
          <w:rStyle w:val="Funotenzeichen"/>
        </w:rPr>
        <w:footnoteReference w:id="2021"/>
      </w:r>
    </w:p>
    <w:p w14:paraId="79D2AEB9" w14:textId="77777777" w:rsidR="001839F8" w:rsidRDefault="001839F8" w:rsidP="001839F8"/>
    <w:p w14:paraId="03EB872D" w14:textId="16ADDE73" w:rsidR="001839F8" w:rsidRDefault="001839F8" w:rsidP="001839F8">
      <w:r>
        <w:t>Ein Grund dafür, dass China im Jahr 2022 ca. 38 neue Kohlekraftwerke begann zu bauen, war paradoxerweise auch, dass durch die Hitzewelle ein erhöhter Strombedarf durch Klimaanlagen zu verzeichnen war, mit einem kurzfristigem Spitzenbedarf im Stromnetz von China von 1290 GW.</w:t>
      </w:r>
      <w:r>
        <w:rPr>
          <w:rStyle w:val="Funotenzeichen"/>
        </w:rPr>
        <w:footnoteReference w:id="2022"/>
      </w:r>
      <w:r>
        <w:t xml:space="preserve"> Kohlekraftwerke kommen auf die Hälfte der Energieversorgung Chinas, sieht man nur auf die Stromversorgung sind es nur 60 %, Sonne und Wind kamen für 14 % der Stromversorgung auf (2023).</w:t>
      </w:r>
      <w:r>
        <w:rPr>
          <w:rStyle w:val="Funotenzeichen"/>
        </w:rPr>
        <w:footnoteReference w:id="2023"/>
      </w:r>
      <w:r>
        <w:t xml:space="preserve"> Im ersten Halbjahr 2024 wurden 9 GW an Kohlekraftwerkskapazität genehmigt, dies wird von Kommentatoren als positiv angesehen, weil es einen starken Rückgang im Vergleich zum Jahr davor darstellt.</w:t>
      </w:r>
      <w:r>
        <w:rPr>
          <w:rStyle w:val="Funotenzeichen"/>
        </w:rPr>
        <w:t xml:space="preserve"> </w:t>
      </w:r>
      <w:r>
        <w:rPr>
          <w:rStyle w:val="Funotenzeichen"/>
        </w:rPr>
        <w:footnoteReference w:id="2024"/>
      </w:r>
      <w:r>
        <w:t xml:space="preserve"> China emittiert 15 Mrd. Tonnen Treibhausgase, siehe die Tabelle oben, dies sind 28 Prozent der 53 Mrd. gesamten weltweit emittierten Treibhausgasen. Das ist extrem viel. 38 Kohlekraftwerke in dieser Situation zu bauen, war keine gute Idee. </w:t>
      </w:r>
    </w:p>
    <w:p w14:paraId="43195851" w14:textId="3BC12596" w:rsidR="001839F8" w:rsidRDefault="001839F8" w:rsidP="00112190">
      <w:r>
        <w:t xml:space="preserve"> </w:t>
      </w:r>
    </w:p>
    <w:p w14:paraId="29E7F4D1" w14:textId="77777777" w:rsidR="001839F8" w:rsidRDefault="001839F8" w:rsidP="001839F8">
      <w:r>
        <w:t>China hat zwischen 2015 und 2017 95 Mrd. US$ in erneuerbare Energien investiert.</w:t>
      </w:r>
      <w:r>
        <w:rPr>
          <w:rStyle w:val="Funotenzeichen"/>
        </w:rPr>
        <w:footnoteReference w:id="2025"/>
      </w:r>
      <w:r>
        <w:t xml:space="preserve"> Einen frühen Überblick bietet Nicholas (2018), die heutige Situation der chinesischen Windenergiebranche beleuchtet Waite (2022). </w:t>
      </w:r>
    </w:p>
    <w:p w14:paraId="7BB2D25A" w14:textId="77777777" w:rsidR="001839F8" w:rsidRDefault="001839F8" w:rsidP="00112190"/>
    <w:p w14:paraId="3F97D0FB" w14:textId="7A5A5466" w:rsidR="001839F8" w:rsidRDefault="001839F8" w:rsidP="001839F8">
      <w:r>
        <w:t>Im März 2024 meldet Reuters, dass China über 100 Terawattstunden Strom mit Windenergie produziert hat, den höchsten Wert, den je ein Land erreicht hat.</w:t>
      </w:r>
      <w:r>
        <w:rPr>
          <w:rStyle w:val="Funotenzeichen"/>
        </w:rPr>
        <w:footnoteReference w:id="2026"/>
      </w:r>
      <w:r>
        <w:t xml:space="preserve"> Dies ist auch nicht viel relativ zum chinesischen Stromverbrauch von 7500 Terawattstunden gesehen, siehe meine Stromverbrauch-Tabelle in Teil 1. </w:t>
      </w:r>
    </w:p>
    <w:p w14:paraId="37F2A838" w14:textId="77777777" w:rsidR="001839F8" w:rsidRDefault="001839F8" w:rsidP="00112190"/>
    <w:p w14:paraId="299AA2DB" w14:textId="2AD6E660" w:rsidR="001839F8" w:rsidRDefault="001839F8" w:rsidP="001839F8">
      <w:r>
        <w:t xml:space="preserve">Chinas Stromverbrauch steigt noch stark an. Reuters meldet, dass China in den ersten drei Monaten von 2024 einen 10 % </w:t>
      </w:r>
      <w:proofErr w:type="spellStart"/>
      <w:r>
        <w:t>Ansteig</w:t>
      </w:r>
      <w:proofErr w:type="spellEnd"/>
      <w:r>
        <w:t xml:space="preserve"> des Stromverbrauchs zu vermelden hat, um 112 Mrd. kWh mehr</w:t>
      </w:r>
      <w:r>
        <w:rPr>
          <w:rStyle w:val="Funotenzeichen"/>
        </w:rPr>
        <w:footnoteReference w:id="2027"/>
      </w:r>
      <w:r>
        <w:t>, das sind: 112.000.000.000 kWh, 112.000 Gigawattstunden, 112 Terawattstunden, d.h. dass der gesamte Strom durch Windkraft allein von diesen Verbrauchssteigerungen benötigt wurde.</w:t>
      </w:r>
    </w:p>
    <w:p w14:paraId="69BAF4E8" w14:textId="77777777" w:rsidR="002C057C" w:rsidRDefault="002C057C" w:rsidP="002C057C"/>
    <w:tbl>
      <w:tblPr>
        <w:tblStyle w:val="Tabellenraster"/>
        <w:tblW w:w="0" w:type="auto"/>
        <w:tblLook w:val="04A0" w:firstRow="1" w:lastRow="0" w:firstColumn="1" w:lastColumn="0" w:noHBand="0" w:noVBand="1"/>
      </w:tblPr>
      <w:tblGrid>
        <w:gridCol w:w="9062"/>
      </w:tblGrid>
      <w:tr w:rsidR="002C057C" w14:paraId="280C33E5" w14:textId="77777777" w:rsidTr="006660FE">
        <w:tc>
          <w:tcPr>
            <w:tcW w:w="9062" w:type="dxa"/>
          </w:tcPr>
          <w:p w14:paraId="4452657D" w14:textId="77777777" w:rsidR="002C057C" w:rsidRDefault="002C057C" w:rsidP="006660FE">
            <w:r>
              <w:t>Zu handelspolitischen Maßnahmen der EU gegen China, siehe unten das industriepolitische Fazit.</w:t>
            </w:r>
          </w:p>
        </w:tc>
      </w:tr>
    </w:tbl>
    <w:p w14:paraId="6D3BA161" w14:textId="77777777" w:rsidR="002C057C" w:rsidRDefault="002C057C" w:rsidP="00112190"/>
    <w:p w14:paraId="565D0892" w14:textId="77777777" w:rsidR="00AC6D42" w:rsidRDefault="00224A2F" w:rsidP="00AC6D42">
      <w:r>
        <w:rPr>
          <w:u w:val="single"/>
        </w:rPr>
        <w:t xml:space="preserve">Siehe schon oben: </w:t>
      </w:r>
      <w:r w:rsidR="0045135C" w:rsidRPr="002D2774">
        <w:rPr>
          <w:u w:val="single"/>
        </w:rPr>
        <w:t xml:space="preserve">China hat im Jahr 2020 erklärt, dass es bis 2060 </w:t>
      </w:r>
      <w:r w:rsidR="0045135C">
        <w:rPr>
          <w:u w:val="single"/>
        </w:rPr>
        <w:t>k</w:t>
      </w:r>
      <w:r w:rsidR="0045135C" w:rsidRPr="002D2774">
        <w:rPr>
          <w:u w:val="single"/>
        </w:rPr>
        <w:t>limaneutral sein will</w:t>
      </w:r>
      <w:r w:rsidR="0045135C">
        <w:t xml:space="preserve">, darauf hat Joseph Borell, Hoher Vertreter der Europäischen Union für Außen- und Sicherheitspolitik hat mit dieser Rede </w:t>
      </w:r>
      <w:r w:rsidR="005C1317">
        <w:t xml:space="preserve">darauf </w:t>
      </w:r>
      <w:r w:rsidR="0045135C">
        <w:t>reagiert.</w:t>
      </w:r>
      <w:r w:rsidR="0045135C">
        <w:rPr>
          <w:rStyle w:val="Funotenzeichen"/>
        </w:rPr>
        <w:footnoteReference w:id="2028"/>
      </w:r>
      <w:r w:rsidR="0045135C">
        <w:t xml:space="preserve"> Einen Monat davor gab es ein virtuelles Treffen mit Xi Jingping, an dem Angela Merkel als Bundeskanzlerin, Ursula von der Leyen als EU-Kommissionspräsidentin und </w:t>
      </w:r>
      <w:r w:rsidR="0045135C">
        <w:lastRenderedPageBreak/>
        <w:t>Charles Michel, als Präsident des Europäischen Rates teilnahm. Dabei hatte Angela Merkel einen regelmäßigen, hochrangigen Dialog über das Thema Klima angeregt und Kooperation bei einem Emissionshandelssystem angeboten.</w:t>
      </w:r>
      <w:r w:rsidR="0045135C">
        <w:rPr>
          <w:rStyle w:val="Funotenzeichen"/>
        </w:rPr>
        <w:footnoteReference w:id="2029"/>
      </w:r>
      <w:r w:rsidR="0045135C">
        <w:t xml:space="preserve"> </w:t>
      </w:r>
      <w:r w:rsidR="00AC6D42">
        <w:t xml:space="preserve">Aktuell hat Chinas Präsident Xi Jinping am 25.09.2025 beim kurzen Klimagipfel während der UN-Vollversammlung Ende September 2025 versprochen, dass China bis 2025 seine Treibhausemissionen um 7 bis 10 % senken will und die Kapazität Chinas erneuerbaren Energien </w:t>
      </w:r>
      <w:proofErr w:type="spellStart"/>
      <w:r w:rsidR="00AC6D42">
        <w:t>versechsfachen</w:t>
      </w:r>
      <w:proofErr w:type="spellEnd"/>
      <w:r w:rsidR="00AC6D42">
        <w:t xml:space="preserve"> will.</w:t>
      </w:r>
      <w:r w:rsidR="00AC6D42">
        <w:rPr>
          <w:rStyle w:val="Funotenzeichen"/>
        </w:rPr>
        <w:footnoteReference w:id="2030"/>
      </w:r>
      <w:r w:rsidR="00AC6D42">
        <w:t xml:space="preserve"> China will weiterhin den Anteil nichtfossiler Brennstoff am Gesamtenergieverbrauch auf mehr als 30 % bringen.</w:t>
      </w:r>
      <w:r w:rsidR="00AC6D42">
        <w:rPr>
          <w:rStyle w:val="Funotenzeichen"/>
        </w:rPr>
        <w:footnoteReference w:id="2031"/>
      </w:r>
      <w:r w:rsidR="00AC6D42">
        <w:t xml:space="preserve"> </w:t>
      </w:r>
    </w:p>
    <w:p w14:paraId="1D0C5EDA" w14:textId="77777777" w:rsidR="00224A2F" w:rsidRDefault="00224A2F" w:rsidP="0045135C"/>
    <w:p w14:paraId="55BF6127" w14:textId="77777777" w:rsidR="00224A2F" w:rsidRDefault="0045135C" w:rsidP="0045135C">
      <w:r>
        <w:t>China hat am 1. Februar 2021 ein Emissionshandelssystem eingeführt, für 2225 Unternehmen im Energiesektor, anfangs gab es kostenlose Zuteilungen von Berechtigungen. Dadurch wird ein CO2 Preis in China etabliert. Dieses System reguliert 3.500 Mill. Tonnen CO2 bzw. 3,5 Mrd. Tonnen CO2 und ist damit größer als das EU ETS (weltweit stehen die Emissionen bei 53 Mrd. Tonnen).</w:t>
      </w:r>
      <w:r>
        <w:rPr>
          <w:rStyle w:val="Funotenzeichen"/>
        </w:rPr>
        <w:footnoteReference w:id="2032"/>
      </w:r>
      <w:r>
        <w:t xml:space="preserve"> Siehe auch das </w:t>
      </w:r>
      <w:proofErr w:type="gramStart"/>
      <w:r>
        <w:t>NDC Dokument</w:t>
      </w:r>
      <w:proofErr w:type="gramEnd"/>
      <w:r>
        <w:t xml:space="preserve"> von China hier.</w:t>
      </w:r>
      <w:r>
        <w:rPr>
          <w:rStyle w:val="Funotenzeichen"/>
        </w:rPr>
        <w:footnoteReference w:id="2033"/>
      </w:r>
      <w:r>
        <w:t xml:space="preserve"> Zum Thema Emissionshandel gab es zuvor ein deutsches </w:t>
      </w:r>
      <w:proofErr w:type="gramStart"/>
      <w:r>
        <w:t>GIZ Entwicklungshilfe</w:t>
      </w:r>
      <w:proofErr w:type="gramEnd"/>
      <w:r>
        <w:t xml:space="preserve"> bzw. Zusammenarbeits-Projekt 2012 bis 2023.</w:t>
      </w:r>
      <w:r>
        <w:rPr>
          <w:rStyle w:val="Funotenzeichen"/>
        </w:rPr>
        <w:footnoteReference w:id="2034"/>
      </w:r>
      <w:r>
        <w:t xml:space="preserve"> Es gab in den Jahren zuvor eine ganze Reihe von Projekten mit China, mit der GIZ und dem Bundesministerium für Umwelt u.a., siehe diese Übersicht.</w:t>
      </w:r>
      <w:r>
        <w:rPr>
          <w:rStyle w:val="Funotenzeichen"/>
        </w:rPr>
        <w:footnoteReference w:id="2035"/>
      </w:r>
      <w:r>
        <w:t xml:space="preserve"> </w:t>
      </w:r>
    </w:p>
    <w:p w14:paraId="33497B3A" w14:textId="77777777" w:rsidR="00224A2F" w:rsidRDefault="00224A2F" w:rsidP="0045135C"/>
    <w:p w14:paraId="7E3803B9" w14:textId="61F01025" w:rsidR="002F048E" w:rsidRDefault="0045135C" w:rsidP="00112190">
      <w:r>
        <w:t>Die Einführung des EU CBAM 2022 hat China einen Impuls gegeben, sich mit dem Thema CO2 Bestandsaufnahmen für die ganze Wirtschaft zu beschäftigen, um später nicht eine ausländische Einschätzung einfach so hinnehmen zu müssen.</w:t>
      </w:r>
      <w:r>
        <w:rPr>
          <w:rStyle w:val="Funotenzeichen"/>
        </w:rPr>
        <w:footnoteReference w:id="2036"/>
      </w:r>
      <w:r>
        <w:t xml:space="preserve"> </w:t>
      </w:r>
    </w:p>
    <w:p w14:paraId="03B195CA" w14:textId="77777777" w:rsidR="0011437E" w:rsidRDefault="0011437E" w:rsidP="0011437E"/>
    <w:tbl>
      <w:tblPr>
        <w:tblStyle w:val="Tabellenraster"/>
        <w:tblW w:w="0" w:type="auto"/>
        <w:tblLook w:val="04A0" w:firstRow="1" w:lastRow="0" w:firstColumn="1" w:lastColumn="0" w:noHBand="0" w:noVBand="1"/>
      </w:tblPr>
      <w:tblGrid>
        <w:gridCol w:w="9062"/>
      </w:tblGrid>
      <w:tr w:rsidR="0011437E" w14:paraId="4BB231FC" w14:textId="77777777" w:rsidTr="00FC30E3">
        <w:tc>
          <w:tcPr>
            <w:tcW w:w="9062" w:type="dxa"/>
          </w:tcPr>
          <w:p w14:paraId="4ECC21A7" w14:textId="77777777" w:rsidR="0011437E" w:rsidRDefault="0011437E" w:rsidP="00FC30E3">
            <w:r>
              <w:t>CBAM und China. Da China derzeit sehr schnell seine erneuerbaren Energien ausbaut und gleichzeitig Kohlekraftwerke baut, tut sich ein Paradox auf. China könnte grünen Stahl nach Europa exportieren, obwohl es steigende Treibhausemissionen aufweist.</w:t>
            </w:r>
            <w:r>
              <w:rPr>
                <w:rStyle w:val="Funotenzeichen"/>
              </w:rPr>
              <w:footnoteReference w:id="2037"/>
            </w:r>
            <w:r>
              <w:t xml:space="preserve"> Diese Art und Weise der Umgehung ist bisher nicht in der Verordnung beachtet worden, kann aber leicht in die </w:t>
            </w:r>
            <w:proofErr w:type="gramStart"/>
            <w:r>
              <w:t>CBAM Verordnung</w:t>
            </w:r>
            <w:proofErr w:type="gramEnd"/>
            <w:r>
              <w:t xml:space="preserve"> eingefügt werden.</w:t>
            </w:r>
          </w:p>
          <w:p w14:paraId="0833D126" w14:textId="77777777" w:rsidR="0011437E" w:rsidRDefault="0011437E" w:rsidP="00FC30E3"/>
          <w:p w14:paraId="46EB4B3D" w14:textId="77777777" w:rsidR="0011437E" w:rsidRDefault="0011437E" w:rsidP="00FC30E3">
            <w:r>
              <w:t xml:space="preserve">Weiterhin verfügt China über eine Emissionshandelssystem und es will damit ermöglichen, dass chinesische Firmen von den </w:t>
            </w:r>
            <w:proofErr w:type="gramStart"/>
            <w:r>
              <w:t>CBAM Zöllen</w:t>
            </w:r>
            <w:proofErr w:type="gramEnd"/>
            <w:r>
              <w:t xml:space="preserve"> ausgenommen werden. In der Zeit von Klimakommissar Frans Timmermanns gab es sogar einen </w:t>
            </w:r>
            <w:proofErr w:type="gramStart"/>
            <w:r>
              <w:t>CBAM Dialog</w:t>
            </w:r>
            <w:proofErr w:type="gramEnd"/>
            <w:r>
              <w:t xml:space="preserve"> mit China, hier ist der Ansprechpartner Ding </w:t>
            </w:r>
            <w:proofErr w:type="spellStart"/>
            <w:r>
              <w:t>Xuexiang</w:t>
            </w:r>
            <w:proofErr w:type="spellEnd"/>
            <w:r>
              <w:t xml:space="preserve">. In China wird ein protektionistischer </w:t>
            </w:r>
            <w:proofErr w:type="spellStart"/>
            <w:r>
              <w:t>Mißbrauch</w:t>
            </w:r>
            <w:proofErr w:type="spellEnd"/>
            <w:r>
              <w:t xml:space="preserve"> vom CBAM befürchtet, aber einige Personen sehen auch positive Wirkungen auf den Klimaschutz. China baut auch ein CO2-Fussabruck System auf, welches aber noch nicht fertiggestellt ist. Siehe das Interview mit Barbara </w:t>
            </w:r>
            <w:r>
              <w:lastRenderedPageBreak/>
              <w:t>Pongratz, Uni Bremen, vom 22.12.2024.</w:t>
            </w:r>
            <w:r>
              <w:rPr>
                <w:rStyle w:val="Funotenzeichen"/>
              </w:rPr>
              <w:footnoteReference w:id="2038"/>
            </w:r>
            <w:r>
              <w:t xml:space="preserve"> Siehe hier zum Thema Linking von Emissionshandelssystemen.</w:t>
            </w:r>
            <w:r>
              <w:rPr>
                <w:rStyle w:val="Funotenzeichen"/>
              </w:rPr>
              <w:footnoteReference w:id="2039"/>
            </w:r>
          </w:p>
        </w:tc>
      </w:tr>
    </w:tbl>
    <w:p w14:paraId="52BB4826" w14:textId="235B46E0" w:rsidR="001962B0" w:rsidRPr="00137EC0" w:rsidRDefault="001962B0" w:rsidP="001962B0"/>
    <w:tbl>
      <w:tblPr>
        <w:tblStyle w:val="Tabellenraster"/>
        <w:tblW w:w="0" w:type="auto"/>
        <w:tblLook w:val="04A0" w:firstRow="1" w:lastRow="0" w:firstColumn="1" w:lastColumn="0" w:noHBand="0" w:noVBand="1"/>
      </w:tblPr>
      <w:tblGrid>
        <w:gridCol w:w="9062"/>
      </w:tblGrid>
      <w:tr w:rsidR="001962B0" w14:paraId="5723C500" w14:textId="77777777" w:rsidTr="001A0DDD">
        <w:tc>
          <w:tcPr>
            <w:tcW w:w="9062" w:type="dxa"/>
          </w:tcPr>
          <w:p w14:paraId="75CBA973" w14:textId="36F9B865" w:rsidR="001962B0" w:rsidRDefault="001E21C7" w:rsidP="001A0DDD">
            <w:r w:rsidRPr="00137EC0">
              <w:t>Windkraft in China</w:t>
            </w:r>
            <w:r>
              <w:t xml:space="preserve">. </w:t>
            </w:r>
            <w:r w:rsidR="001962B0" w:rsidRPr="009A5F79">
              <w:t xml:space="preserve">China hat </w:t>
            </w:r>
            <w:r w:rsidR="008307DF">
              <w:t xml:space="preserve">Ende 2024 </w:t>
            </w:r>
            <w:r w:rsidR="001962B0" w:rsidRPr="009A5F79">
              <w:t xml:space="preserve">eine Gesamtkapazität </w:t>
            </w:r>
            <w:r w:rsidR="008307DF">
              <w:t>von 520 GW Windkraftl</w:t>
            </w:r>
            <w:r w:rsidR="001962B0" w:rsidRPr="009A5F79">
              <w:t>eistung erreicht</w:t>
            </w:r>
            <w:r w:rsidR="008307DF">
              <w:t xml:space="preserve">, Landwind 478 GW und 41 GW </w:t>
            </w:r>
            <w:proofErr w:type="spellStart"/>
            <w:r w:rsidR="008307DF">
              <w:t>Offhore</w:t>
            </w:r>
            <w:proofErr w:type="spellEnd"/>
            <w:r w:rsidR="008307DF">
              <w:t xml:space="preserve"> Wind</w:t>
            </w:r>
            <w:r w:rsidR="001962B0" w:rsidRPr="009A5F79">
              <w:t>.</w:t>
            </w:r>
            <w:r w:rsidR="008307DF">
              <w:rPr>
                <w:rStyle w:val="Funotenzeichen"/>
              </w:rPr>
              <w:footnoteReference w:id="2040"/>
            </w:r>
            <w:r w:rsidR="001962B0" w:rsidRPr="009A5F79">
              <w:t xml:space="preserve"> 2019 hat Goldwind ein Wind-zu-Wasserstoff Projekt begonnen. Der Gansu Windpark in der Wüste Gobi, eigentlich mehrere Windparks, hat nun 10 GW Leistung. Er hat lange Zeit nicht seine Kapazität nutzen können, da Kabelverbindungen in besiedeltes Gebiet fehlten, dies ist nun behoben.</w:t>
            </w:r>
            <w:r w:rsidR="001962B0">
              <w:rPr>
                <w:rStyle w:val="Funotenzeichen"/>
              </w:rPr>
              <w:footnoteReference w:id="2041"/>
            </w:r>
            <w:r w:rsidR="001962B0">
              <w:t xml:space="preserve"> </w:t>
            </w:r>
            <w:bookmarkStart w:id="113" w:name="_Hlk195302032"/>
            <w:r w:rsidR="001962B0">
              <w:t>Erst spät hat China gelernt Offshore Anlagen zu bauen, und 2021 viel gebaut, 17 GW, nun hat es 26 GW Offshore Kapazität.</w:t>
            </w:r>
            <w:r w:rsidR="001962B0">
              <w:rPr>
                <w:rStyle w:val="Funotenzeichen"/>
              </w:rPr>
              <w:footnoteReference w:id="2042"/>
            </w:r>
            <w:r w:rsidR="001962B0">
              <w:t xml:space="preserve"> </w:t>
            </w:r>
            <w:bookmarkEnd w:id="113"/>
            <w:r w:rsidR="001962B0">
              <w:t xml:space="preserve">Zu Vergleich: Deutschland verfügt über 66 GW Windenergie Leistung, davon 8 GW Offshore …. somit sind wir eigentlich gar nicht so schlecht … Die chinesischen Hersteller wie Goldwind sind groß, aber bisher nicht auf den Weltmärkten erfolgreich, weil ihre Qualität bezweifelt wird bzw. man Wartung durch Firmen benötigt, die vor Ort sind. Goldwind hat allerdings bereits Windparks in den USA und anderen Ländern gebaut. Goldwind hat </w:t>
            </w:r>
            <w:r w:rsidR="008307DF">
              <w:t xml:space="preserve">u.a. </w:t>
            </w:r>
            <w:r w:rsidR="001962B0">
              <w:t xml:space="preserve">durch den Kauf </w:t>
            </w:r>
            <w:r w:rsidR="008307DF">
              <w:t xml:space="preserve">der </w:t>
            </w:r>
            <w:r w:rsidR="001962B0">
              <w:t xml:space="preserve">deutschen Firma </w:t>
            </w:r>
            <w:proofErr w:type="spellStart"/>
            <w:r w:rsidR="001962B0">
              <w:t>Vensys</w:t>
            </w:r>
            <w:proofErr w:type="spellEnd"/>
            <w:r w:rsidR="001962B0">
              <w:t xml:space="preserve"> die Qualität seiner Turbinen stark verbessern können, siehe Hermanns (2020).</w:t>
            </w:r>
            <w:r w:rsidR="001962B0">
              <w:rPr>
                <w:rStyle w:val="Funotenzeichen"/>
              </w:rPr>
              <w:footnoteReference w:id="2043"/>
            </w:r>
          </w:p>
          <w:p w14:paraId="2130A434" w14:textId="77777777" w:rsidR="001962B0" w:rsidRDefault="001962B0" w:rsidP="001A0DDD"/>
          <w:p w14:paraId="597564B2" w14:textId="77777777" w:rsidR="001962B0" w:rsidRDefault="001962B0" w:rsidP="001A0DDD">
            <w:r>
              <w:t xml:space="preserve">Langsam ändert sich dies. Der Windturbinenhersteller Ming Yang hat 2022 erstmals in Europa Windturbinen für einen Offshore-Windpark geliefert. Dieser ist der kleine, 30 MW Windpark </w:t>
            </w:r>
            <w:proofErr w:type="spellStart"/>
            <w:r>
              <w:t>Beleolico</w:t>
            </w:r>
            <w:proofErr w:type="spellEnd"/>
            <w:r>
              <w:t xml:space="preserve"> bei Taranto. Ming Yang ist zudem eine strategische Partnerschaft mit der englischen </w:t>
            </w:r>
            <w:proofErr w:type="spellStart"/>
            <w:r>
              <w:t>Opergy</w:t>
            </w:r>
            <w:proofErr w:type="spellEnd"/>
            <w:r>
              <w:t xml:space="preserve"> Group eingegangen, um in England Offshore Windparks bauen zu können. Ming Yang hat eine große Turbine entwickelt, </w:t>
            </w:r>
            <w:proofErr w:type="spellStart"/>
            <w:r>
              <w:t>MySE</w:t>
            </w:r>
            <w:proofErr w:type="spellEnd"/>
            <w:r>
              <w:t xml:space="preserve"> 16-260 und ebenso eine sehr große Windenergieanlage vorgestellt. Ming Yang baut </w:t>
            </w:r>
            <w:r w:rsidR="008307DF">
              <w:t xml:space="preserve">im Auftrag von </w:t>
            </w:r>
            <w:r>
              <w:t xml:space="preserve">BASF zusammen einen Windpark vor der Küste Guangdongs. Bisher ist das eine Ausnahme, in Europa werden nur Turbinen von europäischen Herstellern eingesetzt, es dominieren Siemens Gamesa, Vestas und GE. Es gibt 250 Fabriken, die in Europa Turbinen und Komponenten herstellen. </w:t>
            </w:r>
            <w:proofErr w:type="spellStart"/>
            <w:r>
              <w:t>Dajin</w:t>
            </w:r>
            <w:proofErr w:type="spellEnd"/>
            <w:r>
              <w:t xml:space="preserve"> Offshore hat 104 Fundamente für RWE geliefert, für einen Windpark in der Nordsee, wohlgemerkt noch keine Türme.</w:t>
            </w:r>
            <w:r>
              <w:rPr>
                <w:rStyle w:val="Funotenzeichen"/>
              </w:rPr>
              <w:footnoteReference w:id="2044"/>
            </w:r>
            <w:r>
              <w:t xml:space="preserve"> </w:t>
            </w:r>
          </w:p>
          <w:p w14:paraId="5E1C8D78" w14:textId="77777777" w:rsidR="005A55C1" w:rsidRDefault="005A55C1" w:rsidP="001A0DDD"/>
          <w:p w14:paraId="53FAC9FD" w14:textId="3357CD07" w:rsidR="005A55C1" w:rsidRPr="009A5F79" w:rsidRDefault="005A55C1" w:rsidP="001A0DDD">
            <w:r>
              <w:t>Für den Windpark Waterkant vor Borkum hat</w:t>
            </w:r>
            <w:r w:rsidR="00744078">
              <w:t>te</w:t>
            </w:r>
            <w:r>
              <w:t xml:space="preserve"> der Investor </w:t>
            </w:r>
            <w:proofErr w:type="spellStart"/>
            <w:r>
              <w:t>Luxcara</w:t>
            </w:r>
            <w:proofErr w:type="spellEnd"/>
            <w:r>
              <w:t xml:space="preserve"> 16 Windkraftanlagen von Ming Yang bestellt, diesmal 18 MW Anlagen, Typ: MySE18.5-260, mit 260 Meter Rotordurchmesser, als Grund für den Auftrag an China wird Zeitnot genannt, implizit aber auch günstige Preise angedeutet, siehe diesen FAZ-Artikel.</w:t>
            </w:r>
            <w:r>
              <w:rPr>
                <w:rStyle w:val="Funotenzeichen"/>
              </w:rPr>
              <w:footnoteReference w:id="2045"/>
            </w:r>
            <w:r w:rsidR="00744078">
              <w:t xml:space="preserve"> Diese Entscheidung wurde aber nun wieder verändert, </w:t>
            </w:r>
            <w:proofErr w:type="spellStart"/>
            <w:r w:rsidR="00744078">
              <w:t>Luxcara</w:t>
            </w:r>
            <w:proofErr w:type="spellEnd"/>
            <w:r w:rsidR="00744078">
              <w:t xml:space="preserve"> hat den Vertrag mit Ming Yang aufgelöst und will nun doch Siemens 15,5 MW Turbinen einsetzen.</w:t>
            </w:r>
            <w:r w:rsidR="00744078">
              <w:rPr>
                <w:rStyle w:val="Funotenzeichen"/>
              </w:rPr>
              <w:footnoteReference w:id="2046"/>
            </w:r>
            <w:r w:rsidR="00744078">
              <w:t xml:space="preserve"> </w:t>
            </w:r>
          </w:p>
        </w:tc>
      </w:tr>
    </w:tbl>
    <w:p w14:paraId="39FCCD2C" w14:textId="77777777" w:rsidR="00306E11" w:rsidRDefault="00306E11" w:rsidP="00112190"/>
    <w:tbl>
      <w:tblPr>
        <w:tblStyle w:val="Tabellenraster"/>
        <w:tblW w:w="0" w:type="auto"/>
        <w:tblLook w:val="04A0" w:firstRow="1" w:lastRow="0" w:firstColumn="1" w:lastColumn="0" w:noHBand="0" w:noVBand="1"/>
      </w:tblPr>
      <w:tblGrid>
        <w:gridCol w:w="9062"/>
      </w:tblGrid>
      <w:tr w:rsidR="00E2003B" w14:paraId="22188159" w14:textId="77777777" w:rsidTr="00E2003B">
        <w:tc>
          <w:tcPr>
            <w:tcW w:w="9062" w:type="dxa"/>
          </w:tcPr>
          <w:p w14:paraId="140DF9F6" w14:textId="5D417B30" w:rsidR="00E2003B" w:rsidRDefault="00E2003B" w:rsidP="00E2003B">
            <w:r>
              <w:lastRenderedPageBreak/>
              <w:t xml:space="preserve">Box </w:t>
            </w:r>
            <w:r w:rsidR="00C37D23">
              <w:t xml:space="preserve">Können </w:t>
            </w:r>
            <w:r w:rsidR="000A2390">
              <w:t>h</w:t>
            </w:r>
            <w:r>
              <w:t>underte Atomkraftwerke</w:t>
            </w:r>
            <w:r w:rsidR="00C37D23">
              <w:t xml:space="preserve"> </w:t>
            </w:r>
            <w:r w:rsidR="000A2390">
              <w:t>den Strombedarf von China produzieren</w:t>
            </w:r>
            <w:r>
              <w:t xml:space="preserve">? Was wäre, wenn man China bis 2050 den Aufbau von hunderten Atomkraftwerken finanzieren würde? Wie viel Strom produziert ein Atomkraftwerk: 1000 MW * 8760 = 8.769.000 MWh pro Jahr, gleichbedeutend mit 8769 Gigawattstunden, bei Volllast. </w:t>
            </w:r>
          </w:p>
          <w:p w14:paraId="0AE8166F" w14:textId="01D5AC2F" w:rsidR="00E2003B" w:rsidRDefault="00E2003B" w:rsidP="00E2003B">
            <w:r>
              <w:t xml:space="preserve">China hat einen Stromverbrauch von </w:t>
            </w:r>
            <w:r w:rsidRPr="00E77118">
              <w:t>7.500.000 Gigawattstunden</w:t>
            </w:r>
            <w:r>
              <w:rPr>
                <w:rStyle w:val="Funotenzeichen"/>
              </w:rPr>
              <w:t>.</w:t>
            </w:r>
            <w:r>
              <w:rPr>
                <w:rStyle w:val="Funotenzeichen"/>
              </w:rPr>
              <w:footnoteReference w:id="2047"/>
            </w:r>
            <w:r>
              <w:t xml:space="preserve"> India hat einen Stromverbrauch von 1.628.000 Gigawattstunden.</w:t>
            </w:r>
            <w:r>
              <w:rPr>
                <w:rStyle w:val="Funotenzeichen"/>
              </w:rPr>
              <w:footnoteReference w:id="2048"/>
            </w:r>
            <w:r>
              <w:t xml:space="preserve"> In Atomkraftwerken gerechnet, die eine Leistung von ungefähr 8000 Gigawattstunden pro Jahr haben (</w:t>
            </w:r>
            <w:proofErr w:type="gramStart"/>
            <w:r>
              <w:t>nicht  ganz</w:t>
            </w:r>
            <w:proofErr w:type="gramEnd"/>
            <w:r>
              <w:t xml:space="preserve"> Volllast, um Wartungen etc. zu ermöglichen </w:t>
            </w:r>
            <w:proofErr w:type="gramStart"/>
            <w:r>
              <w:t>… )</w:t>
            </w:r>
            <w:proofErr w:type="gramEnd"/>
            <w:r>
              <w:t xml:space="preserve">, ergeben sich folgende Kosten: China würde zur Deckung seines Strombedarfs </w:t>
            </w:r>
            <w:r w:rsidRPr="00C064E2">
              <w:rPr>
                <w:u w:val="single"/>
              </w:rPr>
              <w:t>937 Atomkraftwerke</w:t>
            </w:r>
            <w:r>
              <w:t xml:space="preserve"> benötigen. Dies würde bei Kosten von 10 Mrd. Euro pro Kernkraftwerke 9375 Mrd. Euro kosten. Derzeit sind in China an 16 Standorten 55 Reaktoren in Betrieb, 23 in Bau, 11 genehmigt, Kernenergie hat einen Anteil von 5 % an der Gesamtstromversorgung.</w:t>
            </w:r>
            <w:r>
              <w:rPr>
                <w:rStyle w:val="Funotenzeichen"/>
              </w:rPr>
              <w:footnoteReference w:id="2049"/>
            </w:r>
            <w:r>
              <w:t xml:space="preserve"> Indien würde zur Deckung seines Strombedarfs 203 Atomkraftwerke benötigen, dies würde bei Kosten von 10 Mrd.  pro Kernkraftwerk 2035 Mrd. Euro kosten. Derzeit sind in Indien an 7 Standorten 22 Reaktorblöcke aktiv, 8 weitere Blöcke sind in Bau, Kernenergie hat einen Anteil von 3,2 % an der Gesamtstromversorgung.</w:t>
            </w:r>
            <w:r>
              <w:rPr>
                <w:rStyle w:val="Funotenzeichen"/>
              </w:rPr>
              <w:footnoteReference w:id="2050"/>
            </w:r>
            <w:r>
              <w:t xml:space="preserve"> Dies wäre ein sehr großer Schritt bei der Bekämpfung des Klimawandel und würde 11.410 Mrd. Euro kosten. China hat einen Staatshaushalt (US$) von 3983 Mrd. Einnahmen und 4893 Mrd. Ausgaben. </w:t>
            </w:r>
            <w:r w:rsidR="008307DF">
              <w:t xml:space="preserve">Zum Vergleich: </w:t>
            </w:r>
            <w:r>
              <w:t>Die USA haben 6429 Einnahmen und 7647 Mrd. Ausgaben. Indien hat 495 Mrd. Einnahmen und 818 Mrd. Ausgaben</w:t>
            </w:r>
            <w:r w:rsidRPr="00C205D8">
              <w:t xml:space="preserve"> </w:t>
            </w:r>
            <w:r>
              <w:t>(Angaben CIA).</w:t>
            </w:r>
            <w:r>
              <w:rPr>
                <w:rStyle w:val="Funotenzeichen"/>
              </w:rPr>
              <w:footnoteReference w:id="2051"/>
            </w:r>
            <w:r>
              <w:t xml:space="preserve"> Deutschland hat 889,7 Mrd. Euro Einnahmen und 965,8 Mrd., Ausgaben, mit einem -76,1 Mrd. Die Haushalte der Länder sind nahezu ausgeglichen, der Bund trägt alle Defizite.</w:t>
            </w:r>
            <w:r>
              <w:rPr>
                <w:rStyle w:val="Funotenzeichen"/>
              </w:rPr>
              <w:footnoteReference w:id="2052"/>
            </w:r>
            <w:r>
              <w:t xml:space="preserve">  Der Saudi-Arabische Ölkonzern Aramco hat einen Jahresgewinn von 151 Mrd. Euro (2022).</w:t>
            </w:r>
            <w:r>
              <w:rPr>
                <w:rStyle w:val="Funotenzeichen"/>
              </w:rPr>
              <w:footnoteReference w:id="2053"/>
            </w:r>
            <w:r>
              <w:t xml:space="preserve"> </w:t>
            </w:r>
          </w:p>
          <w:p w14:paraId="2F492783" w14:textId="77777777" w:rsidR="008307DF" w:rsidRDefault="008307DF" w:rsidP="00E2003B"/>
          <w:p w14:paraId="0970152B" w14:textId="77777777" w:rsidR="00E2003B" w:rsidRDefault="00E2003B" w:rsidP="00E2003B">
            <w:r>
              <w:t xml:space="preserve">Wie viel Jahre sind es bis 2050, 24 Jahre, passt doch, 12000 Mrd. durch 24 = 500 Mrd. es müssten pro Jahr 500 Mrd. finanziert werden. Wenn dies 11 Länder versuchen würden: USA, Kanada, Brasilien, Spanien, Frankreich, Deutschland, Norwegen, Italien, Polen, </w:t>
            </w:r>
            <w:proofErr w:type="gramStart"/>
            <w:r>
              <w:t>Saudi Arabien</w:t>
            </w:r>
            <w:proofErr w:type="gramEnd"/>
            <w:r>
              <w:t xml:space="preserve"> und Australien, wären dies pro Land 45 Mrd., ganz schon viel, aber machbar, speziell wenn etwa die USA und Kanada sowie Norwegen etwas mehr zahlen würden und China einen eigenen Beitrag leisten würde.</w:t>
            </w:r>
          </w:p>
          <w:p w14:paraId="42DD8913" w14:textId="77777777" w:rsidR="000A2390" w:rsidRDefault="000A2390" w:rsidP="00E2003B"/>
          <w:p w14:paraId="2BE8DA7B" w14:textId="77777777" w:rsidR="00E2003B" w:rsidRDefault="00E2003B" w:rsidP="00E2003B">
            <w:r>
              <w:t xml:space="preserve">500 Mrd. USA, Kanada, China, je 80 Mrd., = 240 Mrd. 260 Mrd. verteilt auf 9 sind nur noch 28 Mrd. pro Jahr. Kurz: man sieht, dass bei dieser Rechnung Flexibilität besteht, man könnte auch einen Teil der Kernkraftwerke privat finanzieren lassen und hier die Stromproduktion subventionieren.  </w:t>
            </w:r>
          </w:p>
          <w:p w14:paraId="1F125B94" w14:textId="77777777" w:rsidR="00E2003B" w:rsidRDefault="00E2003B" w:rsidP="00E2003B"/>
          <w:p w14:paraId="1E500DC4" w14:textId="77777777" w:rsidR="00E2003B" w:rsidRDefault="00E2003B" w:rsidP="00E2003B">
            <w:r>
              <w:t xml:space="preserve">Mit 500 Mrd. könnte man 50 Kernkraftwerke jährlich bauen, dies ist vielleicht möglich, aber alle Hersteller müssten an das Kapazitätslimit gehen. Ob das geht ist aber nicht so wichtig </w:t>
            </w:r>
            <w:proofErr w:type="gramStart"/>
            <w:r>
              <w:t>…</w:t>
            </w:r>
            <w:proofErr w:type="gramEnd"/>
            <w:r>
              <w:t xml:space="preserve"> weil es leider keinen Sinn macht, Problem sind nämlich die Uranvorräte.</w:t>
            </w:r>
          </w:p>
          <w:p w14:paraId="002CD93F" w14:textId="77777777" w:rsidR="00E2003B" w:rsidRDefault="00E2003B" w:rsidP="00E2003B"/>
          <w:p w14:paraId="5396EC79" w14:textId="77777777" w:rsidR="00E2003B" w:rsidRDefault="00E2003B" w:rsidP="00E2003B">
            <w:r>
              <w:t xml:space="preserve">Problem: Uranvorräte, in einer Studie von 2006 werden als hinreichend gesicherte Vorräte, zu einem höheren Abbaupreis von max. 130 $/kg </w:t>
            </w:r>
            <w:proofErr w:type="gramStart"/>
            <w:r>
              <w:t>eine Mengen</w:t>
            </w:r>
            <w:proofErr w:type="gramEnd"/>
            <w:r>
              <w:t xml:space="preserve"> von 3.169.000 Tonnen angesehen </w:t>
            </w:r>
            <w:r>
              <w:lastRenderedPageBreak/>
              <w:t>(Reichweite 47 Jahre), im optimistischsten Szenario eine Menge von 11.280.000 Tonnen (Reichweite 166 Jahre). Der Verbrauch lag bei jährlich 69.000 Tonnen, die Produktion bei 40.657 Tonnen (2004).</w:t>
            </w:r>
            <w:r>
              <w:rPr>
                <w:rStyle w:val="Funotenzeichen"/>
              </w:rPr>
              <w:footnoteReference w:id="2054"/>
            </w:r>
            <w:r>
              <w:t xml:space="preserve"> Derzeit beträgt die Produktion etwa mehr: 48.332 Tonnen (2021).</w:t>
            </w:r>
            <w:r>
              <w:rPr>
                <w:rStyle w:val="Funotenzeichen"/>
              </w:rPr>
              <w:footnoteReference w:id="2055"/>
            </w:r>
          </w:p>
          <w:p w14:paraId="5FFACCB3" w14:textId="77777777" w:rsidR="00E2003B" w:rsidRDefault="00E2003B" w:rsidP="00E2003B"/>
          <w:p w14:paraId="338BE916" w14:textId="77777777" w:rsidR="00E2003B" w:rsidRDefault="00E2003B" w:rsidP="00E2003B">
            <w:r>
              <w:t xml:space="preserve">Seriöse Quelle ist hier das OECD </w:t>
            </w:r>
            <w:proofErr w:type="spellStart"/>
            <w:r>
              <w:t>Red</w:t>
            </w:r>
            <w:proofErr w:type="spellEnd"/>
            <w:r>
              <w:t xml:space="preserve"> Book (2023), hier wird 7.917.500 Tonnen (</w:t>
            </w:r>
            <w:proofErr w:type="spellStart"/>
            <w:r>
              <w:t>identified</w:t>
            </w:r>
            <w:proofErr w:type="spellEnd"/>
            <w:r>
              <w:t xml:space="preserve"> </w:t>
            </w:r>
            <w:proofErr w:type="spellStart"/>
            <w:r>
              <w:t>recoverable</w:t>
            </w:r>
            <w:proofErr w:type="spellEnd"/>
            <w:r>
              <w:t xml:space="preserve"> </w:t>
            </w:r>
            <w:proofErr w:type="spellStart"/>
            <w:r>
              <w:t>resources</w:t>
            </w:r>
            <w:proofErr w:type="spellEnd"/>
            <w:r>
              <w:t xml:space="preserve">) und 10.671.800 angegeben (in situ </w:t>
            </w:r>
            <w:proofErr w:type="spellStart"/>
            <w:r>
              <w:t>resources</w:t>
            </w:r>
            <w:proofErr w:type="spellEnd"/>
            <w:r>
              <w:t>).</w:t>
            </w:r>
            <w:r>
              <w:rPr>
                <w:rStyle w:val="Funotenzeichen"/>
              </w:rPr>
              <w:footnoteReference w:id="2056"/>
            </w:r>
          </w:p>
          <w:p w14:paraId="6FC90629" w14:textId="77777777" w:rsidR="00E2003B" w:rsidRDefault="00E2003B" w:rsidP="00E2003B"/>
          <w:p w14:paraId="5BA9F493" w14:textId="778EBC21" w:rsidR="00E2003B" w:rsidRDefault="00E2003B" w:rsidP="00112190">
            <w:r>
              <w:t>Weltweit gibt es derzeit 410 Reaktoren</w:t>
            </w:r>
            <w:r>
              <w:rPr>
                <w:rStyle w:val="Funotenzeichen"/>
              </w:rPr>
              <w:footnoteReference w:id="2057"/>
            </w:r>
            <w:r>
              <w:t xml:space="preserve">, 57 sind im Bau, siehe </w:t>
            </w:r>
            <w:r w:rsidRPr="00673CBE">
              <w:t xml:space="preserve">Power </w:t>
            </w:r>
            <w:proofErr w:type="spellStart"/>
            <w:r w:rsidRPr="00673CBE">
              <w:t>Reactor</w:t>
            </w:r>
            <w:proofErr w:type="spellEnd"/>
            <w:r w:rsidRPr="00673CBE">
              <w:t xml:space="preserve"> Information System (PRIS)</w:t>
            </w:r>
            <w:r>
              <w:t>.</w:t>
            </w:r>
            <w:r>
              <w:rPr>
                <w:rStyle w:val="Funotenzeichen"/>
              </w:rPr>
              <w:footnoteReference w:id="2058"/>
            </w:r>
            <w:r w:rsidR="008307DF">
              <w:t xml:space="preserve"> </w:t>
            </w:r>
            <w:r>
              <w:t xml:space="preserve">Würde man nun in China 937 Reaktionen bauen, was passiert dann? 410 Reaktoren verbrauchen ca. 50.000 Tonnen Uran, ca. 1500 Reaktoren würden ungefähr das dreifache verbrauche, 150.000 Tonnen, das würde 20 Jahre reichen!  Daran sieht man schon: es geht nur mit einem Mix von Energien und erneuerbare Energien müssen eine Rolle spielen. </w:t>
            </w:r>
          </w:p>
        </w:tc>
      </w:tr>
    </w:tbl>
    <w:p w14:paraId="6915CF7C" w14:textId="77777777" w:rsidR="00306E11" w:rsidRDefault="00306E11" w:rsidP="00112190"/>
    <w:p w14:paraId="1795FF24" w14:textId="77777777" w:rsidR="00E57DF7" w:rsidRDefault="00E57DF7" w:rsidP="00E57DF7">
      <w:bookmarkStart w:id="114" w:name="_Hlk203830223"/>
      <w:r>
        <w:t xml:space="preserve">Es bleibt unverständlich, </w:t>
      </w:r>
      <w:r w:rsidRPr="001E21C7">
        <w:rPr>
          <w:u w:val="single"/>
        </w:rPr>
        <w:t>warum China nicht viel entschiedener zum Abbau von Kohlekraftwerken gedrängt wird</w:t>
      </w:r>
      <w:r>
        <w:t xml:space="preserve">, auf der COP28 wurde erstmals davon gesprochen: Art. 28 (b) </w:t>
      </w:r>
      <w:proofErr w:type="spellStart"/>
      <w:r w:rsidRPr="005B74DE">
        <w:t>Accelerating</w:t>
      </w:r>
      <w:proofErr w:type="spellEnd"/>
      <w:r w:rsidRPr="005B74DE">
        <w:t xml:space="preserve"> </w:t>
      </w:r>
      <w:proofErr w:type="spellStart"/>
      <w:r w:rsidRPr="005B74DE">
        <w:t>efforts</w:t>
      </w:r>
      <w:proofErr w:type="spellEnd"/>
      <w:r w:rsidRPr="005B74DE">
        <w:t xml:space="preserve"> </w:t>
      </w:r>
      <w:proofErr w:type="spellStart"/>
      <w:r w:rsidRPr="005B74DE">
        <w:t>towards</w:t>
      </w:r>
      <w:proofErr w:type="spellEnd"/>
      <w:r w:rsidRPr="005B74DE">
        <w:t xml:space="preserve"> </w:t>
      </w:r>
      <w:proofErr w:type="spellStart"/>
      <w:r w:rsidRPr="005B74DE">
        <w:t>the</w:t>
      </w:r>
      <w:proofErr w:type="spellEnd"/>
      <w:r w:rsidRPr="005B74DE">
        <w:t xml:space="preserve"> </w:t>
      </w:r>
      <w:proofErr w:type="spellStart"/>
      <w:r w:rsidRPr="005B74DE">
        <w:t>phase</w:t>
      </w:r>
      <w:proofErr w:type="spellEnd"/>
      <w:r w:rsidRPr="005B74DE">
        <w:t xml:space="preserve">-down </w:t>
      </w:r>
      <w:proofErr w:type="spellStart"/>
      <w:r w:rsidRPr="005B74DE">
        <w:t>of</w:t>
      </w:r>
      <w:proofErr w:type="spellEnd"/>
      <w:r w:rsidRPr="005B74DE">
        <w:t xml:space="preserve"> </w:t>
      </w:r>
      <w:proofErr w:type="spellStart"/>
      <w:r w:rsidRPr="005B74DE">
        <w:t>unabated</w:t>
      </w:r>
      <w:proofErr w:type="spellEnd"/>
      <w:r w:rsidRPr="005B74DE">
        <w:t xml:space="preserve"> </w:t>
      </w:r>
      <w:proofErr w:type="spellStart"/>
      <w:r w:rsidRPr="005B74DE">
        <w:t>coal</w:t>
      </w:r>
      <w:proofErr w:type="spellEnd"/>
      <w:r w:rsidRPr="005B74DE">
        <w:t xml:space="preserve"> power</w:t>
      </w:r>
      <w:r>
        <w:t xml:space="preserve"> und (d</w:t>
      </w:r>
      <w:proofErr w:type="gramStart"/>
      <w:r>
        <w:t xml:space="preserve">)  </w:t>
      </w:r>
      <w:proofErr w:type="spellStart"/>
      <w:r w:rsidRPr="005B74DE">
        <w:t>Transitioning</w:t>
      </w:r>
      <w:proofErr w:type="spellEnd"/>
      <w:proofErr w:type="gramEnd"/>
      <w:r w:rsidRPr="005B74DE">
        <w:t xml:space="preserve"> </w:t>
      </w:r>
      <w:proofErr w:type="spellStart"/>
      <w:r w:rsidRPr="005B74DE">
        <w:t>away</w:t>
      </w:r>
      <w:proofErr w:type="spellEnd"/>
      <w:r w:rsidRPr="005B74DE">
        <w:t xml:space="preserve"> </w:t>
      </w:r>
      <w:proofErr w:type="spellStart"/>
      <w:r w:rsidRPr="005B74DE">
        <w:t>from</w:t>
      </w:r>
      <w:proofErr w:type="spellEnd"/>
      <w:r w:rsidRPr="005B74DE">
        <w:t xml:space="preserve"> fossil </w:t>
      </w:r>
      <w:proofErr w:type="spellStart"/>
      <w:r w:rsidRPr="005B74DE">
        <w:t>fuels</w:t>
      </w:r>
      <w:proofErr w:type="spellEnd"/>
      <w:r w:rsidRPr="005B74DE">
        <w:t xml:space="preserve"> in </w:t>
      </w:r>
      <w:proofErr w:type="spellStart"/>
      <w:r w:rsidRPr="005B74DE">
        <w:t>energy</w:t>
      </w:r>
      <w:proofErr w:type="spellEnd"/>
      <w:r w:rsidRPr="005B74DE">
        <w:t xml:space="preserve"> </w:t>
      </w:r>
      <w:proofErr w:type="spellStart"/>
      <w:r w:rsidRPr="005B74DE">
        <w:t>systems</w:t>
      </w:r>
      <w:proofErr w:type="spellEnd"/>
      <w:r w:rsidRPr="005B74DE">
        <w:t xml:space="preserve">, in a just, </w:t>
      </w:r>
      <w:proofErr w:type="spellStart"/>
      <w:r w:rsidRPr="005B74DE">
        <w:t>orderly</w:t>
      </w:r>
      <w:proofErr w:type="spellEnd"/>
      <w:r w:rsidRPr="005B74DE">
        <w:t xml:space="preserve"> and </w:t>
      </w:r>
      <w:proofErr w:type="spellStart"/>
      <w:r w:rsidRPr="005B74DE">
        <w:t>equitable</w:t>
      </w:r>
      <w:proofErr w:type="spellEnd"/>
      <w:r w:rsidRPr="005B74DE">
        <w:t xml:space="preserve"> </w:t>
      </w:r>
      <w:proofErr w:type="spellStart"/>
      <w:r w:rsidRPr="005B74DE">
        <w:t>manner</w:t>
      </w:r>
      <w:proofErr w:type="spellEnd"/>
      <w:r w:rsidRPr="005B74DE">
        <w:t xml:space="preserve">, </w:t>
      </w:r>
      <w:proofErr w:type="spellStart"/>
      <w:r w:rsidRPr="005B74DE">
        <w:t>accelerating</w:t>
      </w:r>
      <w:proofErr w:type="spellEnd"/>
      <w:r w:rsidRPr="005B74DE">
        <w:t xml:space="preserve"> </w:t>
      </w:r>
      <w:proofErr w:type="spellStart"/>
      <w:r w:rsidRPr="005B74DE">
        <w:t>action</w:t>
      </w:r>
      <w:proofErr w:type="spellEnd"/>
      <w:r w:rsidRPr="005B74DE">
        <w:t xml:space="preserve"> in </w:t>
      </w:r>
      <w:proofErr w:type="spellStart"/>
      <w:r w:rsidRPr="005B74DE">
        <w:t>this</w:t>
      </w:r>
      <w:proofErr w:type="spellEnd"/>
      <w:r w:rsidRPr="005B74DE">
        <w:t xml:space="preserve"> </w:t>
      </w:r>
      <w:proofErr w:type="spellStart"/>
      <w:r w:rsidRPr="005B74DE">
        <w:t>critical</w:t>
      </w:r>
      <w:proofErr w:type="spellEnd"/>
      <w:r w:rsidRPr="005B74DE">
        <w:t xml:space="preserve"> </w:t>
      </w:r>
      <w:proofErr w:type="spellStart"/>
      <w:r w:rsidRPr="005B74DE">
        <w:t>decade</w:t>
      </w:r>
      <w:proofErr w:type="spellEnd"/>
      <w:r w:rsidRPr="005B74DE">
        <w:t xml:space="preserve">, so </w:t>
      </w:r>
      <w:proofErr w:type="spellStart"/>
      <w:r w:rsidRPr="005B74DE">
        <w:t>as</w:t>
      </w:r>
      <w:proofErr w:type="spellEnd"/>
      <w:r w:rsidRPr="005B74DE">
        <w:t xml:space="preserve"> </w:t>
      </w:r>
      <w:proofErr w:type="spellStart"/>
      <w:r w:rsidRPr="005B74DE">
        <w:t>to</w:t>
      </w:r>
      <w:proofErr w:type="spellEnd"/>
      <w:r w:rsidRPr="005B74DE">
        <w:t xml:space="preserve"> </w:t>
      </w:r>
      <w:proofErr w:type="spellStart"/>
      <w:r w:rsidRPr="005B74DE">
        <w:t>achieve</w:t>
      </w:r>
      <w:proofErr w:type="spellEnd"/>
      <w:r w:rsidRPr="005B74DE">
        <w:t xml:space="preserve"> </w:t>
      </w:r>
      <w:proofErr w:type="spellStart"/>
      <w:r w:rsidRPr="005B74DE">
        <w:t>net</w:t>
      </w:r>
      <w:proofErr w:type="spellEnd"/>
      <w:r w:rsidRPr="005B74DE">
        <w:t xml:space="preserve"> </w:t>
      </w:r>
      <w:proofErr w:type="spellStart"/>
      <w:r w:rsidRPr="005B74DE">
        <w:t>zero</w:t>
      </w:r>
      <w:proofErr w:type="spellEnd"/>
      <w:r w:rsidRPr="005B74DE">
        <w:t xml:space="preserve"> </w:t>
      </w:r>
      <w:proofErr w:type="spellStart"/>
      <w:r w:rsidRPr="005B74DE">
        <w:t>by</w:t>
      </w:r>
      <w:proofErr w:type="spellEnd"/>
      <w:r w:rsidRPr="005B74DE">
        <w:t xml:space="preserve"> 2050 in </w:t>
      </w:r>
      <w:proofErr w:type="spellStart"/>
      <w:r w:rsidRPr="005B74DE">
        <w:t>keeping</w:t>
      </w:r>
      <w:proofErr w:type="spellEnd"/>
      <w:r w:rsidRPr="005B74DE">
        <w:t xml:space="preserve"> </w:t>
      </w:r>
      <w:proofErr w:type="spellStart"/>
      <w:r w:rsidRPr="005B74DE">
        <w:t>with</w:t>
      </w:r>
      <w:proofErr w:type="spellEnd"/>
      <w:r w:rsidRPr="005B74DE">
        <w:t xml:space="preserve"> </w:t>
      </w:r>
      <w:proofErr w:type="spellStart"/>
      <w:r w:rsidRPr="005B74DE">
        <w:t>the</w:t>
      </w:r>
      <w:proofErr w:type="spellEnd"/>
      <w:r w:rsidRPr="005B74DE">
        <w:t xml:space="preserve"> </w:t>
      </w:r>
      <w:proofErr w:type="spellStart"/>
      <w:r w:rsidRPr="005B74DE">
        <w:t>science</w:t>
      </w:r>
      <w:proofErr w:type="spellEnd"/>
      <w:r>
        <w:t>.“</w:t>
      </w:r>
    </w:p>
    <w:p w14:paraId="7069C644" w14:textId="77777777" w:rsidR="00E57DF7" w:rsidRDefault="00E57DF7" w:rsidP="00E57DF7"/>
    <w:p w14:paraId="24E815C4" w14:textId="77777777" w:rsidR="00E57DF7" w:rsidRDefault="00E57DF7" w:rsidP="00E57DF7">
      <w:r>
        <w:t>Es gibt mittlerweile mehrere Initiativen, auch die sog. JETPs … aber ein ganz großer Versuch nicht nur Kohle, sondern auch Öl- und Gasförderung zu verringern ist nicht zu sehen</w:t>
      </w:r>
      <w:r>
        <w:rPr>
          <w:rStyle w:val="Funotenzeichen"/>
        </w:rPr>
        <w:footnoteReference w:id="2059"/>
      </w:r>
      <w:r>
        <w:t xml:space="preserve">, und auch ein großer Versuch mit ganz viel Geld ist nicht zu sehen, auf der COP28 ging es nicht um 11.410 Mrd. Euro, sondern darum in den nächsten Jahren 100 Mrd. zu erreichen … </w:t>
      </w:r>
    </w:p>
    <w:p w14:paraId="7697CBCE" w14:textId="77777777" w:rsidR="00E57DF7" w:rsidRDefault="00E57DF7" w:rsidP="00E57DF7"/>
    <w:p w14:paraId="3872823E" w14:textId="4BFBE3EC" w:rsidR="00E57DF7" w:rsidRDefault="00E57DF7" w:rsidP="00E57DF7">
      <w:r>
        <w:t>Deutschland hat immerhin einen High-Level-</w:t>
      </w:r>
      <w:proofErr w:type="spellStart"/>
      <w:r>
        <w:t>Dialogue</w:t>
      </w:r>
      <w:proofErr w:type="spellEnd"/>
      <w:r>
        <w:t xml:space="preserve"> </w:t>
      </w:r>
      <w:r w:rsidR="00A56018">
        <w:t xml:space="preserve">über Klima und Transformation </w:t>
      </w:r>
      <w:r>
        <w:t xml:space="preserve">unter dem Dach des China-German </w:t>
      </w:r>
      <w:proofErr w:type="spellStart"/>
      <w:r>
        <w:t>Dialogue</w:t>
      </w:r>
      <w:proofErr w:type="spellEnd"/>
      <w:r>
        <w:t xml:space="preserve"> and </w:t>
      </w:r>
      <w:proofErr w:type="spellStart"/>
      <w:r>
        <w:t>Cooperation</w:t>
      </w:r>
      <w:proofErr w:type="spellEnd"/>
      <w:r>
        <w:t xml:space="preserve"> </w:t>
      </w:r>
      <w:proofErr w:type="spellStart"/>
      <w:r>
        <w:t>Mechanism</w:t>
      </w:r>
      <w:proofErr w:type="spellEnd"/>
      <w:r>
        <w:t xml:space="preserve"> gemeinsam mit den Chinesen eingerichtet. Er hat am 22.06.2024 erstmals stattgefunden.</w:t>
      </w:r>
      <w:r>
        <w:rPr>
          <w:rStyle w:val="Funotenzeichen"/>
        </w:rPr>
        <w:footnoteReference w:id="2060"/>
      </w:r>
      <w:r>
        <w:t xml:space="preserve"> </w:t>
      </w:r>
    </w:p>
    <w:bookmarkEnd w:id="114"/>
    <w:p w14:paraId="0FD127A9" w14:textId="77777777" w:rsidR="004F3AA0" w:rsidRDefault="004F3AA0" w:rsidP="002C057C"/>
    <w:p w14:paraId="33E97101" w14:textId="51E66C2F" w:rsidR="002C057C" w:rsidRDefault="002C057C" w:rsidP="002C057C">
      <w:r>
        <w:t>1</w:t>
      </w:r>
      <w:r w:rsidR="00E9298D">
        <w:t>5</w:t>
      </w:r>
      <w:r>
        <w:t xml:space="preserve">. Handels- und Industriepolitik </w:t>
      </w:r>
    </w:p>
    <w:p w14:paraId="0ED58EF2" w14:textId="77777777" w:rsidR="002C057C" w:rsidRDefault="002C057C" w:rsidP="002C057C"/>
    <w:p w14:paraId="4940C2F9" w14:textId="28844C63" w:rsidR="000A2390" w:rsidRDefault="002C057C" w:rsidP="002C057C">
      <w:r>
        <w:t xml:space="preserve">Wie lassen sich </w:t>
      </w:r>
      <w:r w:rsidR="000A2390">
        <w:t>die nötigen</w:t>
      </w:r>
      <w:r>
        <w:t xml:space="preserve"> Industrien </w:t>
      </w:r>
      <w:r w:rsidR="000A2390">
        <w:t xml:space="preserve">für die Energiewende </w:t>
      </w:r>
      <w:r>
        <w:t>aufbauen</w:t>
      </w:r>
      <w:r w:rsidR="000A2390">
        <w:t xml:space="preserve">, </w:t>
      </w:r>
      <w:r>
        <w:t>gegenüber günstige</w:t>
      </w:r>
      <w:r w:rsidR="000A2390">
        <w:t xml:space="preserve">r </w:t>
      </w:r>
      <w:r>
        <w:t>Konkurrenz schützen</w:t>
      </w:r>
      <w:r w:rsidR="00F91F1D">
        <w:t>? W</w:t>
      </w:r>
      <w:r w:rsidR="000A2390">
        <w:t>ie lässt sich dies erreichen, während weiterhin Importe auf dem Markt sind, damit man den Ausbau erneuerbarer Energien nicht stoppt?</w:t>
      </w:r>
      <w:r>
        <w:t xml:space="preserve"> </w:t>
      </w:r>
    </w:p>
    <w:p w14:paraId="0160351C" w14:textId="77777777" w:rsidR="000A2390" w:rsidRDefault="000A2390" w:rsidP="002C057C"/>
    <w:p w14:paraId="6E2799C2" w14:textId="2806E494" w:rsidR="000A2390" w:rsidRDefault="000A2390" w:rsidP="002C057C">
      <w:r>
        <w:t xml:space="preserve">Wie können Anreize zum weiteren Aufbau erneuerbarer Industrie aussehen, die den Haushalt der Länder nicht überfordern? </w:t>
      </w:r>
    </w:p>
    <w:p w14:paraId="463222AF" w14:textId="77777777" w:rsidR="000A2390" w:rsidRDefault="000A2390" w:rsidP="002C057C"/>
    <w:p w14:paraId="43666F61" w14:textId="7480EC21" w:rsidR="000A2390" w:rsidRDefault="000A2390" w:rsidP="002C057C">
      <w:r>
        <w:t>Wie ist der Übergang von der fossilen Chemie und Stahlproduktion auf eine grüne Produktion vorstellbar?</w:t>
      </w:r>
    </w:p>
    <w:p w14:paraId="15D1AADC" w14:textId="77777777" w:rsidR="000A2390" w:rsidRDefault="000A2390" w:rsidP="002C057C"/>
    <w:p w14:paraId="73A0D65F" w14:textId="704F8572" w:rsidR="002C057C" w:rsidRDefault="002C057C" w:rsidP="002C057C">
      <w:r>
        <w:t>Um dies</w:t>
      </w:r>
      <w:r w:rsidR="000A2390">
        <w:t xml:space="preserve">e zentralen Fragen </w:t>
      </w:r>
      <w:r w:rsidR="00CD1A3C">
        <w:t>zu klären bzw. wenigstens anzusprechen</w:t>
      </w:r>
      <w:r w:rsidR="00F91F1D">
        <w:t>,</w:t>
      </w:r>
      <w:r>
        <w:t xml:space="preserve"> hier erst einmal ein Exkurs </w:t>
      </w:r>
      <w:r w:rsidR="00714C7F">
        <w:t>mit Erfahrungen aus der</w:t>
      </w:r>
      <w:r>
        <w:t xml:space="preserve"> Solar</w:t>
      </w:r>
      <w:r w:rsidR="00714C7F">
        <w:t>industrie,</w:t>
      </w:r>
      <w:r>
        <w:t xml:space="preserve"> dann </w:t>
      </w:r>
      <w:r w:rsidR="00714C7F">
        <w:t xml:space="preserve">zu weiteren Bereichen der europäischen Industrie, sowie Ideen zur Erhöhung der Nachfrage für erneuerbare Energien, zur öffentlichen Auftragsvergabe und zu Standards für CO2-arme und </w:t>
      </w:r>
      <w:proofErr w:type="spellStart"/>
      <w:r w:rsidR="00714C7F">
        <w:t>near</w:t>
      </w:r>
      <w:proofErr w:type="spellEnd"/>
      <w:r w:rsidR="00714C7F">
        <w:t xml:space="preserve"> </w:t>
      </w:r>
      <w:proofErr w:type="spellStart"/>
      <w:r w:rsidR="00714C7F">
        <w:t>zero</w:t>
      </w:r>
      <w:proofErr w:type="spellEnd"/>
      <w:r w:rsidR="00714C7F">
        <w:t xml:space="preserve"> Produkte</w:t>
      </w:r>
      <w:r>
        <w:t>:</w:t>
      </w:r>
    </w:p>
    <w:p w14:paraId="7C4CEEA6" w14:textId="77777777" w:rsidR="002C057C" w:rsidRDefault="002C057C" w:rsidP="002C057C"/>
    <w:p w14:paraId="2E6C4520" w14:textId="0D50364E" w:rsidR="002C057C" w:rsidRDefault="002C057C" w:rsidP="002C057C">
      <w:r>
        <w:t>1</w:t>
      </w:r>
      <w:r w:rsidR="00E9298D">
        <w:t>5</w:t>
      </w:r>
      <w:r>
        <w:t xml:space="preserve">.1 Erfahrung mit der Solarindustrie in der EU und der USA  </w:t>
      </w:r>
    </w:p>
    <w:p w14:paraId="0AA4A8FB" w14:textId="77777777" w:rsidR="002C057C" w:rsidRDefault="002C057C" w:rsidP="002C057C"/>
    <w:p w14:paraId="69F35C2E" w14:textId="14BE56C1" w:rsidR="002C057C" w:rsidRDefault="002C057C" w:rsidP="002C057C">
      <w:r>
        <w:t xml:space="preserve">Warum ist der Aufbau einer Solarindustrie in den USA oder der EU nicht gelungen? </w:t>
      </w:r>
      <w:r w:rsidR="000A2390">
        <w:t>Das Fazit zuerst:</w:t>
      </w:r>
    </w:p>
    <w:p w14:paraId="382436FD" w14:textId="77777777" w:rsidR="002C057C" w:rsidRDefault="002C057C" w:rsidP="002C057C"/>
    <w:p w14:paraId="500183DD" w14:textId="28368900" w:rsidR="006A5985" w:rsidRDefault="002C057C" w:rsidP="006A5985">
      <w:r>
        <w:t xml:space="preserve">Erstens aufgrund fehlender Unterstützung der eigenen Firmen. Es lag nicht an einem Fehlschlag der Handelspolitik, es lag daran, dass in den USA und in der EU die eigenen Produzenten zu schwach waren, und es gar nicht ausnutzen konnten, dass handelspolitische Schutzmaßnahmen für sie etabliert wurden. Dazu kommt, dass sowohl die USA als auch die EU, die </w:t>
      </w:r>
      <w:r w:rsidR="006A5985">
        <w:t xml:space="preserve">handelspolitischen </w:t>
      </w:r>
      <w:r>
        <w:t>Schutzmaßnahmen abgeschwächt haben, um Ausbauziele für erneuerbare Energien nicht zu gefährden. Die USA und der EU hätten wenigstens versuchen können, mit Subventionen ihre Solarindustrie aufbauen</w:t>
      </w:r>
      <w:r w:rsidR="006A5985">
        <w:t>, dies wäre schon schwierig genug gewesen</w:t>
      </w:r>
      <w:r>
        <w:t xml:space="preserve">. </w:t>
      </w:r>
      <w:r w:rsidR="006A5985">
        <w:t xml:space="preserve">Eine Industrie baut man nicht auf Knopfdruck auf. Produktionsstätten und Anlagen müssen über mehrere Jahre aufgebaut werden, bei der Fertigung werden Erfahrungen gemacht, die zu Kostensenkungen führen. Es müssen Standorte gefunden werden, mit ausgebildeten Arbeitskräften und möglichst eine Uni- oder Fachhochschule in der Nähe. Dazu kommt, dass besonders bei Solar </w:t>
      </w:r>
      <w:r w:rsidR="00CD1A3C">
        <w:t xml:space="preserve">für den ersten Fertigungsschritt </w:t>
      </w:r>
      <w:r w:rsidR="006A5985">
        <w:t xml:space="preserve">ein günstiger Standort wichtig ist, wegen der hohen Energiekosten beim Schmelzen </w:t>
      </w:r>
      <w:r w:rsidR="00CD1A3C">
        <w:t xml:space="preserve">Quarzsand zu </w:t>
      </w:r>
      <w:r w:rsidR="006A5985">
        <w:t xml:space="preserve">Polysilizium und bei Herstellen der </w:t>
      </w:r>
      <w:proofErr w:type="gramStart"/>
      <w:r w:rsidR="006A5985">
        <w:t xml:space="preserve">aus </w:t>
      </w:r>
      <w:r w:rsidR="00CD1A3C">
        <w:t xml:space="preserve">diesem </w:t>
      </w:r>
      <w:r w:rsidR="006A5985">
        <w:t>heißem Material</w:t>
      </w:r>
      <w:proofErr w:type="gramEnd"/>
      <w:r w:rsidR="006A5985">
        <w:t xml:space="preserve"> hergestellten Ingots, die zu Zylindern gedreht werden. Da</w:t>
      </w:r>
      <w:r w:rsidR="00CD1A3C">
        <w:t>bei gab es</w:t>
      </w:r>
      <w:r w:rsidR="006A5985">
        <w:t xml:space="preserve"> in Deutschland allerdings Vorerfahrungen zur Produktion von Solarzellen</w:t>
      </w:r>
      <w:r w:rsidR="00CD1A3C">
        <w:t xml:space="preserve"> und</w:t>
      </w:r>
      <w:r w:rsidR="006A5985">
        <w:t xml:space="preserve"> Wacker Chemie </w:t>
      </w:r>
      <w:r w:rsidR="00CD1A3C">
        <w:t>ist</w:t>
      </w:r>
      <w:r w:rsidR="006A5985">
        <w:t xml:space="preserve"> </w:t>
      </w:r>
      <w:r w:rsidR="00CD1A3C">
        <w:t xml:space="preserve">ein </w:t>
      </w:r>
      <w:r w:rsidR="006A5985">
        <w:t>großer Hersteller von Polysilizium</w:t>
      </w:r>
      <w:r w:rsidR="00CD1A3C">
        <w:t xml:space="preserve"> und deshalb</w:t>
      </w:r>
      <w:r w:rsidR="006A5985">
        <w:t xml:space="preserve"> hätte man dies in Deutschland schaffen können. Dies hätte </w:t>
      </w:r>
      <w:r w:rsidR="00CD1A3C">
        <w:t xml:space="preserve">man </w:t>
      </w:r>
      <w:r w:rsidR="006A5985">
        <w:t>mit handelspolitischen Schutzmaßnahmen geschickt kombinieren können</w:t>
      </w:r>
      <w:r w:rsidR="00CD1A3C">
        <w:t>, die schrittweise strenger für Importe werden</w:t>
      </w:r>
      <w:r w:rsidR="006A5985">
        <w:t xml:space="preserve">. </w:t>
      </w:r>
      <w:r>
        <w:t>Dies ist aber nicht so erfolgt. Daraus muss man für die heutige Situation etwas lernen.</w:t>
      </w:r>
      <w:r w:rsidR="006A5985">
        <w:t xml:space="preserve"> Wichtig ist</w:t>
      </w:r>
      <w:r w:rsidR="00CD1A3C">
        <w:t xml:space="preserve"> auch</w:t>
      </w:r>
      <w:r w:rsidR="006A5985">
        <w:t xml:space="preserve">, dass die Politik sich nicht allzu sehr selbst binden darf: Bei Managementfehlern, bei löchrigem Schutz etc. muss es möglich sein, erneut zu subventionieren. </w:t>
      </w:r>
    </w:p>
    <w:p w14:paraId="1F656E11" w14:textId="77777777" w:rsidR="002C057C" w:rsidRDefault="002C057C" w:rsidP="002C057C"/>
    <w:p w14:paraId="2925C782" w14:textId="4C964156" w:rsidR="002C057C" w:rsidRPr="002C4998" w:rsidRDefault="002C057C" w:rsidP="002C057C">
      <w:pPr>
        <w:rPr>
          <w:lang w:val="en-GB"/>
        </w:rPr>
      </w:pPr>
      <w:r>
        <w:t xml:space="preserve">An China ist zu erkennen, dass man mit einem hohen Subventionsbetrag Erfolg haben kann. </w:t>
      </w:r>
      <w:r w:rsidRPr="005E6DCD">
        <w:t xml:space="preserve">China hat </w:t>
      </w:r>
      <w:r>
        <w:t>von</w:t>
      </w:r>
      <w:r w:rsidRPr="005E6DCD">
        <w:t xml:space="preserve"> 2000 bis 2011 </w:t>
      </w:r>
      <w:r>
        <w:t xml:space="preserve">den Aufbau </w:t>
      </w:r>
      <w:r w:rsidRPr="005E6DCD">
        <w:t>seine</w:t>
      </w:r>
      <w:r>
        <w:t>r</w:t>
      </w:r>
      <w:r w:rsidRPr="005E6DCD">
        <w:t xml:space="preserve"> Solarindustrie</w:t>
      </w:r>
      <w:r w:rsidR="00CD1A3C">
        <w:t>, speziell auch der Polysilizium-Produktion,</w:t>
      </w:r>
      <w:r w:rsidRPr="005E6DCD">
        <w:t xml:space="preserve"> mit 50 </w:t>
      </w:r>
      <w:r>
        <w:t xml:space="preserve">Mrd. </w:t>
      </w:r>
      <w:r w:rsidRPr="00B33D84">
        <w:rPr>
          <w:lang w:val="en-GB"/>
        </w:rPr>
        <w:t xml:space="preserve">US$ </w:t>
      </w:r>
      <w:proofErr w:type="spellStart"/>
      <w:r w:rsidRPr="00B33D84">
        <w:rPr>
          <w:lang w:val="en-GB"/>
        </w:rPr>
        <w:t>subventioniert</w:t>
      </w:r>
      <w:proofErr w:type="spellEnd"/>
      <w:r w:rsidRPr="00B33D84">
        <w:rPr>
          <w:lang w:val="en-GB"/>
        </w:rPr>
        <w:t xml:space="preserve">, </w:t>
      </w:r>
      <w:proofErr w:type="spellStart"/>
      <w:r w:rsidRPr="00B33D84">
        <w:rPr>
          <w:lang w:val="en-GB"/>
        </w:rPr>
        <w:t>siehe</w:t>
      </w:r>
      <w:proofErr w:type="spellEnd"/>
      <w:r w:rsidRPr="00B33D84">
        <w:rPr>
          <w:lang w:val="en-GB"/>
        </w:rPr>
        <w:t xml:space="preserve"> </w:t>
      </w:r>
      <w:proofErr w:type="spellStart"/>
      <w:r w:rsidRPr="00B33D84">
        <w:rPr>
          <w:lang w:val="en-GB"/>
        </w:rPr>
        <w:t>dazu</w:t>
      </w:r>
      <w:proofErr w:type="spellEnd"/>
      <w:r w:rsidRPr="00B33D84">
        <w:rPr>
          <w:lang w:val="en-GB"/>
        </w:rPr>
        <w:t xml:space="preserve">: U.S. DOE. </w:t>
      </w:r>
      <w:r w:rsidRPr="002C4998">
        <w:rPr>
          <w:lang w:val="en-GB"/>
        </w:rPr>
        <w:t>Solar Energy Supply Chain Report, 2022.</w:t>
      </w:r>
      <w:r>
        <w:rPr>
          <w:rStyle w:val="Funotenzeichen"/>
          <w:lang w:val="en-GB"/>
        </w:rPr>
        <w:footnoteReference w:id="2061"/>
      </w:r>
    </w:p>
    <w:p w14:paraId="29637DFA" w14:textId="77777777" w:rsidR="002C057C" w:rsidRPr="002C4998" w:rsidRDefault="002C057C" w:rsidP="002C057C">
      <w:pPr>
        <w:rPr>
          <w:lang w:val="en-GB"/>
        </w:rPr>
      </w:pPr>
    </w:p>
    <w:p w14:paraId="72F7D46A" w14:textId="58350DA9" w:rsidR="006A5985" w:rsidRDefault="002C057C" w:rsidP="006A5985">
      <w:r>
        <w:t xml:space="preserve">Zweitens schwebt über allem die Erkenntnis, </w:t>
      </w:r>
      <w:r w:rsidRPr="00E9298D">
        <w:rPr>
          <w:u w:val="single"/>
        </w:rPr>
        <w:t>dass chinesische Solarmodule bzw. alle Komponenten der Solarproduktion in China generell günstig sind und auch in Zukunft generell günstiger sein werden, als europäische Produkte</w:t>
      </w:r>
      <w:r>
        <w:t xml:space="preserve">. Dies liegt an hohen staatlichen Subventionen in China, auch durch die staatlichen Banken, die Firmen mit großzügiger Einräumung von Krediten unterstützen können, dies liegt an den immer noch (relativ) niedrigen Lohnkosten, den günstig verfügbaren Rohstoffen und </w:t>
      </w:r>
      <w:r>
        <w:lastRenderedPageBreak/>
        <w:t xml:space="preserve">der mittlerweile guten Technologie. Gesagt wird immer wieder: die Chinesen können auch nicht zaubern, aber der Staat hilft in China und sie können durch viele kleine Vorteile insgesamt Kostenvorteile erzielen. Beispielsweise hat China bei Solar auf allen Produktionsstufen: Polysilizium, Wafer, Zellen, Module einen Kostenvorteil </w:t>
      </w:r>
      <w:proofErr w:type="gramStart"/>
      <w:r>
        <w:t>gegenüber der USA</w:t>
      </w:r>
      <w:proofErr w:type="gramEnd"/>
      <w:r>
        <w:t>, teils sind es nur kleinere Unterschiede, etwa bei Polysilizium, der größte Sprung wird bei den Modulen gemacht. China landet dann bei 0,27 US$ pro Watt, USA 0,37 US$ pro Watt.</w:t>
      </w:r>
      <w:r>
        <w:rPr>
          <w:rStyle w:val="Funotenzeichen"/>
        </w:rPr>
        <w:footnoteReference w:id="2062"/>
      </w:r>
      <w:r w:rsidR="006A5985">
        <w:t xml:space="preserve"> Die chinesischen Kostenvorteile erschweren nicht nur in Europa, sondern weltweit eine Industriepolitik, in der wenigstens </w:t>
      </w:r>
      <w:r w:rsidR="004F3AA0">
        <w:t xml:space="preserve">einige </w:t>
      </w:r>
      <w:proofErr w:type="gramStart"/>
      <w:r w:rsidR="004F3AA0">
        <w:t>der</w:t>
      </w:r>
      <w:r w:rsidR="006A5985">
        <w:t xml:space="preserve"> großen Ländern</w:t>
      </w:r>
      <w:proofErr w:type="gramEnd"/>
      <w:r w:rsidR="006A5985">
        <w:t xml:space="preserve"> der Welt das Ziel haben</w:t>
      </w:r>
      <w:r w:rsidR="004F3AA0">
        <w:t xml:space="preserve"> sollten</w:t>
      </w:r>
      <w:r w:rsidR="006A5985">
        <w:t xml:space="preserve">, zumindest die Basistechnologien für eine Energiewende </w:t>
      </w:r>
      <w:r w:rsidR="004F3AA0">
        <w:t xml:space="preserve">in einem gewissen Umfang </w:t>
      </w:r>
      <w:r w:rsidR="006A5985">
        <w:t xml:space="preserve">selbst herstellen zu können. </w:t>
      </w:r>
    </w:p>
    <w:p w14:paraId="798F10A4" w14:textId="77777777" w:rsidR="004F3AA0" w:rsidRDefault="004F3AA0" w:rsidP="002C057C">
      <w:pPr>
        <w:rPr>
          <w:u w:val="single"/>
        </w:rPr>
      </w:pPr>
    </w:p>
    <w:p w14:paraId="578D17AC" w14:textId="4C827B71" w:rsidR="002C057C" w:rsidRDefault="002C057C" w:rsidP="002C057C">
      <w:r w:rsidRPr="00714C7F">
        <w:rPr>
          <w:u w:val="single"/>
        </w:rPr>
        <w:t>Dies bedeutet, dass ein Schutzregime etabliert werden</w:t>
      </w:r>
      <w:r w:rsidR="00714C7F" w:rsidRPr="00714C7F">
        <w:rPr>
          <w:u w:val="single"/>
        </w:rPr>
        <w:t xml:space="preserve"> muss</w:t>
      </w:r>
      <w:r w:rsidRPr="00714C7F">
        <w:rPr>
          <w:u w:val="single"/>
        </w:rPr>
        <w:t>, dass sogar über viele Jahrzehnte lang bestehen muss</w:t>
      </w:r>
      <w:r w:rsidR="00E9298D">
        <w:rPr>
          <w:u w:val="single"/>
        </w:rPr>
        <w:t xml:space="preserve"> und dies</w:t>
      </w:r>
      <w:r w:rsidR="006A5985">
        <w:rPr>
          <w:u w:val="single"/>
        </w:rPr>
        <w:t xml:space="preserve"> offenkundig auch</w:t>
      </w:r>
      <w:r w:rsidR="00E9298D">
        <w:rPr>
          <w:u w:val="single"/>
        </w:rPr>
        <w:t xml:space="preserve"> so, dass chinesische Produkte parallel zum Schutz weiterhin noch Marktanteile haben können</w:t>
      </w:r>
      <w:r>
        <w:t xml:space="preserve">. </w:t>
      </w:r>
      <w:r w:rsidR="004F3AA0">
        <w:t xml:space="preserve">Dieses Problem haben nicht nur die EU und die USA, sondern auch Länder wie Japan, Brasilien, Indien, Indonesien und andere Länder. </w:t>
      </w:r>
    </w:p>
    <w:p w14:paraId="0D2848DE" w14:textId="77777777" w:rsidR="00F91F1D" w:rsidRDefault="00F91F1D" w:rsidP="002C057C"/>
    <w:p w14:paraId="29C8C153" w14:textId="2ED081DD" w:rsidR="002C057C" w:rsidRDefault="00F91F1D" w:rsidP="002C057C">
      <w:r>
        <w:t>D</w:t>
      </w:r>
      <w:r w:rsidR="002C057C">
        <w:t xml:space="preserve">ie Solarindustrie </w:t>
      </w:r>
      <w:r>
        <w:t xml:space="preserve">hat </w:t>
      </w:r>
      <w:r w:rsidR="002C057C">
        <w:t>mehrere Stufen der Wertschöpfung, die man alle aufbauen muss: Quarzsand, Polysilizium, Ingots, Wafer, Zellen</w:t>
      </w:r>
      <w:r w:rsidR="00CD1A3C">
        <w:t xml:space="preserve"> und</w:t>
      </w:r>
      <w:r w:rsidR="002C057C">
        <w:t xml:space="preserve"> Module.</w:t>
      </w:r>
      <w:r w:rsidR="006A5985">
        <w:t xml:space="preserve"> </w:t>
      </w:r>
      <w:r w:rsidR="002C057C">
        <w:t xml:space="preserve">Die Solarindustrie beruht aus Quarzsand, damit stellt man Polysilizium her, damit stellt man Ingots her, daraus werden die Wafer geschnitten, darauf werden die Zellen aufgebaut, mit Silberpaste, chemisch aufwendigen Beschichtungen und der Verdrahtung, dann braucht man Solarglas und Aluminiumrahmen und daraus werden die Module gefertigt. Die Polysilizium-, und </w:t>
      </w:r>
      <w:proofErr w:type="spellStart"/>
      <w:r w:rsidR="002C057C">
        <w:t>Ingotfertigung</w:t>
      </w:r>
      <w:proofErr w:type="spellEnd"/>
      <w:r w:rsidR="002C057C">
        <w:t xml:space="preserve"> ist ein energieintensiver, ‚nicht so schöner‘-Prozess, da wird geschmolzen und es dampft. Das Schneiden bzw. Heraussägen der Wafer aus den Ingots ist ein ‚undankbarer‘, ‚</w:t>
      </w:r>
      <w:proofErr w:type="spellStart"/>
      <w:r w:rsidR="002C057C">
        <w:t>low-tech</w:t>
      </w:r>
      <w:proofErr w:type="spellEnd"/>
      <w:r w:rsidR="002C057C">
        <w:t>‘ Arbeitsschritt. Dagegen ist die Zellfertigung High-Tech und findet in hellen Reinräumen mit vielen Maschinen statt, hier geht es viel um Beschichtung und das Sparen u.a. von Silberbeschichtungen. Die Herstellung der Module ist arbeitsintensive Schreinereiarbeit, ein</w:t>
      </w:r>
      <w:r>
        <w:t>ge</w:t>
      </w:r>
      <w:r w:rsidR="002C057C">
        <w:t xml:space="preserve">schlossen des Montierens von Kabeln, wobei Lohnkosten anfallen und oft hohe Kosten auftreten, obwohl man bereits versucht hat, diese Herstellung zu automatisieren. </w:t>
      </w:r>
      <w:r w:rsidR="000A2390">
        <w:t>Wenn man allerdings diese Wertschöpfungskette aufteilt, etwas nur Zellen in Europa fertigt, und Importe von Wafern zulässt, werden die Preise für Wafer von chinesischen Firmen festgelegt. Auch in Europa oder der USA könnte</w:t>
      </w:r>
      <w:r>
        <w:t xml:space="preserve">n </w:t>
      </w:r>
      <w:r w:rsidR="000A2390">
        <w:t>aber, wenn</w:t>
      </w:r>
      <w:r>
        <w:t xml:space="preserve"> man dies </w:t>
      </w:r>
      <w:r w:rsidR="000A2390">
        <w:t xml:space="preserve">neben Wasserkraft oder Atomkraft aufbaut, günstige Energiekosten realisiert werden und auch ggf. günstiges Polysilizium, Wafer und Ingots hergestellt werden. </w:t>
      </w:r>
      <w:r w:rsidR="0094771F">
        <w:t xml:space="preserve">Bei Modulen ist es aufgrund der Arbeitskosten offenbar besonders schwierig, niedrige Kosten zu erreichen, deshalb sind chinesische Produkte eben immer ein wenig günstiger. </w:t>
      </w:r>
    </w:p>
    <w:p w14:paraId="15AD4A39" w14:textId="77777777" w:rsidR="002C057C" w:rsidRDefault="002C057C" w:rsidP="002C057C"/>
    <w:p w14:paraId="3405219C" w14:textId="12AE267C" w:rsidR="002C057C" w:rsidRDefault="002C057C" w:rsidP="002C057C">
      <w:r>
        <w:t>Die EU hat</w:t>
      </w:r>
      <w:r w:rsidR="006A5985">
        <w:t>te</w:t>
      </w:r>
      <w:r>
        <w:t xml:space="preserve"> am 06.09.2012 eine Antidumpinguntersuchung über Importe von Solarpaneelen und zur Produktion notwendige Komponenten (Solarzellen und Wafer) eingeleitet.</w:t>
      </w:r>
      <w:r>
        <w:rPr>
          <w:rStyle w:val="Funotenzeichen"/>
        </w:rPr>
        <w:footnoteReference w:id="2063"/>
      </w:r>
      <w:r>
        <w:t xml:space="preserve"> Am 06.06.2013 wurden vorläufige Antidumpingzölle beschlossen, durchschnittlich 47,6 %, bei einer Übergangsphase von 2 Monaten mit nur 11,8 %, bis zum 06.08.2013.</w:t>
      </w:r>
      <w:r>
        <w:rPr>
          <w:rStyle w:val="Funotenzeichen"/>
        </w:rPr>
        <w:footnoteReference w:id="2064"/>
      </w:r>
      <w:r>
        <w:t xml:space="preserve"> Am 02.08.2013 wurde von der EU Kommission ein sog. ‚</w:t>
      </w:r>
      <w:proofErr w:type="spellStart"/>
      <w:r>
        <w:t>undertaking</w:t>
      </w:r>
      <w:proofErr w:type="spellEnd"/>
      <w:r>
        <w:t>‘ akzeptiert, ein</w:t>
      </w:r>
      <w:r w:rsidRPr="000111CC">
        <w:t xml:space="preserve"> Mindestimportpreis von 56 Cent pro Watt für </w:t>
      </w:r>
      <w:r>
        <w:t>Solarprodukte</w:t>
      </w:r>
      <w:r w:rsidRPr="000111CC">
        <w:t xml:space="preserve"> </w:t>
      </w:r>
      <w:r>
        <w:t>und einen mengenmäßige Beschränkung auf 7 Gigawatt Solarprodukte, wobei innerhalb der erlaubten Menge nur ein Zoll von 0 % erhoben wurde. Lag die Menge darüber, galten die durchschnittlichen 47,6 %.</w:t>
      </w:r>
      <w:r>
        <w:rPr>
          <w:rStyle w:val="Funotenzeichen"/>
        </w:rPr>
        <w:footnoteReference w:id="2065"/>
      </w:r>
      <w:r>
        <w:t xml:space="preserve"> Weiterhin wurde im ‚</w:t>
      </w:r>
      <w:proofErr w:type="spellStart"/>
      <w:r>
        <w:t>undertaking</w:t>
      </w:r>
      <w:proofErr w:type="spellEnd"/>
      <w:r>
        <w:t>‘ festgelegt, das</w:t>
      </w:r>
      <w:r w:rsidR="00F91F1D">
        <w:t>s</w:t>
      </w:r>
      <w:r>
        <w:t xml:space="preserve"> Wafer von nun nicht mehr unter die </w:t>
      </w:r>
      <w:r>
        <w:lastRenderedPageBreak/>
        <w:t>Untersuchungen fallen.</w:t>
      </w:r>
      <w:r>
        <w:rPr>
          <w:rStyle w:val="Funotenzeichen"/>
        </w:rPr>
        <w:footnoteReference w:id="2066"/>
      </w:r>
      <w:r>
        <w:t xml:space="preserve"> </w:t>
      </w:r>
      <w:r w:rsidR="007967CA">
        <w:t>Letzteres</w:t>
      </w:r>
      <w:r>
        <w:t xml:space="preserve"> ist natürlich eine wichtige Information, damit war es möglich, dass China große Mengen an Wafern an die europäische Industrie liefert</w:t>
      </w:r>
      <w:r w:rsidR="007967CA">
        <w:t xml:space="preserve"> und</w:t>
      </w:r>
      <w:r>
        <w:t xml:space="preserve"> in Europa </w:t>
      </w:r>
      <w:r w:rsidR="007967CA">
        <w:t>‚</w:t>
      </w:r>
      <w:r>
        <w:t>nur</w:t>
      </w:r>
      <w:r w:rsidR="007967CA">
        <w:t>‘</w:t>
      </w:r>
      <w:r>
        <w:t xml:space="preserve"> noch die Zellen hergestellt werden.</w:t>
      </w:r>
    </w:p>
    <w:p w14:paraId="43E71A4A" w14:textId="77777777" w:rsidR="002C057C" w:rsidRDefault="002C057C" w:rsidP="002C057C"/>
    <w:p w14:paraId="13E860B4" w14:textId="77777777" w:rsidR="002C057C" w:rsidRDefault="002C057C" w:rsidP="002C057C">
      <w:r>
        <w:t>Damals wurde noch ein Antisubventionsverfahren angestrengt, mit 0-11,5 % Zöllen, die letzte Information die ich findet, ist ein daran anschließendes Anti-Umgehungsverfahren 2015.</w:t>
      </w:r>
      <w:r>
        <w:rPr>
          <w:rStyle w:val="Funotenzeichen"/>
        </w:rPr>
        <w:footnoteReference w:id="2067"/>
      </w:r>
      <w:r>
        <w:t xml:space="preserve"> Das ‚</w:t>
      </w:r>
      <w:proofErr w:type="spellStart"/>
      <w:r>
        <w:t>untertaking</w:t>
      </w:r>
      <w:proofErr w:type="spellEnd"/>
      <w:r>
        <w:t>‘ galt auch für das Antisubventionsverfahren.</w:t>
      </w:r>
      <w:r w:rsidRPr="005878F6">
        <w:rPr>
          <w:rStyle w:val="Funotenzeichen"/>
        </w:rPr>
        <w:t xml:space="preserve"> </w:t>
      </w:r>
      <w:r>
        <w:rPr>
          <w:rStyle w:val="Funotenzeichen"/>
        </w:rPr>
        <w:footnoteReference w:id="2068"/>
      </w:r>
      <w:r>
        <w:t xml:space="preserve">  </w:t>
      </w:r>
    </w:p>
    <w:p w14:paraId="54D2885F" w14:textId="77777777" w:rsidR="002C057C" w:rsidRDefault="002C057C" w:rsidP="002C057C"/>
    <w:p w14:paraId="396E9FC5" w14:textId="477B774B" w:rsidR="002C057C" w:rsidRDefault="002C057C" w:rsidP="002C057C">
      <w:r>
        <w:t xml:space="preserve">Bundeskanzlerin Angela Merkel hatte </w:t>
      </w:r>
      <w:r w:rsidR="00F91F1D">
        <w:t xml:space="preserve">damals </w:t>
      </w:r>
      <w:r>
        <w:t xml:space="preserve">mit China verhandelt, dazu kam, dass nicht alle Personen (und EU-Länder), die Zölle befürworteten. Die Menge von 7 Gigawatt zollfreier Importe stand </w:t>
      </w:r>
      <w:proofErr w:type="gramStart"/>
      <w:r>
        <w:t>gegen einem Markt</w:t>
      </w:r>
      <w:proofErr w:type="gramEnd"/>
      <w:r>
        <w:t xml:space="preserve"> von 8-12 Gigawatt</w:t>
      </w:r>
      <w:r>
        <w:rPr>
          <w:rStyle w:val="Funotenzeichen"/>
        </w:rPr>
        <w:footnoteReference w:id="2069"/>
      </w:r>
      <w:r>
        <w:t>, dies impliziert, dass die europäischen produzierenden Solarunternehmen, offenkundig nur 1 bis 5 Gigawatt liefen konnten. Das Importvolumen betrug 2011: 21 Mrd.</w:t>
      </w:r>
      <w:r>
        <w:rPr>
          <w:rStyle w:val="Funotenzeichen"/>
        </w:rPr>
        <w:footnoteReference w:id="2070"/>
      </w:r>
      <w:r>
        <w:t xml:space="preserve"> </w:t>
      </w:r>
      <w:proofErr w:type="spellStart"/>
      <w:r>
        <w:t>Solarworld</w:t>
      </w:r>
      <w:proofErr w:type="spellEnd"/>
      <w:r>
        <w:t xml:space="preserve"> hatte </w:t>
      </w:r>
      <w:r w:rsidR="00F91F1D">
        <w:t xml:space="preserve">im Jahr </w:t>
      </w:r>
      <w:r>
        <w:t xml:space="preserve">2012 </w:t>
      </w:r>
      <w:r w:rsidR="00F91F1D">
        <w:t xml:space="preserve">dagegen nur </w:t>
      </w:r>
      <w:r>
        <w:t>einen Umsatz von 1,05 Mrd., danach brach er ein.</w:t>
      </w:r>
      <w:r>
        <w:rPr>
          <w:rStyle w:val="Funotenzeichen"/>
        </w:rPr>
        <w:footnoteReference w:id="2071"/>
      </w:r>
      <w:r>
        <w:t xml:space="preserve"> Den Antrag auf die Antidumpingzölle und Ausgleichszölle hatte damals der Branchenverband EU </w:t>
      </w:r>
      <w:proofErr w:type="spellStart"/>
      <w:r>
        <w:t>ProSun</w:t>
      </w:r>
      <w:proofErr w:type="spellEnd"/>
      <w:r w:rsidR="00F91F1D">
        <w:t xml:space="preserve"> gestellt</w:t>
      </w:r>
      <w:r>
        <w:t xml:space="preserve">, aktiv war hier besonders die Firma </w:t>
      </w:r>
      <w:proofErr w:type="spellStart"/>
      <w:r>
        <w:t>Solarworld</w:t>
      </w:r>
      <w:proofErr w:type="spellEnd"/>
      <w:r>
        <w:t>, aber noch 20 weitere Firmen.</w:t>
      </w:r>
      <w:r>
        <w:rPr>
          <w:rStyle w:val="Funotenzeichen"/>
        </w:rPr>
        <w:footnoteReference w:id="2072"/>
      </w:r>
      <w:r w:rsidR="00F91F1D">
        <w:t xml:space="preserve"> </w:t>
      </w:r>
      <w:r w:rsidRPr="002C057C">
        <w:rPr>
          <w:u w:val="single"/>
        </w:rPr>
        <w:t xml:space="preserve">Ich kann hier nicht zu 100 % rekonstruieren, welche Marktanteile die europäischen Produzenten damals hatten und wie hoch die </w:t>
      </w:r>
      <w:r w:rsidR="00F91F1D">
        <w:rPr>
          <w:u w:val="single"/>
        </w:rPr>
        <w:t xml:space="preserve">europäische </w:t>
      </w:r>
      <w:r w:rsidRPr="002C057C">
        <w:rPr>
          <w:u w:val="single"/>
        </w:rPr>
        <w:t xml:space="preserve">Ingot- und </w:t>
      </w:r>
      <w:proofErr w:type="spellStart"/>
      <w:r w:rsidRPr="002C057C">
        <w:rPr>
          <w:u w:val="single"/>
        </w:rPr>
        <w:t>Waferproduktion</w:t>
      </w:r>
      <w:proofErr w:type="spellEnd"/>
      <w:r w:rsidRPr="002C057C">
        <w:rPr>
          <w:u w:val="single"/>
        </w:rPr>
        <w:t xml:space="preserve"> war</w:t>
      </w:r>
      <w:r>
        <w:t xml:space="preserve"> …</w:t>
      </w:r>
      <w:r w:rsidR="00695005">
        <w:t xml:space="preserve"> </w:t>
      </w:r>
      <w:proofErr w:type="spellStart"/>
      <w:r w:rsidR="00695005">
        <w:t>Solarworld</w:t>
      </w:r>
      <w:proofErr w:type="spellEnd"/>
      <w:r w:rsidR="00695005">
        <w:t xml:space="preserve"> verfügte 2000 über eine </w:t>
      </w:r>
      <w:proofErr w:type="spellStart"/>
      <w:r w:rsidR="00695005">
        <w:t>Waferproduktion</w:t>
      </w:r>
      <w:proofErr w:type="spellEnd"/>
      <w:r w:rsidR="00695005">
        <w:t xml:space="preserve"> hat 2002 eine eigene Zellfertigung aufgebaut hatte, in Freiberg</w:t>
      </w:r>
      <w:r w:rsidR="00695005">
        <w:rPr>
          <w:rStyle w:val="Funotenzeichen"/>
        </w:rPr>
        <w:footnoteReference w:id="2073"/>
      </w:r>
      <w:r>
        <w:t xml:space="preserve"> … </w:t>
      </w:r>
      <w:r w:rsidR="00695005">
        <w:t>wenn damals frühzeitig und gezielt geplant hohe Subventionen geflossen wären, hätte man diese Produktion sicher skalieren können, dies geschah aber nicht</w:t>
      </w:r>
      <w:r>
        <w:t xml:space="preserve"> … </w:t>
      </w:r>
      <w:r w:rsidR="00F91F1D">
        <w:t>die</w:t>
      </w:r>
      <w:r w:rsidR="00695005">
        <w:t>se</w:t>
      </w:r>
      <w:r>
        <w:t xml:space="preserve"> Infos </w:t>
      </w:r>
      <w:r w:rsidR="00F91F1D">
        <w:t xml:space="preserve">hier </w:t>
      </w:r>
      <w:r>
        <w:t xml:space="preserve">legen </w:t>
      </w:r>
      <w:r w:rsidR="00695005">
        <w:t xml:space="preserve">aber auch </w:t>
      </w:r>
      <w:r>
        <w:t>nah, dass die Produktionskapazität der europäische Solarproduzenten</w:t>
      </w:r>
      <w:r w:rsidR="00695005">
        <w:t>, zum Zeitpunkt, als das ‚</w:t>
      </w:r>
      <w:proofErr w:type="spellStart"/>
      <w:r w:rsidR="00695005">
        <w:t>undertaking</w:t>
      </w:r>
      <w:proofErr w:type="spellEnd"/>
      <w:r w:rsidR="00695005">
        <w:t xml:space="preserve">‘ ausgehandelt wurde, über unzureichend hohe Produktion verfügten, </w:t>
      </w:r>
      <w:r w:rsidR="00F91F1D">
        <w:t>um den ganzen Markt zu beliefern …</w:t>
      </w:r>
      <w:r>
        <w:t xml:space="preserve"> </w:t>
      </w:r>
      <w:r w:rsidR="00F91F1D">
        <w:t xml:space="preserve">deshalb bestand politischer </w:t>
      </w:r>
      <w:r>
        <w:t>Druck,</w:t>
      </w:r>
      <w:r w:rsidR="00695005">
        <w:t xml:space="preserve"> dass</w:t>
      </w:r>
      <w:r>
        <w:t xml:space="preserve"> weiter chinesische Importe zu</w:t>
      </w:r>
      <w:r w:rsidR="00695005">
        <w:t>ge</w:t>
      </w:r>
      <w:r>
        <w:t>lasse</w:t>
      </w:r>
      <w:r w:rsidR="00695005">
        <w:t>n werden.</w:t>
      </w:r>
    </w:p>
    <w:p w14:paraId="63F427CC" w14:textId="77777777" w:rsidR="002C057C" w:rsidRDefault="002C057C" w:rsidP="002C057C"/>
    <w:p w14:paraId="28A7B825" w14:textId="48D37ECF" w:rsidR="002C057C" w:rsidRDefault="00F91F1D" w:rsidP="002C057C">
      <w:r>
        <w:t>A</w:t>
      </w:r>
      <w:r w:rsidR="002C057C">
        <w:t xml:space="preserve">b dem 14. Mai 2014 wurde auch gegen Solarglas ein endgültiger </w:t>
      </w:r>
      <w:proofErr w:type="spellStart"/>
      <w:r w:rsidR="002C057C">
        <w:t>Antidumingzölle</w:t>
      </w:r>
      <w:proofErr w:type="spellEnd"/>
      <w:r w:rsidR="002C057C">
        <w:t xml:space="preserve"> erhoben, 67,1 %, die</w:t>
      </w:r>
      <w:r>
        <w:t>s wird</w:t>
      </w:r>
      <w:r w:rsidR="002C057C">
        <w:t xml:space="preserve"> am 24. Juli 2025 auslaufe</w:t>
      </w:r>
      <w:r>
        <w:t>n</w:t>
      </w:r>
      <w:r w:rsidR="002C057C">
        <w:t xml:space="preserve">, </w:t>
      </w:r>
      <w:r>
        <w:t>kann aber</w:t>
      </w:r>
      <w:r w:rsidR="002C057C">
        <w:t xml:space="preserve"> offenbar wieder verlängert werden. Ebenso besteht eine Antisubventionsmaßnahme, 17,1 %, gegen Solarglas, siehe den Überblick der </w:t>
      </w:r>
      <w:r w:rsidR="002C057C">
        <w:lastRenderedPageBreak/>
        <w:t>Wirtschaftskammer Österreich.</w:t>
      </w:r>
      <w:r w:rsidR="002C057C">
        <w:rPr>
          <w:rStyle w:val="Funotenzeichen"/>
        </w:rPr>
        <w:footnoteReference w:id="2074"/>
      </w:r>
      <w:r w:rsidR="002C057C">
        <w:t xml:space="preserve"> Siehe zum Antisubventionsverfahren z.B. hier.</w:t>
      </w:r>
      <w:r w:rsidR="002C057C">
        <w:rPr>
          <w:rStyle w:val="Funotenzeichen"/>
        </w:rPr>
        <w:footnoteReference w:id="2075"/>
      </w:r>
      <w:r w:rsidR="002C057C">
        <w:t xml:space="preserve"> Der Branchenverband, der hier den Antrag stellte war EU </w:t>
      </w:r>
      <w:proofErr w:type="spellStart"/>
      <w:r w:rsidR="002C057C">
        <w:t>ProSun</w:t>
      </w:r>
      <w:proofErr w:type="spellEnd"/>
      <w:r w:rsidR="002C057C">
        <w:t xml:space="preserve"> Glass.</w:t>
      </w:r>
      <w:r w:rsidR="002C057C">
        <w:rPr>
          <w:rStyle w:val="Funotenzeichen"/>
        </w:rPr>
        <w:footnoteReference w:id="2076"/>
      </w:r>
    </w:p>
    <w:p w14:paraId="455020A8" w14:textId="77777777" w:rsidR="002C057C" w:rsidRDefault="002C057C" w:rsidP="002C057C"/>
    <w:p w14:paraId="2E01B63B" w14:textId="0BAFDC85" w:rsidR="002C057C" w:rsidRDefault="002C057C" w:rsidP="002C057C">
      <w:r>
        <w:t xml:space="preserve">Die Antidumpingzölle liefen 2018 aus, kurz zuvor war </w:t>
      </w:r>
      <w:proofErr w:type="spellStart"/>
      <w:r>
        <w:t>Solarworld</w:t>
      </w:r>
      <w:proofErr w:type="spellEnd"/>
      <w:r>
        <w:t xml:space="preserve"> insolvent geworden, ein erneuter Schutzantrag wurde nicht mehr berücksichtigt und es wurde dabei auch beachtet, dass die erneuerbaren Energien schnell ausgebaut werden müssen.</w:t>
      </w:r>
      <w:r>
        <w:rPr>
          <w:rStyle w:val="Funotenzeichen"/>
        </w:rPr>
        <w:footnoteReference w:id="2077"/>
      </w:r>
      <w:r>
        <w:t xml:space="preserve"> Ein weiterer Grund für die Probleme z.B. von </w:t>
      </w:r>
      <w:proofErr w:type="spellStart"/>
      <w:r>
        <w:t>Solarworld</w:t>
      </w:r>
      <w:proofErr w:type="spellEnd"/>
      <w:r>
        <w:t xml:space="preserve"> damals, war, dass es in Deutschland ab 2012 einen Rückgang der Solarförderung gab, bei dem die sehr hohen</w:t>
      </w:r>
      <w:r w:rsidR="00695005">
        <w:t>, durch das EEG</w:t>
      </w:r>
      <w:r>
        <w:t xml:space="preserve"> garantierten Strompreise bis 50 Cent verringert wurden</w:t>
      </w:r>
      <w:r w:rsidR="00695005">
        <w:t>, d</w:t>
      </w:r>
      <w:r>
        <w:t xml:space="preserve">araufhin gerieten die deutschen Firmen Q-Cells, Centrotherm oder </w:t>
      </w:r>
      <w:proofErr w:type="spellStart"/>
      <w:r>
        <w:t>Solarworld</w:t>
      </w:r>
      <w:proofErr w:type="spellEnd"/>
      <w:r>
        <w:t xml:space="preserve"> in die Krise.</w:t>
      </w:r>
      <w:r>
        <w:rPr>
          <w:rStyle w:val="Funotenzeichen"/>
        </w:rPr>
        <w:footnoteReference w:id="2078"/>
      </w:r>
      <w:r>
        <w:t xml:space="preserve"> </w:t>
      </w:r>
      <w:proofErr w:type="spellStart"/>
      <w:r>
        <w:t>Qcells</w:t>
      </w:r>
      <w:proofErr w:type="spellEnd"/>
      <w:r>
        <w:t xml:space="preserve"> gibt es heute immer noch, es wurde von der südkoreanischen Firma Hanwha Gruppe aufgekauft.</w:t>
      </w:r>
      <w:r>
        <w:rPr>
          <w:rStyle w:val="Funotenzeichen"/>
        </w:rPr>
        <w:footnoteReference w:id="2079"/>
      </w:r>
      <w:r>
        <w:t xml:space="preserve"> Centrotherm hat sich offenbar in einen Anbieter von Solarproduktionslösungen umgewandelt.</w:t>
      </w:r>
      <w:r>
        <w:rPr>
          <w:rStyle w:val="Funotenzeichen"/>
        </w:rPr>
        <w:footnoteReference w:id="2080"/>
      </w:r>
      <w:r>
        <w:t xml:space="preserve"> </w:t>
      </w:r>
      <w:proofErr w:type="spellStart"/>
      <w:r>
        <w:t>Solarworld</w:t>
      </w:r>
      <w:proofErr w:type="spellEnd"/>
      <w:r>
        <w:t xml:space="preserve"> ist 2018 insolvent gegangen, hier ist noch die alte Webseite archiviert</w:t>
      </w:r>
      <w:r w:rsidR="00695005">
        <w:t>.</w:t>
      </w:r>
      <w:r>
        <w:rPr>
          <w:rStyle w:val="Funotenzeichen"/>
        </w:rPr>
        <w:footnoteReference w:id="2081"/>
      </w:r>
      <w:r>
        <w:t xml:space="preserve"> </w:t>
      </w:r>
    </w:p>
    <w:p w14:paraId="12B8D02D" w14:textId="77777777" w:rsidR="002C057C" w:rsidRDefault="002C057C" w:rsidP="002C057C"/>
    <w:p w14:paraId="5717008C" w14:textId="77777777" w:rsidR="002C057C" w:rsidRDefault="002C057C" w:rsidP="002C057C">
      <w:r>
        <w:t xml:space="preserve">Jedenfalls wird hier das zentrale Problem deutlich: Schutz macht nur dann Sinn, wenn die heimischen Unternehmen auch ausreichend für den heimischen Bedarf produzieren können. Damals gab es auch viel politischen Druck, doch Importe zuzulassen, von den Verbänden, die die Solaranlagen montierten und billige Importe </w:t>
      </w:r>
      <w:proofErr w:type="gramStart"/>
      <w:r>
        <w:t>weiter wollten</w:t>
      </w:r>
      <w:proofErr w:type="gramEnd"/>
      <w:r>
        <w:t>.</w:t>
      </w:r>
      <w:r w:rsidRPr="005878F6">
        <w:rPr>
          <w:rStyle w:val="Funotenzeichen"/>
        </w:rPr>
        <w:t xml:space="preserve"> </w:t>
      </w:r>
      <w:r>
        <w:rPr>
          <w:rStyle w:val="Funotenzeichen"/>
        </w:rPr>
        <w:footnoteReference w:id="2082"/>
      </w:r>
      <w:r>
        <w:t xml:space="preserve">  Und es gab auch offenkundig nicht die politische Bereitschaft, die bestehenden Solarfirmen mit massiven Subventionen zu unterstützen. </w:t>
      </w:r>
    </w:p>
    <w:p w14:paraId="287CEF86" w14:textId="77777777" w:rsidR="002C057C" w:rsidRDefault="002C057C" w:rsidP="002C057C"/>
    <w:p w14:paraId="5BFDBA66" w14:textId="77777777" w:rsidR="002C057C" w:rsidRDefault="002C057C" w:rsidP="002C057C">
      <w:r>
        <w:t>Seit 2014 gibt es einen Antidumpingzoll auf Solarglas, im Anschluss auf eine Auslaufüberprüfung wurde am 24.07.2024 erneut ein Antidumpingzoll von bis zu 75,4 % und ein Ausgleichszoll von bis zu 17,1 % auf Solarglas aus China erhoben.</w:t>
      </w:r>
      <w:r>
        <w:rPr>
          <w:rStyle w:val="Funotenzeichen"/>
        </w:rPr>
        <w:footnoteReference w:id="2083"/>
      </w:r>
    </w:p>
    <w:p w14:paraId="2FE4C947" w14:textId="77777777" w:rsidR="002C057C" w:rsidRDefault="002C057C" w:rsidP="002C057C"/>
    <w:p w14:paraId="770A63AF" w14:textId="3B24AB70" w:rsidR="002C057C" w:rsidRDefault="002C057C" w:rsidP="002C057C">
      <w:r>
        <w:t xml:space="preserve">Dazu kam, dass die chinesischen Hersteller immer günstiger wurden. Dies konnte man damals allerdings nicht unbedingt erwarten. Warum? Damals war die Zeit als Solarzellen mit teuren Maschinen hergestellt wurden und Sharp, Siemens und BP die Branche prägten. Die chinesische Firma </w:t>
      </w:r>
      <w:proofErr w:type="spellStart"/>
      <w:r>
        <w:t>Suntech</w:t>
      </w:r>
      <w:proofErr w:type="spellEnd"/>
      <w:r>
        <w:t xml:space="preserve"> wollte dennoch ab 2002 Solarzellen produzieren, hatte aber nicht genug Geld für Maschinen und nutzte deshalb viel Handarbeit und konnte dadurch billiger produzieren. 2008 kaufte </w:t>
      </w:r>
      <w:proofErr w:type="spellStart"/>
      <w:r>
        <w:t>Suntech</w:t>
      </w:r>
      <w:proofErr w:type="spellEnd"/>
      <w:r>
        <w:t xml:space="preserve"> die deutsche Firma KSL-Kuttler Automation Systems und es wurde eine Kombination zwischen Automatisierung und Handarbeit entwickelt, dadurch blieb </w:t>
      </w:r>
      <w:proofErr w:type="spellStart"/>
      <w:r>
        <w:t>Suntech</w:t>
      </w:r>
      <w:proofErr w:type="spellEnd"/>
      <w:r>
        <w:t xml:space="preserve"> günstig. Expandieren konnte </w:t>
      </w:r>
      <w:proofErr w:type="spellStart"/>
      <w:r>
        <w:t>Suntech</w:t>
      </w:r>
      <w:proofErr w:type="spellEnd"/>
      <w:r>
        <w:t xml:space="preserve"> durch einen Börsengang in den USA, durch IPOs und 7,3 Mrd. Kredite durch die </w:t>
      </w:r>
      <w:r>
        <w:lastRenderedPageBreak/>
        <w:t xml:space="preserve">staatliche China Development Bank. Dazu kam, das chinesische Hersteller europäische und U.S. Firmen mit fortgeschrittenen Technologien aufkaufen konnten, mit einer Kreditlinie von 4,7 Mrd. der China Development Bank </w:t>
      </w:r>
      <w:r w:rsidR="007002AC">
        <w:t xml:space="preserve">im Jahr </w:t>
      </w:r>
      <w:r>
        <w:t xml:space="preserve">2011. Dennoch bleibt diese Zeit durch hohe Preise von Polysilizium geprägt. 2011 engagierte sich der chinesische Staat und baute in 2 Jahren eine große Polysilizium Produktion auf und daraufhin sanken die Polysiliziumpreise. In dieser Zeit wurden vom chinesischen Staat 41 Mrd. für die Solarindustrie zur Verfügung gestellt. Deutschland hatte 2014 noch eine höhere Solarkapazität als China, aber China war nun extrem gut aufgestellt, schon 2011 verfügte </w:t>
      </w:r>
      <w:proofErr w:type="spellStart"/>
      <w:r>
        <w:t>Suntech</w:t>
      </w:r>
      <w:proofErr w:type="spellEnd"/>
      <w:r>
        <w:t xml:space="preserve"> über 60 % des globalen Angebots von Solarpanels und exportierte 95 %.</w:t>
      </w:r>
      <w:r>
        <w:rPr>
          <w:rStyle w:val="Funotenzeichen"/>
        </w:rPr>
        <w:footnoteReference w:id="2084"/>
      </w:r>
      <w:r>
        <w:t xml:space="preserve">  </w:t>
      </w:r>
    </w:p>
    <w:p w14:paraId="649F27EF" w14:textId="77777777" w:rsidR="002C057C" w:rsidRDefault="002C057C" w:rsidP="002C057C"/>
    <w:p w14:paraId="50DBD4E4" w14:textId="5481C004" w:rsidR="002C057C" w:rsidRDefault="002C057C" w:rsidP="002C057C">
      <w:r>
        <w:t>In den USA wurde versucht, Solar zu fördern, aber 30 % Steuererleichterungen und Kreditgarantien</w:t>
      </w:r>
      <w:r w:rsidR="007002AC">
        <w:t xml:space="preserve"> (keine Subventionen)</w:t>
      </w:r>
      <w:r>
        <w:t xml:space="preserve"> von 6 Mrd. von Präsident Obama konnten gegen die chinesischen Firmen, die mit mehr als 50 Mrd. chinesische staatliche Kredite und Staatsförderung plus Börsengeld (u.a. aus den USA) wenig ausrichten, vor allem weil Chinas Firmen einfach deutlich günstiger produzieren konnten.</w:t>
      </w:r>
      <w:r w:rsidRPr="00B87E64">
        <w:rPr>
          <w:rStyle w:val="Funotenzeichen"/>
        </w:rPr>
        <w:t xml:space="preserve"> </w:t>
      </w:r>
      <w:r>
        <w:t xml:space="preserve"> Da h</w:t>
      </w:r>
      <w:r w:rsidR="00695005">
        <w:t>alf</w:t>
      </w:r>
      <w:r>
        <w:t xml:space="preserve"> es auch wenig, wenn öffentliche Aufträge für U.S.-Firmen reserviert wurden.</w:t>
      </w:r>
      <w:r>
        <w:rPr>
          <w:rStyle w:val="Funotenzeichen"/>
        </w:rPr>
        <w:footnoteReference w:id="2085"/>
      </w:r>
      <w:r>
        <w:t xml:space="preserve"> </w:t>
      </w:r>
      <w:r w:rsidR="00DB2BAC">
        <w:t>Eine Besonderheit der USA ist allerdings die kontinuierlich bestehende Cadmium Tellurid Dünnschicht Solarproduktion der Firma First Solar, für große Solarparks, die bisher immer weiterlief.</w:t>
      </w:r>
      <w:r w:rsidR="00DB2BAC">
        <w:rPr>
          <w:rStyle w:val="Funotenzeichen"/>
        </w:rPr>
        <w:footnoteReference w:id="2086"/>
      </w:r>
      <w:r w:rsidR="00DB2BAC">
        <w:t xml:space="preserve"> </w:t>
      </w:r>
    </w:p>
    <w:p w14:paraId="062C0C5E" w14:textId="77777777" w:rsidR="00DB2BAC" w:rsidRDefault="00DB2BAC" w:rsidP="002C057C"/>
    <w:p w14:paraId="1C831974" w14:textId="211F403C" w:rsidR="002C057C" w:rsidRDefault="002C057C" w:rsidP="002C057C">
      <w:r>
        <w:t xml:space="preserve">Die USA versuchte ihre Industrie zu schützen und setzten China und Taiwan sehr hohen Antidumpingzöllen aus, siehe </w:t>
      </w:r>
      <w:r w:rsidR="00695005">
        <w:t xml:space="preserve">hier </w:t>
      </w:r>
      <w:r>
        <w:t>für eine Chronologie.</w:t>
      </w:r>
      <w:r>
        <w:rPr>
          <w:rStyle w:val="Funotenzeichen"/>
        </w:rPr>
        <w:footnoteReference w:id="2087"/>
      </w:r>
      <w:r>
        <w:t xml:space="preserve"> Dies führten allerdings zu einer Umgehung, die Zellherstellung wurde in dritte Länder verlegt, für die die AD-Zölle nicht galten</w:t>
      </w:r>
      <w:r w:rsidR="00695005">
        <w:t>:</w:t>
      </w:r>
      <w:r>
        <w:t xml:space="preserve"> </w:t>
      </w:r>
      <w:r w:rsidR="00695005">
        <w:t>C</w:t>
      </w:r>
      <w:r>
        <w:t xml:space="preserve">hinesische Teile </w:t>
      </w:r>
      <w:r w:rsidR="00695005">
        <w:t xml:space="preserve">wurden </w:t>
      </w:r>
      <w:r>
        <w:t>in Vietnam und Malaysia weiterverarbeitet und es kam sogar dazu, dass chinesische Firmen dort kurzerhand direkt Produktionsstätten für Ingots und Wafer aufgebaut haben.</w:t>
      </w:r>
      <w:r>
        <w:rPr>
          <w:rStyle w:val="Funotenzeichen"/>
        </w:rPr>
        <w:footnoteReference w:id="2088"/>
      </w:r>
      <w:r>
        <w:t xml:space="preserve"> </w:t>
      </w:r>
      <w:r w:rsidRPr="00E12BF7">
        <w:t xml:space="preserve">2010 </w:t>
      </w:r>
      <w:r>
        <w:t>gab es in den USA eine Wafer Produktion, die stoppte</w:t>
      </w:r>
      <w:r w:rsidRPr="00E12BF7">
        <w:t xml:space="preserve"> </w:t>
      </w:r>
      <w:r>
        <w:t>2016.</w:t>
      </w:r>
      <w:r>
        <w:rPr>
          <w:rStyle w:val="Funotenzeichen"/>
        </w:rPr>
        <w:footnoteReference w:id="2089"/>
      </w:r>
      <w:r>
        <w:t xml:space="preserve"> In dieser Zeit ist auch die Zellenproduktion in der USA zusammengebrochen, trotz der </w:t>
      </w:r>
      <w:proofErr w:type="spellStart"/>
      <w:r>
        <w:t>Section</w:t>
      </w:r>
      <w:proofErr w:type="spellEnd"/>
      <w:r>
        <w:t xml:space="preserve"> 201 Safeguard Maßnahme 2012 und 2015, weil Zellen aus anderen Ländern kamen.</w:t>
      </w:r>
      <w:r>
        <w:rPr>
          <w:rStyle w:val="Funotenzeichen"/>
        </w:rPr>
        <w:footnoteReference w:id="2090"/>
      </w:r>
      <w:r>
        <w:t xml:space="preserve"> Die U.S. </w:t>
      </w:r>
      <w:proofErr w:type="spellStart"/>
      <w:r>
        <w:t>Schutzklauselzölle</w:t>
      </w:r>
      <w:proofErr w:type="spellEnd"/>
      <w:r>
        <w:t xml:space="preserve"> 201 auf importierte Zellen und Module 2015 aus China kam für </w:t>
      </w:r>
      <w:proofErr w:type="spellStart"/>
      <w:r>
        <w:t>Solarworld</w:t>
      </w:r>
      <w:proofErr w:type="spellEnd"/>
      <w:r>
        <w:t xml:space="preserve"> USA zu spät.</w:t>
      </w:r>
      <w:r>
        <w:rPr>
          <w:rStyle w:val="Funotenzeichen"/>
        </w:rPr>
        <w:footnoteReference w:id="2091"/>
      </w:r>
      <w:r>
        <w:t xml:space="preserve"> Ebenso wurden 2018 Antidumpingzölle, Antisubventionszölle und </w:t>
      </w:r>
      <w:proofErr w:type="spellStart"/>
      <w:r>
        <w:t>Schutzklauselzölle</w:t>
      </w:r>
      <w:proofErr w:type="spellEnd"/>
      <w:r>
        <w:t xml:space="preserve"> etabliert, mit hohen Zöllen, aber auch niedrigen Zöllen für bestimmte chinesische Firmen.</w:t>
      </w:r>
      <w:r>
        <w:rPr>
          <w:rStyle w:val="Funotenzeichen"/>
        </w:rPr>
        <w:footnoteReference w:id="2092"/>
      </w:r>
      <w:r>
        <w:t xml:space="preserve"> Soweit ersichtlich produzierte </w:t>
      </w:r>
      <w:proofErr w:type="spellStart"/>
      <w:r>
        <w:t>Solarworld</w:t>
      </w:r>
      <w:proofErr w:type="spellEnd"/>
      <w:r>
        <w:t xml:space="preserve"> USA auch Wafer und Zellen selbst, sie hatten Shell Produktionsstätten abgekauft, 2010 wurde ein Modulwerk in </w:t>
      </w:r>
      <w:proofErr w:type="spellStart"/>
      <w:r>
        <w:t>Hillsboro</w:t>
      </w:r>
      <w:proofErr w:type="spellEnd"/>
      <w:r>
        <w:t xml:space="preserve"> eingeweiht.</w:t>
      </w:r>
      <w:r>
        <w:rPr>
          <w:rStyle w:val="Funotenzeichen"/>
        </w:rPr>
        <w:footnoteReference w:id="2093"/>
      </w:r>
      <w:r>
        <w:t xml:space="preserve"> 2018 wurden die </w:t>
      </w:r>
      <w:proofErr w:type="spellStart"/>
      <w:r>
        <w:t>Section</w:t>
      </w:r>
      <w:proofErr w:type="spellEnd"/>
      <w:r>
        <w:t xml:space="preserve"> 201 Schutzklausel-Zölle von 30 % auf alle Länder ausgeweitet.</w:t>
      </w:r>
      <w:r>
        <w:rPr>
          <w:rStyle w:val="Funotenzeichen"/>
        </w:rPr>
        <w:footnoteReference w:id="2094"/>
      </w:r>
      <w:r>
        <w:t xml:space="preserve"> Daraufhin bauten Hanwha Q Cells, LG Solar, Jinko Solar und andere eine 5,5 GW Solarmodulfertigung in den USA auf (wohlgemerkt immer noch nicht Ingots, Wafer oder Zellfertigung, es geht nur um die Module).</w:t>
      </w:r>
      <w:r>
        <w:rPr>
          <w:rStyle w:val="Funotenzeichen"/>
        </w:rPr>
        <w:footnoteReference w:id="2095"/>
      </w:r>
      <w:r>
        <w:t xml:space="preserve"> Im Jahr 2022 gab es keine Ingots-, Wafer- und </w:t>
      </w:r>
      <w:proofErr w:type="spellStart"/>
      <w:r>
        <w:lastRenderedPageBreak/>
        <w:t>Silizimsolarzellenproduktion</w:t>
      </w:r>
      <w:proofErr w:type="spellEnd"/>
      <w:r>
        <w:t xml:space="preserve"> mehr in den USA und auch nur eine auf Halbleiter beschränkte Polysiliziumproduktion, die u.a. offenbar bei Wacker Chemie gedrosselt wurde, da China Zölle auf Polysilizium aus den USA auferlegt.</w:t>
      </w:r>
      <w:r>
        <w:rPr>
          <w:rStyle w:val="Funotenzeichen"/>
        </w:rPr>
        <w:footnoteReference w:id="2096"/>
      </w:r>
      <w:r>
        <w:t xml:space="preserve"> </w:t>
      </w:r>
      <w:r w:rsidR="003739CA">
        <w:t xml:space="preserve">China schützt sich also ‚auch‘. </w:t>
      </w:r>
      <w:r>
        <w:t xml:space="preserve">Bis heute </w:t>
      </w:r>
      <w:r w:rsidR="003739CA">
        <w:t>bestehen handelspolitische Maßnahmen in den USA</w:t>
      </w:r>
      <w:r>
        <w:t>, z.B. 2022 mit einer Umgehungs-Untersuchung (‚anti-</w:t>
      </w:r>
      <w:proofErr w:type="spellStart"/>
      <w:r>
        <w:t>circumvention</w:t>
      </w:r>
      <w:proofErr w:type="spellEnd"/>
      <w:r>
        <w:t>‘) gegen Kambodscha, Malaysia, Thailand und Vietnam</w:t>
      </w:r>
      <w:r>
        <w:rPr>
          <w:rStyle w:val="Funotenzeichen"/>
        </w:rPr>
        <w:footnoteReference w:id="2097"/>
      </w:r>
      <w:r>
        <w:t xml:space="preserve">, siehe </w:t>
      </w:r>
      <w:r w:rsidR="003739CA">
        <w:t xml:space="preserve">u.a. </w:t>
      </w:r>
      <w:r>
        <w:t>U.S. DOE</w:t>
      </w:r>
      <w:r w:rsidRPr="00B87E64">
        <w:t xml:space="preserve"> Solar Energy Supply Chain Report, 2022.</w:t>
      </w:r>
      <w:r>
        <w:rPr>
          <w:rStyle w:val="Funotenzeichen"/>
          <w:lang w:val="en-GB"/>
        </w:rPr>
        <w:footnoteReference w:id="2098"/>
      </w:r>
      <w:r>
        <w:t xml:space="preserve"> Solarmodule werden offenbar von den USA gar nicht mehr aus China importiert, sondern nur noch aus diesen Ländern.</w:t>
      </w:r>
      <w:r>
        <w:rPr>
          <w:rStyle w:val="Funotenzeichen"/>
        </w:rPr>
        <w:footnoteReference w:id="2099"/>
      </w:r>
      <w:r>
        <w:t xml:space="preserve"> </w:t>
      </w:r>
      <w:r w:rsidRPr="000B05A3">
        <w:t>In den USA sti</w:t>
      </w:r>
      <w:r>
        <w:t>e</w:t>
      </w:r>
      <w:r w:rsidRPr="000B05A3">
        <w:t xml:space="preserve">g </w:t>
      </w:r>
      <w:r w:rsidR="003739CA">
        <w:t xml:space="preserve">in den letzten Jahren </w:t>
      </w:r>
      <w:r w:rsidRPr="000B05A3">
        <w:t xml:space="preserve">allein die Herstellung von Solarmodulen </w:t>
      </w:r>
      <w:r>
        <w:t>wieder an (2020: 14 %), durch Zölle auf chinesische Module, die sonstigen Module kommen aus Malaysia, Vietnam, Thailand und die Zellen kommen aus Südkorea, Malaysia, China, Vietnam, Thailand.</w:t>
      </w:r>
      <w:r>
        <w:rPr>
          <w:rStyle w:val="Funotenzeichen"/>
        </w:rPr>
        <w:footnoteReference w:id="2100"/>
      </w:r>
      <w:r>
        <w:t xml:space="preserve"> </w:t>
      </w:r>
    </w:p>
    <w:p w14:paraId="6C743CD2" w14:textId="77777777" w:rsidR="002C057C" w:rsidRDefault="002C057C" w:rsidP="002C057C"/>
    <w:p w14:paraId="424E41A5" w14:textId="19341C1C" w:rsidR="002C057C" w:rsidRDefault="002C057C" w:rsidP="002C057C">
      <w:r>
        <w:t>Auffällig sind die Ausnahmen, so hat Präsident Trump 2018</w:t>
      </w:r>
      <w:r w:rsidR="003739CA">
        <w:t>, der sich nach außen hin als Befürworter von Schutzzöllen und dem Aufbau amerikanischer Industrie unter Zollschutz darstellt,</w:t>
      </w:r>
      <w:r>
        <w:t xml:space="preserve"> jeweils die ersten 2,5 Gigawatt Solarzellen jedes Jahr kostenlos hereingelassen und die </w:t>
      </w:r>
      <w:proofErr w:type="spellStart"/>
      <w:r>
        <w:t>Schutzklauselzölle</w:t>
      </w:r>
      <w:proofErr w:type="spellEnd"/>
      <w:r>
        <w:t xml:space="preserve"> jährlich verringert</w:t>
      </w:r>
      <w:r w:rsidR="007002AC">
        <w:t xml:space="preserve"> hat</w:t>
      </w:r>
      <w:r>
        <w:t>, 2018: 30 %, 2019: 25 %; 2020: 20 %; 2021: 15 %.</w:t>
      </w:r>
      <w:r>
        <w:rPr>
          <w:rStyle w:val="Funotenzeichen"/>
        </w:rPr>
        <w:footnoteReference w:id="2101"/>
      </w:r>
      <w:r>
        <w:t xml:space="preserve"> Die U.S. Solar Energy Industries </w:t>
      </w:r>
      <w:proofErr w:type="spellStart"/>
      <w:r>
        <w:t>Association</w:t>
      </w:r>
      <w:proofErr w:type="spellEnd"/>
      <w:r>
        <w:t xml:space="preserve"> protestierte gegen die Zölle (schließlich gab es in den USA niemanden, der von den Zöllen geschützt wurde, vielleicht außer </w:t>
      </w:r>
      <w:proofErr w:type="spellStart"/>
      <w:r>
        <w:t>Sunviva</w:t>
      </w:r>
      <w:proofErr w:type="spellEnd"/>
      <w:r>
        <w:t xml:space="preserve"> und andere</w:t>
      </w:r>
      <w:r w:rsidR="00875E9A">
        <w:t xml:space="preserve"> </w:t>
      </w:r>
      <w:r>
        <w:t>kleine Hersteller).</w:t>
      </w:r>
      <w:r>
        <w:rPr>
          <w:rStyle w:val="Funotenzeichen"/>
        </w:rPr>
        <w:footnoteReference w:id="2102"/>
      </w:r>
      <w:r>
        <w:t xml:space="preserve"> Es gab Freude in der Solar Energy Industries </w:t>
      </w:r>
      <w:proofErr w:type="spellStart"/>
      <w:r>
        <w:t>Association</w:t>
      </w:r>
      <w:proofErr w:type="spellEnd"/>
      <w:r>
        <w:t xml:space="preserve"> darüber, dass Präsident Biden im Juni 2022 Anti-Umgehungszölle für Module und Zellen ausgesetzt hat</w:t>
      </w:r>
      <w:r>
        <w:rPr>
          <w:rStyle w:val="Funotenzeichen"/>
        </w:rPr>
        <w:footnoteReference w:id="2103"/>
      </w:r>
      <w:r>
        <w:t xml:space="preserve">, für 2 Jahre, </w:t>
      </w:r>
      <w:r w:rsidR="003739CA">
        <w:t xml:space="preserve">gültig für </w:t>
      </w:r>
      <w:r>
        <w:t>Vietnam, Malaysia, Thailand und Kambodscha (nicht gültig für Solarmodule, die Solarzellen enthalten, die in China und Taiwan hergestellt sind).</w:t>
      </w:r>
      <w:r>
        <w:rPr>
          <w:rStyle w:val="Funotenzeichen"/>
        </w:rPr>
        <w:footnoteReference w:id="2104"/>
      </w:r>
      <w:r>
        <w:t xml:space="preserve"> Bis heute gibt es in den USA offenkundig die Schutzklausel und auch die AD/CV Maßnahmen, die neuen Webseiten der USITC und des DOC sind aber viel unzugänglicher als </w:t>
      </w:r>
      <w:r w:rsidR="003739CA">
        <w:t>früher</w:t>
      </w:r>
      <w:r>
        <w:t xml:space="preserve">, es ist schwer dort aktuellen Infos herauszusuchen. </w:t>
      </w:r>
    </w:p>
    <w:p w14:paraId="4F392C6F" w14:textId="77777777" w:rsidR="002C057C" w:rsidRDefault="002C057C" w:rsidP="002C057C"/>
    <w:p w14:paraId="5F6A81D4" w14:textId="2301803B" w:rsidR="002C057C" w:rsidRDefault="002C057C" w:rsidP="002C057C">
      <w:r>
        <w:t xml:space="preserve">Die Solar Energy Industries </w:t>
      </w:r>
      <w:proofErr w:type="spellStart"/>
      <w:r>
        <w:t>Association</w:t>
      </w:r>
      <w:proofErr w:type="spellEnd"/>
      <w:r>
        <w:t xml:space="preserve"> hofft auf einen erneuten Aufbau der Solarindustrie in den USA, deutlich wird aber, dass dies erst in den Anfängen ist, </w:t>
      </w:r>
      <w:r w:rsidR="00DB2BAC">
        <w:t xml:space="preserve">es </w:t>
      </w:r>
      <w:r>
        <w:t xml:space="preserve">weder </w:t>
      </w:r>
      <w:r w:rsidR="00DB2BAC">
        <w:t xml:space="preserve">eben weder </w:t>
      </w:r>
      <w:r>
        <w:t>Wafer noch Zellen</w:t>
      </w:r>
      <w:r w:rsidR="00DB2BAC">
        <w:t xml:space="preserve"> </w:t>
      </w:r>
      <w:r>
        <w:t>derzeit in den USA produziert, für 2024 wurde erstmals ein ganz kleiner Wert für Solarmodule gemeldet, die aus heimischen Zellen mit importierten Wafern hergestellt wurden (2023 gab es dies gar nicht), es wird für 2025 davon ausgegangen, dass erstmals Solarmodule mit heimischen Wafern und heimischen Zellen produziert werden.</w:t>
      </w:r>
      <w:r>
        <w:rPr>
          <w:rStyle w:val="Funotenzeichen"/>
        </w:rPr>
        <w:footnoteReference w:id="2105"/>
      </w:r>
      <w:r>
        <w:t xml:space="preserve"> Es wird gesagt, dass der Aufbau der heimischen Industrie parallel zu einem offenen Handel stattfinden soll, es wird sich eine Zellproduktion der neuen </w:t>
      </w:r>
      <w:r>
        <w:lastRenderedPageBreak/>
        <w:t>HJT-</w:t>
      </w:r>
      <w:r>
        <w:rPr>
          <w:rStyle w:val="Funotenzeichen"/>
        </w:rPr>
        <w:footnoteReference w:id="2106"/>
      </w:r>
      <w:r>
        <w:t xml:space="preserve"> oder </w:t>
      </w:r>
      <w:proofErr w:type="spellStart"/>
      <w:r>
        <w:t>TopCon</w:t>
      </w:r>
      <w:proofErr w:type="spellEnd"/>
      <w:r>
        <w:t>-Solarzellen</w:t>
      </w:r>
      <w:r>
        <w:rPr>
          <w:rStyle w:val="Funotenzeichen"/>
        </w:rPr>
        <w:footnoteReference w:id="2107"/>
      </w:r>
      <w:r>
        <w:t xml:space="preserve"> gewünscht, unklar ist, wer dies aufbauen soll, wichtig sei auch eine eigene </w:t>
      </w:r>
      <w:proofErr w:type="spellStart"/>
      <w:r>
        <w:t>Solarglasproduktion</w:t>
      </w:r>
      <w:proofErr w:type="spellEnd"/>
      <w:r>
        <w:t>.</w:t>
      </w:r>
      <w:r>
        <w:rPr>
          <w:rStyle w:val="Funotenzeichen"/>
        </w:rPr>
        <w:footnoteReference w:id="2108"/>
      </w:r>
      <w:r>
        <w:t xml:space="preserve"> </w:t>
      </w:r>
    </w:p>
    <w:p w14:paraId="14038440" w14:textId="77777777" w:rsidR="002C057C" w:rsidRDefault="002C057C" w:rsidP="002C057C"/>
    <w:p w14:paraId="65F543BE" w14:textId="1A968D0F" w:rsidR="002C057C" w:rsidRDefault="002C057C" w:rsidP="002C057C">
      <w:r>
        <w:t xml:space="preserve">Die einzige Firma, die in den USA Siliziumsolarzellen herstellt, ist </w:t>
      </w:r>
      <w:proofErr w:type="spellStart"/>
      <w:r>
        <w:t>Suniva</w:t>
      </w:r>
      <w:proofErr w:type="spellEnd"/>
      <w:r>
        <w:t xml:space="preserve">. Mehr konnte ich nicht im Internet finden. </w:t>
      </w:r>
      <w:proofErr w:type="spellStart"/>
      <w:r>
        <w:t>Suniva</w:t>
      </w:r>
      <w:proofErr w:type="spellEnd"/>
      <w:r>
        <w:t xml:space="preserve"> hatte aber auch teils aufgehört, sie</w:t>
      </w:r>
      <w:r w:rsidR="00DB2BAC">
        <w:t xml:space="preserve"> </w:t>
      </w:r>
      <w:r>
        <w:t xml:space="preserve">eröffnet </w:t>
      </w:r>
      <w:r w:rsidR="00DB2BAC">
        <w:t xml:space="preserve">z.B. </w:t>
      </w:r>
      <w:r>
        <w:t xml:space="preserve">2023 erst ihre ehemalige Betriebsstätte in Norcross, Georgia, neu, </w:t>
      </w:r>
      <w:r w:rsidR="00DB2BAC">
        <w:t xml:space="preserve">mit einer Kapazität von </w:t>
      </w:r>
      <w:r>
        <w:t xml:space="preserve">1 GW pro Jahr, aufgrund der Anreize im Inflation </w:t>
      </w:r>
      <w:proofErr w:type="spellStart"/>
      <w:r>
        <w:t>Reduction</w:t>
      </w:r>
      <w:proofErr w:type="spellEnd"/>
      <w:r>
        <w:t xml:space="preserve"> Act.</w:t>
      </w:r>
      <w:r>
        <w:rPr>
          <w:rStyle w:val="Funotenzeichen"/>
        </w:rPr>
        <w:footnoteReference w:id="2109"/>
      </w:r>
      <w:r>
        <w:t xml:space="preserve"> Der Inflation </w:t>
      </w:r>
      <w:proofErr w:type="spellStart"/>
      <w:r>
        <w:t>Reduction</w:t>
      </w:r>
      <w:proofErr w:type="spellEnd"/>
      <w:r>
        <w:t xml:space="preserve"> Act sieht Steuererleicht</w:t>
      </w:r>
      <w:r w:rsidR="00BE5C40">
        <w:t>er</w:t>
      </w:r>
      <w:r>
        <w:t>ungen für den Aufbau von Solarparks bzw. einen besonderen Bonus vor, wenn ein Großteil der verwendeten Rohstoffe und Vorprodukte aus den USA stammen.</w:t>
      </w:r>
      <w:r>
        <w:rPr>
          <w:rStyle w:val="Funotenzeichen"/>
        </w:rPr>
        <w:footnoteReference w:id="2110"/>
      </w:r>
      <w:r>
        <w:t xml:space="preserve"> </w:t>
      </w:r>
      <w:proofErr w:type="spellStart"/>
      <w:r>
        <w:t>Suniva</w:t>
      </w:r>
      <w:proofErr w:type="spellEnd"/>
      <w:r>
        <w:t xml:space="preserve"> hat am 10. März 2025 in einer Pressemitteilung verlautbart, dass es der Firma </w:t>
      </w:r>
      <w:proofErr w:type="spellStart"/>
      <w:r>
        <w:t>Suniva</w:t>
      </w:r>
      <w:proofErr w:type="spellEnd"/>
      <w:r>
        <w:t xml:space="preserve"> gelungen ist, einen ersten vollständig in den USA hergestellten ‚Made in </w:t>
      </w:r>
      <w:proofErr w:type="spellStart"/>
      <w:r>
        <w:t>America</w:t>
      </w:r>
      <w:proofErr w:type="spellEnd"/>
      <w:r>
        <w:t xml:space="preserve">‘ Solar Module Supply Chain aufzubauen und zwar interessanterweise mit einem Hersteller von hochwertigen Polysilizium für die Computerchipherstellung: Corning, der stellt die Ingots und Wafer her und am anderen Ende der Wertschöpfung fertig die Firma </w:t>
      </w:r>
      <w:proofErr w:type="spellStart"/>
      <w:r>
        <w:t>Heliene</w:t>
      </w:r>
      <w:proofErr w:type="spellEnd"/>
      <w:r>
        <w:t xml:space="preserve"> die Solarmodule.</w:t>
      </w:r>
      <w:r>
        <w:rPr>
          <w:rStyle w:val="Funotenzeichen"/>
        </w:rPr>
        <w:footnoteReference w:id="2111"/>
      </w:r>
      <w:r>
        <w:t xml:space="preserve"> Weitere Hersteller haben angekündigt, Zellen herstellen zu wollen, siehe die interaktive Karte der </w:t>
      </w:r>
      <w:r w:rsidRPr="00A63483">
        <w:t xml:space="preserve">U.S. Solar Energy Industries </w:t>
      </w:r>
      <w:proofErr w:type="spellStart"/>
      <w:r w:rsidRPr="00A63483">
        <w:t>Association</w:t>
      </w:r>
      <w:proofErr w:type="spellEnd"/>
      <w:r>
        <w:t>: Mission Solar (2026), Toyo Solar (2026), SEG Solar (2026), Canadian Solar (2027). Ingo</w:t>
      </w:r>
      <w:r w:rsidR="00DB2BAC">
        <w:t>t</w:t>
      </w:r>
      <w:r>
        <w:t xml:space="preserve">s bzw. Wafer wollen herstellen: </w:t>
      </w:r>
      <w:proofErr w:type="spellStart"/>
      <w:r>
        <w:t>Norsun</w:t>
      </w:r>
      <w:proofErr w:type="spellEnd"/>
      <w:r>
        <w:t xml:space="preserve"> (2026), </w:t>
      </w:r>
      <w:proofErr w:type="spellStart"/>
      <w:r>
        <w:t>QCells</w:t>
      </w:r>
      <w:proofErr w:type="spellEnd"/>
      <w:r>
        <w:t xml:space="preserve"> (2025) und eben Corning auf dem Gelände der Firma Hemlock.</w:t>
      </w:r>
      <w:r>
        <w:rPr>
          <w:rStyle w:val="Funotenzeichen"/>
        </w:rPr>
        <w:footnoteReference w:id="2112"/>
      </w:r>
      <w:r>
        <w:t xml:space="preserve"> Die große international aktive Firma Corning gehört Dow Chemicals und ist u.a. bekannt für das Gorilla Glas.</w:t>
      </w:r>
      <w:r>
        <w:rPr>
          <w:rStyle w:val="Funotenzeichen"/>
        </w:rPr>
        <w:footnoteReference w:id="2113"/>
      </w:r>
      <w:r>
        <w:t xml:space="preserve"> Damit ist aber sicherlich noch nicht so viel Produktion aufgebaut wurde, dass man nun die Zölle hochfahren und heimische Projekte fortan von heimischen Firmen beliefert</w:t>
      </w:r>
      <w:r w:rsidR="00DB2BAC">
        <w:t xml:space="preserve"> kann</w:t>
      </w:r>
      <w:r>
        <w:t xml:space="preserve"> … es muss also </w:t>
      </w:r>
      <w:r w:rsidR="00DB2BAC">
        <w:t xml:space="preserve">auch in den </w:t>
      </w:r>
      <w:r>
        <w:t>USA</w:t>
      </w:r>
      <w:r w:rsidR="00DB2BAC">
        <w:t xml:space="preserve"> handels- und industriepolitische</w:t>
      </w:r>
      <w:r>
        <w:t xml:space="preserve"> Maßnahmen geben, die </w:t>
      </w:r>
      <w:r w:rsidR="00DB2BAC">
        <w:t>für eine solche</w:t>
      </w:r>
      <w:r>
        <w:t xml:space="preserve"> Zwischenphase geeignet sind … </w:t>
      </w:r>
      <w:r w:rsidR="00765A97">
        <w:t>auch die</w:t>
      </w:r>
      <w:r>
        <w:t xml:space="preserve"> USA </w:t>
      </w:r>
      <w:r w:rsidR="00765A97">
        <w:t xml:space="preserve">könnten </w:t>
      </w:r>
      <w:r>
        <w:t>‚</w:t>
      </w:r>
      <w:proofErr w:type="spellStart"/>
      <w:r>
        <w:t>undertakings</w:t>
      </w:r>
      <w:proofErr w:type="spellEnd"/>
      <w:r>
        <w:t xml:space="preserve">‘ </w:t>
      </w:r>
      <w:r w:rsidR="00DB2BAC">
        <w:t xml:space="preserve">im Antidumping- bzw. Antisubventionsbereich </w:t>
      </w:r>
      <w:r w:rsidR="00765A97">
        <w:t>nutzen</w:t>
      </w:r>
      <w:r>
        <w:t>, wie die EU Kommission</w:t>
      </w:r>
      <w:r w:rsidR="00765A97">
        <w:t>, dies haben sie bereits in vielen Fällen gemacht</w:t>
      </w:r>
      <w:r>
        <w:t>.</w:t>
      </w:r>
      <w:r w:rsidR="00765A97">
        <w:rPr>
          <w:rStyle w:val="Funotenzeichen"/>
        </w:rPr>
        <w:footnoteReference w:id="2114"/>
      </w:r>
      <w:r>
        <w:t xml:space="preserve"> </w:t>
      </w:r>
    </w:p>
    <w:p w14:paraId="0D34CE95" w14:textId="77777777" w:rsidR="002C057C" w:rsidRDefault="002C057C" w:rsidP="002C057C"/>
    <w:p w14:paraId="3DE5D596" w14:textId="3BF3D89F" w:rsidR="002C057C" w:rsidRPr="00DB2BAC" w:rsidRDefault="002C057C" w:rsidP="002C057C">
      <w:pPr>
        <w:rPr>
          <w:lang w:val="en-GB"/>
        </w:rPr>
      </w:pPr>
      <w:r>
        <w:t xml:space="preserve">Zum Gesamtbild. Weltweit gibt es 140 GW Zell- und Modulproduktion, EU </w:t>
      </w:r>
      <w:r w:rsidR="00DB2BAC">
        <w:t>verfügt</w:t>
      </w:r>
      <w:r>
        <w:t xml:space="preserve"> davon </w:t>
      </w:r>
      <w:r w:rsidR="00DB2BAC">
        <w:t xml:space="preserve">über </w:t>
      </w:r>
      <w:r>
        <w:t>14 % (2020).</w:t>
      </w:r>
      <w:r>
        <w:rPr>
          <w:rStyle w:val="Funotenzeichen"/>
        </w:rPr>
        <w:footnoteReference w:id="2115"/>
      </w:r>
      <w:r>
        <w:t xml:space="preserve"> Die EU hat eine erfolgreiche Polysiliziumindustrie mit 21 % Weltmarktanteil (Wacker Chemie, die auch in den USA produziert</w:t>
      </w:r>
      <w:r>
        <w:rPr>
          <w:rStyle w:val="Funotenzeichen"/>
        </w:rPr>
        <w:footnoteReference w:id="2116"/>
      </w:r>
      <w:r>
        <w:t>), und auch eine spezialisierte Maschinenbauindustrie. aber wenig Herstellung von Ingots und Wafers.</w:t>
      </w:r>
      <w:r>
        <w:rPr>
          <w:rStyle w:val="Funotenzeichen"/>
        </w:rPr>
        <w:footnoteReference w:id="2117"/>
      </w:r>
      <w:r>
        <w:t xml:space="preserve"> Außerhalb von China gab es 2021 ca. 60 GW </w:t>
      </w:r>
      <w:r>
        <w:lastRenderedPageBreak/>
        <w:t>Zellherstellung, in China 250 GW. Außerhalb von China gibt es 100 GW Modulherstellung (die Zellen werden zusammengefasst, Glasscheibe davor, Aluminiumkasten drum, Anschlüsse), in China 300 GW.</w:t>
      </w:r>
      <w:r>
        <w:rPr>
          <w:rStyle w:val="Funotenzeichen"/>
        </w:rPr>
        <w:footnoteReference w:id="2118"/>
      </w:r>
      <w:r w:rsidR="00DB2BAC">
        <w:t xml:space="preserve"> </w:t>
      </w:r>
      <w:proofErr w:type="spellStart"/>
      <w:r w:rsidR="00DB2BAC" w:rsidRPr="00311E23">
        <w:rPr>
          <w:lang w:val="en-GB"/>
        </w:rPr>
        <w:t>Infos</w:t>
      </w:r>
      <w:proofErr w:type="spellEnd"/>
      <w:r w:rsidR="00DB2BAC" w:rsidRPr="00311E23">
        <w:rPr>
          <w:lang w:val="en-GB"/>
        </w:rPr>
        <w:t xml:space="preserve"> </w:t>
      </w:r>
      <w:proofErr w:type="spellStart"/>
      <w:proofErr w:type="gramStart"/>
      <w:r w:rsidR="00DB2BAC" w:rsidRPr="00311E23">
        <w:rPr>
          <w:lang w:val="en-GB"/>
        </w:rPr>
        <w:t>zur</w:t>
      </w:r>
      <w:proofErr w:type="spellEnd"/>
      <w:r w:rsidR="00DB2BAC" w:rsidRPr="00311E23">
        <w:rPr>
          <w:lang w:val="en-GB"/>
        </w:rPr>
        <w:t xml:space="preserve"> USA</w:t>
      </w:r>
      <w:proofErr w:type="gramEnd"/>
      <w:r w:rsidR="00DB2BAC" w:rsidRPr="00311E23">
        <w:rPr>
          <w:lang w:val="en-GB"/>
        </w:rPr>
        <w:t xml:space="preserve"> </w:t>
      </w:r>
      <w:proofErr w:type="spellStart"/>
      <w:r w:rsidR="00DB2BAC" w:rsidRPr="00311E23">
        <w:rPr>
          <w:lang w:val="en-GB"/>
        </w:rPr>
        <w:t>siehe</w:t>
      </w:r>
      <w:proofErr w:type="spellEnd"/>
      <w:r w:rsidR="00DB2BAC" w:rsidRPr="00311E23">
        <w:rPr>
          <w:lang w:val="en-GB"/>
        </w:rPr>
        <w:t xml:space="preserve"> </w:t>
      </w:r>
      <w:proofErr w:type="spellStart"/>
      <w:r w:rsidR="00DB2BAC" w:rsidRPr="00311E23">
        <w:rPr>
          <w:lang w:val="en-GB"/>
        </w:rPr>
        <w:t>hier</w:t>
      </w:r>
      <w:proofErr w:type="spellEnd"/>
      <w:r w:rsidR="00DB2BAC" w:rsidRPr="00311E23">
        <w:rPr>
          <w:lang w:val="en-GB"/>
        </w:rPr>
        <w:t>, US Department of Energy.</w:t>
      </w:r>
      <w:r w:rsidR="00DB2BAC">
        <w:rPr>
          <w:rStyle w:val="Funotenzeichen"/>
        </w:rPr>
        <w:footnoteReference w:id="2119"/>
      </w:r>
      <w:r w:rsidR="00DB2BAC" w:rsidRPr="00311E23">
        <w:rPr>
          <w:lang w:val="en-GB"/>
        </w:rPr>
        <w:t xml:space="preserve"> </w:t>
      </w:r>
      <w:proofErr w:type="spellStart"/>
      <w:r w:rsidR="00DB2BAC" w:rsidRPr="00FD6E4C">
        <w:rPr>
          <w:lang w:val="en-GB"/>
        </w:rPr>
        <w:t>Detailliert</w:t>
      </w:r>
      <w:proofErr w:type="spellEnd"/>
      <w:r w:rsidR="00DB2BAC" w:rsidRPr="00FD6E4C">
        <w:rPr>
          <w:lang w:val="en-GB"/>
        </w:rPr>
        <w:t>, Solar Energy Supply Chain Report, 2022.</w:t>
      </w:r>
      <w:r w:rsidR="00DB2BAC">
        <w:rPr>
          <w:rStyle w:val="Funotenzeichen"/>
          <w:lang w:val="en-GB"/>
        </w:rPr>
        <w:footnoteReference w:id="2120"/>
      </w:r>
    </w:p>
    <w:p w14:paraId="2AA721EF" w14:textId="77777777" w:rsidR="002C057C" w:rsidRPr="000D484B" w:rsidRDefault="002C057C" w:rsidP="002C057C">
      <w:pPr>
        <w:rPr>
          <w:lang w:val="en-GB"/>
        </w:rPr>
      </w:pPr>
    </w:p>
    <w:p w14:paraId="68CD92C2" w14:textId="5E9B0D54" w:rsidR="002C057C" w:rsidRDefault="002C057C" w:rsidP="002C057C">
      <w:r>
        <w:t xml:space="preserve">Lange Rede kurzer Sinn: </w:t>
      </w:r>
      <w:r w:rsidR="0094771F">
        <w:t xml:space="preserve">Aus diesem Beispiel folgt, dass </w:t>
      </w:r>
      <w:r w:rsidR="0094771F" w:rsidRPr="0094771F">
        <w:t>hier</w:t>
      </w:r>
      <w:r w:rsidRPr="0094771F">
        <w:t xml:space="preserve"> kein Fehlschlag </w:t>
      </w:r>
      <w:r w:rsidR="0094771F" w:rsidRPr="0094771F">
        <w:t>einer ‚konventionellen‘</w:t>
      </w:r>
      <w:r w:rsidRPr="0094771F">
        <w:t xml:space="preserve"> Industriepolitik </w:t>
      </w:r>
      <w:proofErr w:type="gramStart"/>
      <w:r w:rsidRPr="0094771F">
        <w:t>in de</w:t>
      </w:r>
      <w:r w:rsidR="0094771F" w:rsidRPr="0094771F">
        <w:t>r</w:t>
      </w:r>
      <w:r w:rsidRPr="0094771F">
        <w:t xml:space="preserve"> USA</w:t>
      </w:r>
      <w:proofErr w:type="gramEnd"/>
      <w:r w:rsidRPr="0094771F">
        <w:t xml:space="preserve"> oder der EU vor</w:t>
      </w:r>
      <w:r w:rsidR="0094771F" w:rsidRPr="0094771F">
        <w:t>liegt</w:t>
      </w:r>
      <w:r w:rsidRPr="0094771F">
        <w:t>, weil es e</w:t>
      </w:r>
      <w:r w:rsidR="0094771F" w:rsidRPr="0094771F">
        <w:t xml:space="preserve">ine </w:t>
      </w:r>
      <w:r w:rsidRPr="0094771F">
        <w:t>Industriepolitik</w:t>
      </w:r>
      <w:r w:rsidR="005A4DA5" w:rsidRPr="0094771F">
        <w:t>, zum Beispiel günstige Kredite, Subventionen etc.</w:t>
      </w:r>
      <w:r w:rsidR="006A5985" w:rsidRPr="0094771F">
        <w:t xml:space="preserve"> </w:t>
      </w:r>
      <w:r w:rsidRPr="0094771F">
        <w:t>gar nicht</w:t>
      </w:r>
      <w:r w:rsidR="005A4DA5" w:rsidRPr="0094771F">
        <w:t xml:space="preserve"> in größerem Ausmaß</w:t>
      </w:r>
      <w:r w:rsidRPr="0094771F">
        <w:t xml:space="preserve"> gab. </w:t>
      </w:r>
      <w:r w:rsidR="00714C7F" w:rsidRPr="0094771F">
        <w:t>Auch</w:t>
      </w:r>
      <w:r w:rsidRPr="0094771F">
        <w:t xml:space="preserve"> ein Fehlschlag </w:t>
      </w:r>
      <w:r w:rsidR="0094771F" w:rsidRPr="0094771F">
        <w:t>einer schützenden</w:t>
      </w:r>
      <w:r w:rsidRPr="0094771F">
        <w:t xml:space="preserve"> Handelspolitik</w:t>
      </w:r>
      <w:r w:rsidR="00714C7F" w:rsidRPr="0094771F">
        <w:t xml:space="preserve"> liegt nicht </w:t>
      </w:r>
      <w:r w:rsidR="0094771F" w:rsidRPr="0094771F">
        <w:t xml:space="preserve">bzw. nur teilweise </w:t>
      </w:r>
      <w:r w:rsidR="00714C7F" w:rsidRPr="0094771F">
        <w:t>vor</w:t>
      </w:r>
      <w:r w:rsidR="005A4DA5" w:rsidRPr="0094771F">
        <w:t xml:space="preserve">, </w:t>
      </w:r>
      <w:r w:rsidR="0094771F" w:rsidRPr="0094771F">
        <w:t>in der EU wurden moderat hohe Minimumpreise und eine großzügige Mengenbeschränkung genutzt</w:t>
      </w:r>
      <w:r w:rsidR="002135B6">
        <w:t xml:space="preserve">, innerhalb der Mengenbeschränkung lag der Zoll bei null, </w:t>
      </w:r>
      <w:r w:rsidR="00C6668C">
        <w:t xml:space="preserve">es war </w:t>
      </w:r>
      <w:r w:rsidR="004F3AA0">
        <w:t xml:space="preserve">somit </w:t>
      </w:r>
      <w:r w:rsidR="00C6668C">
        <w:t xml:space="preserve">gewollt, dass weiter Importe aus China erfolgen, um die erneuerbaren Energien weiter aufbauen zu können, </w:t>
      </w:r>
      <w:r w:rsidR="002135B6">
        <w:t xml:space="preserve">ebenso wurde der Import von Wafern aus China erlaubt und </w:t>
      </w:r>
      <w:r w:rsidR="004F3AA0">
        <w:t>in diesem Bereich war man von China weitgehend abhängig</w:t>
      </w:r>
      <w:r w:rsidR="002135B6">
        <w:t>.</w:t>
      </w:r>
      <w:r w:rsidR="0094771F" w:rsidRPr="0094771F">
        <w:t xml:space="preserve"> </w:t>
      </w:r>
      <w:proofErr w:type="gramStart"/>
      <w:r w:rsidR="002135B6">
        <w:t>I</w:t>
      </w:r>
      <w:r w:rsidR="0094771F" w:rsidRPr="0094771F">
        <w:t>n de</w:t>
      </w:r>
      <w:r w:rsidR="002135B6">
        <w:t>r</w:t>
      </w:r>
      <w:r w:rsidR="0094771F" w:rsidRPr="0094771F">
        <w:t xml:space="preserve"> USA</w:t>
      </w:r>
      <w:proofErr w:type="gramEnd"/>
      <w:r w:rsidR="0094771F" w:rsidRPr="0094771F">
        <w:t xml:space="preserve"> wurden höhere Zölle genutzt, die durch Produktion in anderen Ländern umgangen wurden, ebenso gab es</w:t>
      </w:r>
      <w:r w:rsidR="005A4DA5" w:rsidRPr="0094771F">
        <w:t xml:space="preserve"> </w:t>
      </w:r>
      <w:r w:rsidR="004F3AA0">
        <w:t xml:space="preserve">aber </w:t>
      </w:r>
      <w:r w:rsidR="005A4DA5" w:rsidRPr="0094771F">
        <w:t>Ausnahmen</w:t>
      </w:r>
      <w:r w:rsidR="002135B6">
        <w:t xml:space="preserve"> und Moratorien</w:t>
      </w:r>
      <w:r w:rsidR="005A4DA5" w:rsidRPr="0094771F">
        <w:t xml:space="preserve">. </w:t>
      </w:r>
      <w:r w:rsidR="002135B6">
        <w:t xml:space="preserve">Es gab in den USA Kreditgarantien, öffentliche Aufträge und später im Inflation </w:t>
      </w:r>
      <w:proofErr w:type="spellStart"/>
      <w:r w:rsidR="002135B6">
        <w:t>Reduction</w:t>
      </w:r>
      <w:proofErr w:type="spellEnd"/>
      <w:r w:rsidR="002135B6">
        <w:t xml:space="preserve"> Act auch Bonus-Subventionen für die Nutzung von ‚</w:t>
      </w:r>
      <w:proofErr w:type="spellStart"/>
      <w:r w:rsidR="002135B6">
        <w:t>local</w:t>
      </w:r>
      <w:proofErr w:type="spellEnd"/>
      <w:r w:rsidR="002135B6">
        <w:t xml:space="preserve"> </w:t>
      </w:r>
      <w:proofErr w:type="spellStart"/>
      <w:r w:rsidR="002135B6">
        <w:t>content</w:t>
      </w:r>
      <w:proofErr w:type="spellEnd"/>
      <w:r w:rsidR="002135B6">
        <w:t xml:space="preserve">‘, dies reichte nur dafür aus, dass einzelne Firmen überlebten, mehr nicht. China hat in den Jahren um 2010 bis 2012 über 50 Mrd. Euro in die Solarindustrie gesteckt, ein solcher Geldbetrag wurde in der EU und der USA nicht aktiviert. </w:t>
      </w:r>
      <w:r w:rsidR="0094771F" w:rsidRPr="0094771F">
        <w:rPr>
          <w:u w:val="single"/>
        </w:rPr>
        <w:t xml:space="preserve">Die </w:t>
      </w:r>
      <w:r w:rsidR="009A4085">
        <w:rPr>
          <w:u w:val="single"/>
        </w:rPr>
        <w:t xml:space="preserve">erste </w:t>
      </w:r>
      <w:r w:rsidR="0094771F" w:rsidRPr="0094771F">
        <w:rPr>
          <w:u w:val="single"/>
        </w:rPr>
        <w:t xml:space="preserve">Lehre daraus ist, dass man Handelspolitik aktiver und besser überwachen muss und schneller auf Umgehung </w:t>
      </w:r>
      <w:r w:rsidR="00FC4873">
        <w:rPr>
          <w:u w:val="single"/>
        </w:rPr>
        <w:t xml:space="preserve">bzw. Produktionsverlagerungen in andere Länder </w:t>
      </w:r>
      <w:r w:rsidR="0094771F" w:rsidRPr="0094771F">
        <w:rPr>
          <w:u w:val="single"/>
        </w:rPr>
        <w:t xml:space="preserve">reagieren muss. Die </w:t>
      </w:r>
      <w:r w:rsidR="009A4085">
        <w:rPr>
          <w:u w:val="single"/>
        </w:rPr>
        <w:t>zweite</w:t>
      </w:r>
      <w:r w:rsidR="0094771F" w:rsidRPr="0094771F">
        <w:rPr>
          <w:u w:val="single"/>
        </w:rPr>
        <w:t xml:space="preserve"> Lehre daraus ist, dass es</w:t>
      </w:r>
      <w:r w:rsidR="005A4DA5" w:rsidRPr="0094771F">
        <w:rPr>
          <w:u w:val="single"/>
        </w:rPr>
        <w:t xml:space="preserve"> </w:t>
      </w:r>
      <w:r w:rsidR="00765A97">
        <w:rPr>
          <w:u w:val="single"/>
        </w:rPr>
        <w:t>keinen</w:t>
      </w:r>
      <w:r w:rsidRPr="0094771F">
        <w:rPr>
          <w:u w:val="single"/>
        </w:rPr>
        <w:t xml:space="preserve"> Sinn</w:t>
      </w:r>
      <w:r w:rsidR="005A4DA5" w:rsidRPr="0094771F">
        <w:rPr>
          <w:u w:val="single"/>
        </w:rPr>
        <w:t xml:space="preserve"> macht</w:t>
      </w:r>
      <w:r w:rsidRPr="0094771F">
        <w:rPr>
          <w:u w:val="single"/>
        </w:rPr>
        <w:t xml:space="preserve">, sich gegenüber der Solarproduktion anderer Länder abzuschotten, wenn man nicht </w:t>
      </w:r>
      <w:r w:rsidR="00DB2BAC">
        <w:rPr>
          <w:u w:val="single"/>
        </w:rPr>
        <w:t>in der Lage ist selbst</w:t>
      </w:r>
      <w:r w:rsidRPr="0094771F">
        <w:rPr>
          <w:u w:val="single"/>
        </w:rPr>
        <w:t xml:space="preserve"> </w:t>
      </w:r>
      <w:r w:rsidR="00DB2BAC">
        <w:rPr>
          <w:u w:val="single"/>
        </w:rPr>
        <w:t>die</w:t>
      </w:r>
      <w:r w:rsidRPr="0094771F">
        <w:rPr>
          <w:u w:val="single"/>
        </w:rPr>
        <w:t xml:space="preserve"> Mengen</w:t>
      </w:r>
      <w:r w:rsidR="00DB2BAC">
        <w:rPr>
          <w:u w:val="single"/>
        </w:rPr>
        <w:t xml:space="preserve"> zu produzieren</w:t>
      </w:r>
      <w:r w:rsidRPr="0094771F">
        <w:rPr>
          <w:u w:val="single"/>
        </w:rPr>
        <w:t>, die man braucht</w:t>
      </w:r>
      <w:r w:rsidRPr="0005554D">
        <w:t xml:space="preserve">. </w:t>
      </w:r>
      <w:r w:rsidR="0094771F" w:rsidRPr="0005554D">
        <w:t xml:space="preserve">Schon bevor Schutz aktiviert wird, muss </w:t>
      </w:r>
      <w:r w:rsidR="00FC4873">
        <w:t>bereits</w:t>
      </w:r>
      <w:r w:rsidR="002135B6" w:rsidRPr="0005554D">
        <w:t xml:space="preserve"> eine </w:t>
      </w:r>
      <w:r w:rsidR="0094771F" w:rsidRPr="0005554D">
        <w:t>Industrie</w:t>
      </w:r>
      <w:r w:rsidR="002135B6" w:rsidRPr="0005554D">
        <w:t xml:space="preserve"> bestehen</w:t>
      </w:r>
      <w:r w:rsidR="0094771F" w:rsidRPr="0005554D">
        <w:t xml:space="preserve">, die schon </w:t>
      </w:r>
      <w:r w:rsidR="00FC4873">
        <w:t>höhere</w:t>
      </w:r>
      <w:r w:rsidR="0094771F" w:rsidRPr="0005554D">
        <w:t xml:space="preserve"> Kapazitäten hat und </w:t>
      </w:r>
      <w:r w:rsidR="002135B6" w:rsidRPr="0005554D">
        <w:t xml:space="preserve">die </w:t>
      </w:r>
      <w:r w:rsidR="0094771F" w:rsidRPr="0005554D">
        <w:t>schon darauf vorbereitet ist, Kapazitäten zu erweitern, um den Schutz auch zu nutzen.</w:t>
      </w:r>
      <w:r w:rsidRPr="0005554D">
        <w:t xml:space="preserve"> </w:t>
      </w:r>
      <w:r w:rsidR="00FC4873">
        <w:t xml:space="preserve">Man muss also vor der Aktivierung von Schutzmaßnahmen Vorbereitungen treffen, in anderen Worten, man muss einen Plan haben. </w:t>
      </w:r>
      <w:r w:rsidR="009A4085" w:rsidRPr="0005554D">
        <w:t>Vielleicht hätte dies</w:t>
      </w:r>
      <w:r w:rsidR="0094771F" w:rsidRPr="0005554D">
        <w:t xml:space="preserve"> </w:t>
      </w:r>
      <w:r w:rsidR="009A4085" w:rsidRPr="0005554D">
        <w:t xml:space="preserve">in der </w:t>
      </w:r>
      <w:r w:rsidR="0094771F" w:rsidRPr="0005554D">
        <w:t xml:space="preserve">EU </w:t>
      </w:r>
      <w:r w:rsidR="009A4085" w:rsidRPr="0005554D">
        <w:t>funktionieren können, wenn es Subventionen gegeben hätte, und</w:t>
      </w:r>
      <w:r w:rsidR="00FC4873">
        <w:t xml:space="preserve"> parallel dazu</w:t>
      </w:r>
      <w:r w:rsidR="009A4085" w:rsidRPr="0005554D">
        <w:t xml:space="preserve"> die</w:t>
      </w:r>
      <w:r w:rsidR="0094771F" w:rsidRPr="0005554D">
        <w:t xml:space="preserve"> Mengenbeschränkung </w:t>
      </w:r>
      <w:r w:rsidR="009A4085" w:rsidRPr="0005554D">
        <w:t>des ‚</w:t>
      </w:r>
      <w:proofErr w:type="spellStart"/>
      <w:r w:rsidR="009A4085" w:rsidRPr="0005554D">
        <w:t>undertaking</w:t>
      </w:r>
      <w:proofErr w:type="spellEnd"/>
      <w:r w:rsidR="009A4085" w:rsidRPr="0005554D">
        <w:t>‘ von</w:t>
      </w:r>
      <w:r w:rsidR="0094771F" w:rsidRPr="0005554D">
        <w:t xml:space="preserve"> 7 GW schrittweise ein</w:t>
      </w:r>
      <w:r w:rsidR="009A4085" w:rsidRPr="0005554D">
        <w:t>ge</w:t>
      </w:r>
      <w:r w:rsidR="0094771F" w:rsidRPr="0005554D">
        <w:t>schränk</w:t>
      </w:r>
      <w:r w:rsidR="009A4085" w:rsidRPr="0005554D">
        <w:t xml:space="preserve">t </w:t>
      </w:r>
      <w:r w:rsidR="00FC4873">
        <w:t>worden wären</w:t>
      </w:r>
      <w:r w:rsidR="0094771F" w:rsidRPr="0005554D">
        <w:t xml:space="preserve">. </w:t>
      </w:r>
      <w:r w:rsidR="009A4085">
        <w:t xml:space="preserve">Wie schon oben gesagt, hat China hat bei Solar auf allen Produktionsstufen: Polysilizium, Wafer, Zellen, Module einen Kostenvorteil </w:t>
      </w:r>
      <w:proofErr w:type="gramStart"/>
      <w:r w:rsidR="009A4085">
        <w:t>gegenüber der USA</w:t>
      </w:r>
      <w:proofErr w:type="gramEnd"/>
      <w:r w:rsidR="009A4085">
        <w:t>, außer bei den Cadmium Telluride Zellen von First Solar, hier sind die Kosten gleich.</w:t>
      </w:r>
      <w:r w:rsidR="009A4085">
        <w:rPr>
          <w:rStyle w:val="Funotenzeichen"/>
        </w:rPr>
        <w:footnoteReference w:id="2121"/>
      </w:r>
      <w:r w:rsidR="009A4085">
        <w:t xml:space="preserve"> 2023 lagen die Preise bei 24 Cent je Watt, nun bei 10 Cent pro Watt. Die Produktionskosten in Europa liegen bei 30 bis 40 Cent pro Watt.</w:t>
      </w:r>
      <w:r w:rsidR="009A4085">
        <w:rPr>
          <w:rStyle w:val="Funotenzeichen"/>
        </w:rPr>
        <w:t xml:space="preserve"> </w:t>
      </w:r>
      <w:r w:rsidR="009A4085">
        <w:rPr>
          <w:rStyle w:val="Funotenzeichen"/>
        </w:rPr>
        <w:footnoteReference w:id="2122"/>
      </w:r>
      <w:r w:rsidR="009A4085">
        <w:t xml:space="preserve"> </w:t>
      </w:r>
      <w:r w:rsidR="00FC4873">
        <w:rPr>
          <w:u w:val="single"/>
        </w:rPr>
        <w:t>Drittens muss</w:t>
      </w:r>
      <w:r w:rsidR="009A4085" w:rsidRPr="00765A97">
        <w:rPr>
          <w:u w:val="single"/>
        </w:rPr>
        <w:t xml:space="preserve"> man </w:t>
      </w:r>
      <w:r w:rsidR="00FC4873">
        <w:rPr>
          <w:u w:val="single"/>
        </w:rPr>
        <w:t xml:space="preserve">eben </w:t>
      </w:r>
      <w:r w:rsidR="009A4085" w:rsidRPr="00765A97">
        <w:rPr>
          <w:u w:val="single"/>
        </w:rPr>
        <w:t>davon ausgehe</w:t>
      </w:r>
      <w:r w:rsidR="00FC4873">
        <w:rPr>
          <w:u w:val="single"/>
        </w:rPr>
        <w:t>n</w:t>
      </w:r>
      <w:r w:rsidR="009A4085" w:rsidRPr="00765A97">
        <w:rPr>
          <w:u w:val="single"/>
        </w:rPr>
        <w:t>, dass chinesische Produkte auch in vielen Jahren noch günstiger sein werden</w:t>
      </w:r>
      <w:r w:rsidR="00765A97">
        <w:t xml:space="preserve">, </w:t>
      </w:r>
      <w:r w:rsidR="00765A97" w:rsidRPr="00765A97">
        <w:rPr>
          <w:u w:val="single"/>
        </w:rPr>
        <w:t xml:space="preserve">das heißt, dass </w:t>
      </w:r>
      <w:proofErr w:type="gramStart"/>
      <w:r w:rsidR="00765A97" w:rsidRPr="00765A97">
        <w:rPr>
          <w:u w:val="single"/>
        </w:rPr>
        <w:t xml:space="preserve">die </w:t>
      </w:r>
      <w:r w:rsidR="00FC4873">
        <w:rPr>
          <w:u w:val="single"/>
        </w:rPr>
        <w:t xml:space="preserve">handelspolitische und industriepolitische </w:t>
      </w:r>
      <w:r w:rsidR="00765A97" w:rsidRPr="00765A97">
        <w:rPr>
          <w:u w:val="single"/>
        </w:rPr>
        <w:t>Maßnahmen</w:t>
      </w:r>
      <w:proofErr w:type="gramEnd"/>
      <w:r w:rsidR="00765A97" w:rsidRPr="00765A97">
        <w:rPr>
          <w:u w:val="single"/>
        </w:rPr>
        <w:t xml:space="preserve"> über viel</w:t>
      </w:r>
      <w:r w:rsidR="00FC4873">
        <w:rPr>
          <w:u w:val="single"/>
        </w:rPr>
        <w:t xml:space="preserve">e </w:t>
      </w:r>
      <w:r w:rsidR="00765A97" w:rsidRPr="00765A97">
        <w:rPr>
          <w:u w:val="single"/>
        </w:rPr>
        <w:t>Jahre kontinuierlich bestehen bleiben müssen</w:t>
      </w:r>
      <w:r w:rsidR="009A4085">
        <w:t xml:space="preserve">. Dies ist für die handelspolitische Community </w:t>
      </w:r>
      <w:r w:rsidR="00765A97">
        <w:t>ungewohnt</w:t>
      </w:r>
      <w:r w:rsidR="009A4085">
        <w:t>, zumindest in der Theorie ist man immer von temporären Maßnahmen ausgegangen</w:t>
      </w:r>
      <w:r w:rsidR="00FC4873">
        <w:t xml:space="preserve">, wiewohl es </w:t>
      </w:r>
      <w:r w:rsidR="009A4085">
        <w:t>seit Jahrzehnten in der Praxis Antidumping-Maßnahmen</w:t>
      </w:r>
      <w:r w:rsidR="00FC4873">
        <w:t xml:space="preserve"> gab</w:t>
      </w:r>
      <w:r w:rsidR="009A4085">
        <w:t>, die durchgängig best</w:t>
      </w:r>
      <w:r w:rsidR="00765A97">
        <w:t>anden</w:t>
      </w:r>
      <w:r w:rsidR="009A4085">
        <w:t xml:space="preserve"> und immer wieder verlängert wurden.</w:t>
      </w:r>
      <w:r w:rsidR="009A4085">
        <w:rPr>
          <w:rStyle w:val="Funotenzeichen"/>
        </w:rPr>
        <w:footnoteReference w:id="2123"/>
      </w:r>
      <w:r w:rsidR="009A4085">
        <w:t xml:space="preserve"> </w:t>
      </w:r>
      <w:r w:rsidR="00FC4873">
        <w:t>Auch für die Theorie der Industriepolitik ist das ungewohnt</w:t>
      </w:r>
      <w:r w:rsidR="0091709B">
        <w:t>.</w:t>
      </w:r>
      <w:r w:rsidR="00FC4873">
        <w:t xml:space="preserve"> </w:t>
      </w:r>
      <w:r w:rsidR="0091709B">
        <w:t>W</w:t>
      </w:r>
      <w:r w:rsidR="00FC4873">
        <w:t>enn man erst einmal die vielen Wissenslücken, die dem Staat</w:t>
      </w:r>
      <w:r w:rsidR="0091709B">
        <w:t xml:space="preserve"> von Hayek</w:t>
      </w:r>
      <w:r w:rsidR="00FC4873">
        <w:t xml:space="preserve"> unterstellt werden, überwunden hat und einer Firma mit Subventionen bei Aufbau hilft, wird immer davon ausgegangen, dass sie danach selbst überleben muss, denn sonst ist es eben ein Fehlschlag oder aus neoliberaler Sicht ‚</w:t>
      </w:r>
      <w:proofErr w:type="spellStart"/>
      <w:r w:rsidR="00FC4873">
        <w:t>rent-seeking</w:t>
      </w:r>
      <w:proofErr w:type="spellEnd"/>
      <w:r w:rsidR="00FC4873">
        <w:t>‘</w:t>
      </w:r>
      <w:r w:rsidR="0091709B">
        <w:t xml:space="preserve"> bzw. ‚</w:t>
      </w:r>
      <w:proofErr w:type="spellStart"/>
      <w:r w:rsidR="0091709B">
        <w:t>living</w:t>
      </w:r>
      <w:proofErr w:type="spellEnd"/>
      <w:r w:rsidR="0091709B">
        <w:t xml:space="preserve"> </w:t>
      </w:r>
      <w:proofErr w:type="spellStart"/>
      <w:r w:rsidR="0091709B">
        <w:t>the</w:t>
      </w:r>
      <w:proofErr w:type="spellEnd"/>
      <w:r w:rsidR="0091709B">
        <w:t xml:space="preserve"> </w:t>
      </w:r>
      <w:proofErr w:type="spellStart"/>
      <w:r w:rsidR="0091709B">
        <w:t>q</w:t>
      </w:r>
      <w:r w:rsidR="00875E9A">
        <w:t>u</w:t>
      </w:r>
      <w:r w:rsidR="0091709B">
        <w:t>iet</w:t>
      </w:r>
      <w:proofErr w:type="spellEnd"/>
      <w:r w:rsidR="0091709B">
        <w:t xml:space="preserve"> live‘, Gegenbeispiel ist der koreanische Aufbau seiner Automobilindustrie, die erst nach 10 Jahren erste Exporterfolge hatte</w:t>
      </w:r>
      <w:r w:rsidR="00875E9A">
        <w:t xml:space="preserve">, </w:t>
      </w:r>
      <w:r w:rsidR="00875E9A">
        <w:lastRenderedPageBreak/>
        <w:t>wobei</w:t>
      </w:r>
      <w:r w:rsidR="0091709B">
        <w:t xml:space="preserve"> der Staat auf allen Ebenen und immer wieder interveniert</w:t>
      </w:r>
      <w:r w:rsidR="00875E9A">
        <w:t xml:space="preserve"> hat</w:t>
      </w:r>
      <w:r w:rsidR="0091709B">
        <w:t>, sogar mit einer Rationalisierungspolitik, die den Eintritt von zu vielen Firmen staatlich verboten hat, um Vorteile durch Massenfertigung erzielen zu können.</w:t>
      </w:r>
      <w:r w:rsidR="0091709B">
        <w:rPr>
          <w:rStyle w:val="Funotenzeichen"/>
        </w:rPr>
        <w:footnoteReference w:id="2124"/>
      </w:r>
      <w:r w:rsidR="0091709B">
        <w:t xml:space="preserve">  </w:t>
      </w:r>
      <w:r w:rsidR="00FC4873">
        <w:t xml:space="preserve">  </w:t>
      </w:r>
    </w:p>
    <w:p w14:paraId="22FA1A7E" w14:textId="77777777" w:rsidR="002C057C" w:rsidRDefault="002C057C" w:rsidP="002C057C"/>
    <w:p w14:paraId="6FD71CD3" w14:textId="747017C2" w:rsidR="002C057C" w:rsidRDefault="00714C7F" w:rsidP="002C057C">
      <w:r>
        <w:t>1</w:t>
      </w:r>
      <w:r w:rsidR="00E9298D">
        <w:t>5</w:t>
      </w:r>
      <w:r>
        <w:t xml:space="preserve">.2 </w:t>
      </w:r>
      <w:r w:rsidR="002C057C">
        <w:t>EU Handelspolitische Maßnahmen gegen China</w:t>
      </w:r>
    </w:p>
    <w:p w14:paraId="2A79CEAD" w14:textId="77777777" w:rsidR="002C057C" w:rsidRDefault="002C057C" w:rsidP="002C057C"/>
    <w:p w14:paraId="1DFA9EC9" w14:textId="40A5E62C" w:rsidR="002C057C" w:rsidRDefault="002C057C" w:rsidP="002C057C">
      <w:r>
        <w:t xml:space="preserve">Wie sieht </w:t>
      </w:r>
      <w:r w:rsidR="005A4DA5">
        <w:t xml:space="preserve">die </w:t>
      </w:r>
      <w:r>
        <w:t>Handelspolitik gegen</w:t>
      </w:r>
      <w:r w:rsidR="0091709B">
        <w:t>über</w:t>
      </w:r>
      <w:r>
        <w:t xml:space="preserve"> China bei erneuerbaren Energien </w:t>
      </w:r>
      <w:r w:rsidR="005A4DA5">
        <w:t xml:space="preserve">aktuell </w:t>
      </w:r>
      <w:r>
        <w:t>aus?</w:t>
      </w:r>
    </w:p>
    <w:p w14:paraId="32AA59FD" w14:textId="77777777" w:rsidR="002C057C" w:rsidRDefault="002C057C" w:rsidP="002C057C"/>
    <w:p w14:paraId="4C4B1800" w14:textId="77777777" w:rsidR="002C057C" w:rsidRPr="004635DF" w:rsidRDefault="002C057C" w:rsidP="002C057C">
      <w:pPr>
        <w:rPr>
          <w:lang w:val="en-GB"/>
        </w:rPr>
      </w:pPr>
      <w:r>
        <w:t>Infoseiten zu handelspolitischen Maßnahmen sind: Generaldirektion Handel / DG Trade, hier die Einstiegsseite.</w:t>
      </w:r>
      <w:r>
        <w:rPr>
          <w:rStyle w:val="Funotenzeichen"/>
        </w:rPr>
        <w:footnoteReference w:id="2125"/>
      </w:r>
      <w:r>
        <w:t xml:space="preserve"> </w:t>
      </w:r>
      <w:r w:rsidRPr="00B33D84">
        <w:rPr>
          <w:lang w:val="en-GB"/>
        </w:rPr>
        <w:t>Trade Defence.</w:t>
      </w:r>
      <w:r>
        <w:rPr>
          <w:rStyle w:val="Funotenzeichen"/>
        </w:rPr>
        <w:footnoteReference w:id="2126"/>
      </w:r>
      <w:r w:rsidRPr="00B33D84">
        <w:rPr>
          <w:lang w:val="en-GB"/>
        </w:rPr>
        <w:t xml:space="preserve"> </w:t>
      </w:r>
      <w:r w:rsidRPr="00157C24">
        <w:rPr>
          <w:lang w:val="en-GB"/>
        </w:rPr>
        <w:t>Antidumping measure.</w:t>
      </w:r>
      <w:r>
        <w:rPr>
          <w:rStyle w:val="Funotenzeichen"/>
        </w:rPr>
        <w:footnoteReference w:id="2127"/>
      </w:r>
      <w:r w:rsidRPr="00157C24">
        <w:rPr>
          <w:lang w:val="en-GB"/>
        </w:rPr>
        <w:t xml:space="preserve"> Anti-subsidy measure.</w:t>
      </w:r>
      <w:r>
        <w:rPr>
          <w:rStyle w:val="Funotenzeichen"/>
        </w:rPr>
        <w:footnoteReference w:id="2128"/>
      </w:r>
      <w:r w:rsidRPr="00157C24">
        <w:rPr>
          <w:lang w:val="en-GB"/>
        </w:rPr>
        <w:t xml:space="preserve"> China, </w:t>
      </w:r>
      <w:proofErr w:type="spellStart"/>
      <w:r w:rsidRPr="00157C24">
        <w:rPr>
          <w:lang w:val="en-GB"/>
        </w:rPr>
        <w:t>dort</w:t>
      </w:r>
      <w:proofErr w:type="spellEnd"/>
      <w:r w:rsidRPr="00157C24">
        <w:rPr>
          <w:lang w:val="en-GB"/>
        </w:rPr>
        <w:t xml:space="preserve"> </w:t>
      </w:r>
      <w:proofErr w:type="spellStart"/>
      <w:r w:rsidRPr="00157C24">
        <w:rPr>
          <w:lang w:val="en-GB"/>
        </w:rPr>
        <w:t>unten</w:t>
      </w:r>
      <w:proofErr w:type="spellEnd"/>
      <w:r w:rsidRPr="00157C24">
        <w:rPr>
          <w:lang w:val="en-GB"/>
        </w:rPr>
        <w:t xml:space="preserve"> </w:t>
      </w:r>
      <w:proofErr w:type="spellStart"/>
      <w:r w:rsidRPr="00157C24">
        <w:rPr>
          <w:lang w:val="en-GB"/>
        </w:rPr>
        <w:t>auch</w:t>
      </w:r>
      <w:proofErr w:type="spellEnd"/>
      <w:r>
        <w:rPr>
          <w:lang w:val="en-GB"/>
        </w:rPr>
        <w:t>:</w:t>
      </w:r>
      <w:r w:rsidRPr="00157C24">
        <w:rPr>
          <w:lang w:val="en-GB"/>
        </w:rPr>
        <w:t xml:space="preserve"> EU trade </w:t>
      </w:r>
      <w:proofErr w:type="spellStart"/>
      <w:r w:rsidRPr="00157C24">
        <w:rPr>
          <w:lang w:val="en-GB"/>
        </w:rPr>
        <w:t>defense</w:t>
      </w:r>
      <w:proofErr w:type="spellEnd"/>
      <w:r w:rsidRPr="00157C24">
        <w:rPr>
          <w:lang w:val="en-GB"/>
        </w:rPr>
        <w:t xml:space="preserve"> measures </w:t>
      </w:r>
      <w:r>
        <w:rPr>
          <w:lang w:val="en-GB"/>
        </w:rPr>
        <w:t>on</w:t>
      </w:r>
      <w:r w:rsidRPr="00157C24">
        <w:rPr>
          <w:lang w:val="en-GB"/>
        </w:rPr>
        <w:t xml:space="preserve"> </w:t>
      </w:r>
      <w:r>
        <w:rPr>
          <w:lang w:val="en-GB"/>
        </w:rPr>
        <w:t>imports from China</w:t>
      </w:r>
      <w:r w:rsidRPr="00157C24">
        <w:rPr>
          <w:lang w:val="en-GB"/>
        </w:rPr>
        <w:t>.</w:t>
      </w:r>
      <w:r>
        <w:rPr>
          <w:rStyle w:val="Funotenzeichen"/>
        </w:rPr>
        <w:footnoteReference w:id="2129"/>
      </w:r>
      <w:r>
        <w:rPr>
          <w:lang w:val="en-GB"/>
        </w:rPr>
        <w:t xml:space="preserve"> </w:t>
      </w:r>
      <w:proofErr w:type="spellStart"/>
      <w:r w:rsidRPr="004635DF">
        <w:rPr>
          <w:lang w:val="en-GB"/>
        </w:rPr>
        <w:t>Datenbank</w:t>
      </w:r>
      <w:proofErr w:type="spellEnd"/>
      <w:r w:rsidRPr="004635DF">
        <w:rPr>
          <w:lang w:val="en-GB"/>
        </w:rPr>
        <w:t xml:space="preserve"> Ongoing Investigations, </w:t>
      </w:r>
      <w:proofErr w:type="spellStart"/>
      <w:r w:rsidRPr="004635DF">
        <w:rPr>
          <w:lang w:val="en-GB"/>
        </w:rPr>
        <w:t>hier</w:t>
      </w:r>
      <w:proofErr w:type="spellEnd"/>
      <w:r w:rsidRPr="004635DF">
        <w:rPr>
          <w:lang w:val="en-GB"/>
        </w:rPr>
        <w:t xml:space="preserve"> </w:t>
      </w:r>
      <w:proofErr w:type="spellStart"/>
      <w:r w:rsidRPr="004635DF">
        <w:rPr>
          <w:lang w:val="en-GB"/>
        </w:rPr>
        <w:t>ist</w:t>
      </w:r>
      <w:proofErr w:type="spellEnd"/>
      <w:r w:rsidRPr="004635DF">
        <w:rPr>
          <w:lang w:val="en-GB"/>
        </w:rPr>
        <w:t xml:space="preserve"> Search Investigations, Country: People’s Republic of</w:t>
      </w:r>
      <w:r>
        <w:rPr>
          <w:lang w:val="en-GB"/>
        </w:rPr>
        <w:t xml:space="preserve"> China</w:t>
      </w:r>
      <w:r w:rsidRPr="004635DF">
        <w:rPr>
          <w:lang w:val="en-GB"/>
        </w:rPr>
        <w:t xml:space="preserve"> </w:t>
      </w:r>
      <w:proofErr w:type="spellStart"/>
      <w:r>
        <w:rPr>
          <w:lang w:val="en-GB"/>
        </w:rPr>
        <w:t>auswählen</w:t>
      </w:r>
      <w:proofErr w:type="spellEnd"/>
      <w:r w:rsidRPr="004635DF">
        <w:rPr>
          <w:lang w:val="en-GB"/>
        </w:rPr>
        <w:t>.</w:t>
      </w:r>
      <w:r>
        <w:rPr>
          <w:rStyle w:val="Funotenzeichen"/>
          <w:lang w:val="en-GB"/>
        </w:rPr>
        <w:footnoteReference w:id="2130"/>
      </w:r>
      <w:r w:rsidRPr="004635DF">
        <w:rPr>
          <w:lang w:val="en-GB"/>
        </w:rPr>
        <w:t xml:space="preserve">  </w:t>
      </w:r>
    </w:p>
    <w:p w14:paraId="77E490B6" w14:textId="77777777" w:rsidR="002C057C" w:rsidRDefault="002C057C" w:rsidP="002C057C">
      <w:pPr>
        <w:rPr>
          <w:lang w:val="en-GB"/>
        </w:rPr>
      </w:pPr>
    </w:p>
    <w:p w14:paraId="169098B8" w14:textId="77777777" w:rsidR="002C057C" w:rsidRPr="00A86275" w:rsidRDefault="002C057C" w:rsidP="002C057C">
      <w:r w:rsidRPr="00A86275">
        <w:t xml:space="preserve">In der EU wurde </w:t>
      </w:r>
      <w:r>
        <w:t xml:space="preserve">am 20. </w:t>
      </w:r>
      <w:r w:rsidRPr="00A86275">
        <w:t xml:space="preserve">Juni 2023 eine neue </w:t>
      </w:r>
      <w:proofErr w:type="spellStart"/>
      <w:r w:rsidRPr="00A86275">
        <w:t>Economic</w:t>
      </w:r>
      <w:proofErr w:type="spellEnd"/>
      <w:r w:rsidRPr="00A86275">
        <w:t xml:space="preserve"> Security </w:t>
      </w:r>
      <w:proofErr w:type="spellStart"/>
      <w:r w:rsidRPr="00A86275">
        <w:t>Strategy</w:t>
      </w:r>
      <w:proofErr w:type="spellEnd"/>
      <w:r w:rsidRPr="00A86275">
        <w:t xml:space="preserve"> angekündigt bzw. </w:t>
      </w:r>
      <w:r>
        <w:t>m</w:t>
      </w:r>
      <w:r w:rsidRPr="00A86275">
        <w:t>itgeteilt, die schon bestehende Maßnahmen enthält</w:t>
      </w:r>
      <w:r>
        <w:t>, aber auch neue Ideen</w:t>
      </w:r>
      <w:r>
        <w:rPr>
          <w:rStyle w:val="Funotenzeichen"/>
        </w:rPr>
        <w:footnoteReference w:id="2131"/>
      </w:r>
      <w:r>
        <w:t>, siehe das Dokument hier.</w:t>
      </w:r>
      <w:r>
        <w:rPr>
          <w:rStyle w:val="Funotenzeichen"/>
        </w:rPr>
        <w:footnoteReference w:id="2132"/>
      </w:r>
      <w:r w:rsidRPr="00A86275">
        <w:t xml:space="preserve"> </w:t>
      </w:r>
    </w:p>
    <w:p w14:paraId="443F9566" w14:textId="77777777" w:rsidR="002C057C" w:rsidRPr="00A86275" w:rsidRDefault="002C057C" w:rsidP="002C057C"/>
    <w:p w14:paraId="565339A1" w14:textId="77777777" w:rsidR="002C057C" w:rsidRDefault="002C057C" w:rsidP="002C057C">
      <w:r>
        <w:t>Es gibt derzeit in der EU folgende Untersuchungen bzw. Maßnahmen gegen China im Bereich Solar und Energiewende:</w:t>
      </w:r>
    </w:p>
    <w:p w14:paraId="51D6AB95" w14:textId="77777777" w:rsidR="002C057C" w:rsidRDefault="002C057C" w:rsidP="002C057C"/>
    <w:p w14:paraId="338141A8" w14:textId="1AAE8A07" w:rsidR="002C057C" w:rsidRPr="00400B27" w:rsidRDefault="002C057C" w:rsidP="002C057C">
      <w:r w:rsidRPr="00400B27">
        <w:t xml:space="preserve">E-Autos. </w:t>
      </w:r>
      <w:r w:rsidRPr="008A2FF6">
        <w:t xml:space="preserve">New </w:t>
      </w:r>
      <w:proofErr w:type="spellStart"/>
      <w:r w:rsidRPr="008A2FF6">
        <w:t>battery</w:t>
      </w:r>
      <w:proofErr w:type="spellEnd"/>
      <w:r w:rsidRPr="008A2FF6">
        <w:t xml:space="preserve"> </w:t>
      </w:r>
      <w:proofErr w:type="spellStart"/>
      <w:r w:rsidRPr="008A2FF6">
        <w:t>electric</w:t>
      </w:r>
      <w:proofErr w:type="spellEnd"/>
      <w:r w:rsidRPr="008A2FF6">
        <w:t xml:space="preserve"> </w:t>
      </w:r>
      <w:proofErr w:type="spellStart"/>
      <w:r w:rsidRPr="008A2FF6">
        <w:t>vehicles</w:t>
      </w:r>
      <w:proofErr w:type="spellEnd"/>
      <w:r w:rsidRPr="008A2FF6">
        <w:t xml:space="preserve"> </w:t>
      </w:r>
      <w:proofErr w:type="spellStart"/>
      <w:r w:rsidRPr="008A2FF6">
        <w:t>for</w:t>
      </w:r>
      <w:proofErr w:type="spellEnd"/>
      <w:r w:rsidRPr="008A2FF6">
        <w:t xml:space="preserve"> </w:t>
      </w:r>
      <w:proofErr w:type="spellStart"/>
      <w:r w:rsidRPr="008A2FF6">
        <w:t>passengers</w:t>
      </w:r>
      <w:proofErr w:type="spellEnd"/>
      <w:r w:rsidRPr="008A2FF6">
        <w:t xml:space="preserve">, hier die Case </w:t>
      </w:r>
      <w:proofErr w:type="spellStart"/>
      <w:r w:rsidRPr="008A2FF6">
        <w:t>History</w:t>
      </w:r>
      <w:proofErr w:type="spellEnd"/>
      <w:r w:rsidRPr="008A2FF6">
        <w:t>:</w:t>
      </w:r>
      <w:r>
        <w:rPr>
          <w:rStyle w:val="Funotenzeichen"/>
          <w:lang w:val="en-GB"/>
        </w:rPr>
        <w:footnoteReference w:id="2133"/>
      </w:r>
      <w:r w:rsidRPr="008A2FF6">
        <w:t xml:space="preserve"> </w:t>
      </w:r>
      <w:r w:rsidRPr="007437B9">
        <w:t xml:space="preserve">Diese </w:t>
      </w:r>
      <w:r>
        <w:t>Anti-Subventions</w:t>
      </w:r>
      <w:r w:rsidR="007002AC">
        <w:t>-</w:t>
      </w:r>
      <w:r w:rsidRPr="007437B9">
        <w:t xml:space="preserve">Untersuchung läuft seit 04.10.2023, </w:t>
      </w:r>
      <w:r>
        <w:t>am 04.07.2024 provisorische Maßnahmen, hier finden sich auch Infos über die Förderungsprogramme China, allerdings nicht mit Subventionszahlen, China selbst legt kaum die angeforderten Informationen vor</w:t>
      </w:r>
      <w:r>
        <w:rPr>
          <w:rStyle w:val="Funotenzeichen"/>
        </w:rPr>
        <w:footnoteReference w:id="2134"/>
      </w:r>
      <w:r>
        <w:t>, am 30.10.2024 endgültige Maßnahmen.</w:t>
      </w:r>
      <w:r w:rsidRPr="007437B9">
        <w:t xml:space="preserve"> </w:t>
      </w:r>
      <w:r>
        <w:t>Hier wurden Anti-Subventionszölle von 17,0 %, 18,8 % und 35,3 % (Tesla 7,8) bestimmt.</w:t>
      </w:r>
      <w:r>
        <w:rPr>
          <w:rStyle w:val="Funotenzeichen"/>
        </w:rPr>
        <w:footnoteReference w:id="2135"/>
      </w:r>
      <w:r>
        <w:t xml:space="preserve"> Im Bereich der E-Autos wird derzeit über </w:t>
      </w:r>
      <w:r w:rsidRPr="00445D9F">
        <w:rPr>
          <w:u w:val="single"/>
        </w:rPr>
        <w:t>Mindestpreise</w:t>
      </w:r>
      <w:r>
        <w:t xml:space="preserve"> verhandelt.</w:t>
      </w:r>
      <w:r>
        <w:rPr>
          <w:rStyle w:val="Funotenzeichen"/>
        </w:rPr>
        <w:footnoteReference w:id="2136"/>
      </w:r>
      <w:r>
        <w:t xml:space="preserve"> </w:t>
      </w:r>
    </w:p>
    <w:p w14:paraId="00C08B4C" w14:textId="77777777" w:rsidR="002C057C" w:rsidRPr="007437B9" w:rsidRDefault="002C057C" w:rsidP="002C057C"/>
    <w:p w14:paraId="75AC9E19" w14:textId="77777777" w:rsidR="002C057C" w:rsidRDefault="002C057C" w:rsidP="002C057C">
      <w:r>
        <w:t xml:space="preserve">Windkraft Türme: Steel Wind Towers. Für 300 Mill. Euro gab es Importe von Windkraft Türmen aus China, der </w:t>
      </w:r>
      <w:proofErr w:type="gramStart"/>
      <w:r>
        <w:t>EU Markt</w:t>
      </w:r>
      <w:proofErr w:type="gramEnd"/>
      <w:r>
        <w:t xml:space="preserve"> ein ungefähr eine Größe von 1 Mrd. Euro, daran hängen in der EU 3600 Arbeitsplätze, wobei die EU auf exportiert.</w:t>
      </w:r>
      <w:r>
        <w:rPr>
          <w:rStyle w:val="Funotenzeichen"/>
        </w:rPr>
        <w:footnoteReference w:id="2137"/>
      </w:r>
      <w:r>
        <w:t xml:space="preserve"> Diese Antidumping-Untersuchung läuft seit dem </w:t>
      </w:r>
      <w:r>
        <w:lastRenderedPageBreak/>
        <w:t>21.10.2020, endgültige Antidumpingzölle am 15.12.2021, Zölle zwischen 7,5 % und 11,2 % für kooperierende Unternehmen, 19,2 für den Rest.</w:t>
      </w:r>
      <w:r>
        <w:rPr>
          <w:rStyle w:val="Funotenzeichen"/>
        </w:rPr>
        <w:footnoteReference w:id="2138"/>
      </w:r>
      <w:r>
        <w:t xml:space="preserve">  </w:t>
      </w:r>
    </w:p>
    <w:p w14:paraId="7A3A2DD3" w14:textId="77777777" w:rsidR="002C057C" w:rsidRDefault="002C057C" w:rsidP="002C057C"/>
    <w:p w14:paraId="24FCF010" w14:textId="77777777" w:rsidR="002C057C" w:rsidRDefault="002C057C" w:rsidP="002C057C">
      <w:r>
        <w:t>Solarglas: Solar Glas. 22.07.2020, Antisubventionszölle von 3,2 % bis 17,1 %.</w:t>
      </w:r>
      <w:r>
        <w:rPr>
          <w:rStyle w:val="Funotenzeichen"/>
        </w:rPr>
        <w:footnoteReference w:id="2139"/>
      </w:r>
      <w:r>
        <w:t xml:space="preserve"> 22.05.2023, Antidumpingzölle von 3,2 % und 17,1 %.</w:t>
      </w:r>
      <w:r>
        <w:rPr>
          <w:rStyle w:val="Funotenzeichen"/>
        </w:rPr>
        <w:footnoteReference w:id="2140"/>
      </w:r>
    </w:p>
    <w:p w14:paraId="16926BC2" w14:textId="77777777" w:rsidR="002C057C" w:rsidRDefault="002C057C" w:rsidP="002C057C"/>
    <w:p w14:paraId="0A3CB212" w14:textId="5BE2054C" w:rsidR="002C057C" w:rsidRDefault="002C057C" w:rsidP="002C057C">
      <w:r>
        <w:t xml:space="preserve">Solarpanels: Solar </w:t>
      </w:r>
      <w:r w:rsidR="00BE5C40">
        <w:t>P</w:t>
      </w:r>
      <w:r>
        <w:t xml:space="preserve">anels Antidumpingzölle, </w:t>
      </w:r>
      <w:r w:rsidRPr="007E5D76">
        <w:rPr>
          <w:u w:val="single"/>
        </w:rPr>
        <w:t>ausgelaufen am 03.09.2018</w:t>
      </w:r>
      <w:r>
        <w:t>.</w:t>
      </w:r>
      <w:r>
        <w:rPr>
          <w:rStyle w:val="Funotenzeichen"/>
        </w:rPr>
        <w:footnoteReference w:id="2141"/>
      </w:r>
      <w:r>
        <w:t xml:space="preserve"> Antisubventionszölle, ausgelaufen </w:t>
      </w:r>
      <w:proofErr w:type="gramStart"/>
      <w:r>
        <w:t>am  03.</w:t>
      </w:r>
      <w:proofErr w:type="gramEnd"/>
      <w:r>
        <w:t>09.2018.</w:t>
      </w:r>
      <w:r>
        <w:rPr>
          <w:rStyle w:val="Funotenzeichen"/>
        </w:rPr>
        <w:footnoteReference w:id="2142"/>
      </w:r>
      <w:r>
        <w:t xml:space="preserve"> Zu dem Thema gleich mehr. </w:t>
      </w:r>
    </w:p>
    <w:p w14:paraId="5587FFAE" w14:textId="77777777" w:rsidR="002C057C" w:rsidRDefault="002C057C" w:rsidP="002C057C"/>
    <w:p w14:paraId="5D689751" w14:textId="77777777" w:rsidR="002C057C" w:rsidRDefault="002C057C" w:rsidP="002C057C">
      <w:r>
        <w:t xml:space="preserve">Windturbinen: Es gibt eine weitere Untersuchung unter der Foreign </w:t>
      </w:r>
      <w:proofErr w:type="spellStart"/>
      <w:r>
        <w:t>Subsidy</w:t>
      </w:r>
      <w:proofErr w:type="spellEnd"/>
      <w:r>
        <w:t xml:space="preserve"> Regulation bezüglich Windturbinen, die im Bereich der Generaldirektion Wettbewerb angesiedelt ist, siehe dazu gleich unten.</w:t>
      </w:r>
    </w:p>
    <w:p w14:paraId="1081E7DA" w14:textId="77777777" w:rsidR="002C057C" w:rsidRDefault="002C057C" w:rsidP="002C057C"/>
    <w:p w14:paraId="62A85F79" w14:textId="0BFC1646" w:rsidR="002C057C" w:rsidRPr="00543492" w:rsidRDefault="00714C7F" w:rsidP="002C057C">
      <w:r>
        <w:t>1</w:t>
      </w:r>
      <w:r w:rsidR="00E9298D">
        <w:t>5</w:t>
      </w:r>
      <w:r>
        <w:t xml:space="preserve">.3 </w:t>
      </w:r>
      <w:proofErr w:type="gramStart"/>
      <w:r w:rsidR="002C057C" w:rsidRPr="00543492">
        <w:t>EU Net</w:t>
      </w:r>
      <w:proofErr w:type="gramEnd"/>
      <w:r w:rsidR="002C057C" w:rsidRPr="00543492">
        <w:t>-Zero-Industry Act: Beis</w:t>
      </w:r>
      <w:r w:rsidR="002C057C">
        <w:t>piel Aufbau Solarindustrie</w:t>
      </w:r>
    </w:p>
    <w:p w14:paraId="70639785" w14:textId="77777777" w:rsidR="002C057C" w:rsidRPr="00543492" w:rsidRDefault="002C057C" w:rsidP="002C057C"/>
    <w:p w14:paraId="37B8BF1B" w14:textId="08F21379" w:rsidR="002C057C" w:rsidRDefault="002C057C" w:rsidP="002C057C">
      <w:r>
        <w:t>Die EU strebt mit ihrem Net-Zero-Industry Act (NZIA)</w:t>
      </w:r>
      <w:r>
        <w:rPr>
          <w:rStyle w:val="Funotenzeichen"/>
        </w:rPr>
        <w:footnoteReference w:id="2143"/>
      </w:r>
      <w:r>
        <w:t xml:space="preserve"> an, dass viele für die Energiewende wichtige Produkt</w:t>
      </w:r>
      <w:r w:rsidR="00BE5C40">
        <w:t>e</w:t>
      </w:r>
      <w:r>
        <w:t xml:space="preserve"> in Europa hergestellt werden. Eine europäische Produktion soll bestehen oder aufgebaut werden. Im Net-Zero-Industry Act werden bis 2030 die Ziele für europäische Produktion wie folgt angegeben: 40 % der Produktion bei Solar, 85 % bei Offshore und </w:t>
      </w:r>
      <w:proofErr w:type="spellStart"/>
      <w:r>
        <w:t>Onshore</w:t>
      </w:r>
      <w:proofErr w:type="spellEnd"/>
      <w:r>
        <w:t xml:space="preserve"> Wind, 90 % der Batterien bzw. Akkus, 60 % bzw. 73 % der Wärmepumpen. Ebenso geht es um Elektrolyseure, Brennstoffzellen, Biomethan, Smart </w:t>
      </w:r>
      <w:proofErr w:type="spellStart"/>
      <w:r>
        <w:t>Grid</w:t>
      </w:r>
      <w:proofErr w:type="spellEnd"/>
      <w:r>
        <w:t xml:space="preserve"> </w:t>
      </w:r>
      <w:proofErr w:type="gramStart"/>
      <w:r>
        <w:t>Stromnetzen,  CCS</w:t>
      </w:r>
      <w:proofErr w:type="gramEnd"/>
      <w:r>
        <w:t>-Technologien (und einige weitere).</w:t>
      </w:r>
      <w:r>
        <w:rPr>
          <w:rStyle w:val="Funotenzeichen"/>
        </w:rPr>
        <w:footnoteReference w:id="2144"/>
      </w:r>
      <w:r>
        <w:t xml:space="preserve"> Bei Elektrolyseuren liegt der Anteil der Eigenversorgung erst bei 10 %</w:t>
      </w:r>
      <w:r>
        <w:rPr>
          <w:rStyle w:val="Funotenzeichen"/>
        </w:rPr>
        <w:footnoteReference w:id="2145"/>
      </w:r>
      <w:r>
        <w:t>, hier tut sich aber einiges, siehe Teil 1. Ziel ist für Solar 30 GW Fertigungskapazität, bei Windkraft mindestens 36 GW, bei Wärmepumpen 31 GW, bei Batterie 550 GW (90 % des jährlichen Batteriebedarfs), und einer Erzeugung von 10 Mill. Tonnen erneuerbaren Wasserstoff durch Elektrolyseure.</w:t>
      </w:r>
      <w:r>
        <w:rPr>
          <w:rStyle w:val="Funotenzeichen"/>
        </w:rPr>
        <w:footnoteReference w:id="2146"/>
      </w:r>
      <w:r>
        <w:t xml:space="preserve"> </w:t>
      </w:r>
    </w:p>
    <w:p w14:paraId="458836F7" w14:textId="77777777" w:rsidR="002C057C" w:rsidRDefault="002C057C" w:rsidP="002C057C"/>
    <w:p w14:paraId="15B17880" w14:textId="77777777" w:rsidR="002C057C" w:rsidRDefault="002C057C" w:rsidP="002C057C">
      <w:r>
        <w:t>Mit dem Critical Raw Materials Act</w:t>
      </w:r>
      <w:r>
        <w:rPr>
          <w:rStyle w:val="Funotenzeichen"/>
        </w:rPr>
        <w:footnoteReference w:id="2147"/>
      </w:r>
      <w:r>
        <w:t xml:space="preserve"> wird von der EU angestrebt, bei Rohstoffen nicht mehr so stark vom Ausland abhängig zu sein. Kritische Rohstoffe sollen bis 2030 wieder vermehrt in der EU </w:t>
      </w:r>
      <w:r>
        <w:lastRenderedPageBreak/>
        <w:t>abgebaut werden (zu 10 %), wieder verarbeitet bzw. veredelt werden (zu 40 %) und mindestens 15 % des jährlichen Verbrauchs soll über Recycling in Europa möglich sein.</w:t>
      </w:r>
      <w:r>
        <w:rPr>
          <w:rStyle w:val="Funotenzeichen"/>
        </w:rPr>
        <w:footnoteReference w:id="2148"/>
      </w:r>
      <w:r>
        <w:t xml:space="preserve"> </w:t>
      </w:r>
    </w:p>
    <w:p w14:paraId="54688703" w14:textId="77777777" w:rsidR="002C057C" w:rsidRDefault="002C057C" w:rsidP="002C057C"/>
    <w:p w14:paraId="491066FD" w14:textId="77777777" w:rsidR="002C057C" w:rsidRDefault="002C057C" w:rsidP="002C057C">
      <w:r>
        <w:t>Im Bereich Solar dominiert China, hier kommt die EU nur auf 3 % Anteil ihres Bedarfs.</w:t>
      </w:r>
      <w:r>
        <w:rPr>
          <w:rStyle w:val="Funotenzeichen"/>
        </w:rPr>
        <w:footnoteReference w:id="2149"/>
      </w:r>
      <w:r>
        <w:t xml:space="preserve"> Die EU hat eine erfolgreiche Polysiliziumindustrie mit 21 % Weltmarktanteil (Wacker Chemie, die auch in den USA produziert</w:t>
      </w:r>
      <w:r>
        <w:rPr>
          <w:rStyle w:val="Funotenzeichen"/>
        </w:rPr>
        <w:footnoteReference w:id="2150"/>
      </w:r>
      <w:r>
        <w:t>), und auch eine spezialisierte Maschinenbauindustrie. aber wenig Herstellung von Ingots und Wafers.</w:t>
      </w:r>
      <w:r>
        <w:rPr>
          <w:rStyle w:val="Funotenzeichen"/>
        </w:rPr>
        <w:footnoteReference w:id="2151"/>
      </w:r>
      <w:r>
        <w:t xml:space="preserve"> Um das </w:t>
      </w:r>
      <w:proofErr w:type="gramStart"/>
      <w:r>
        <w:t>NZIA Ziel</w:t>
      </w:r>
      <w:proofErr w:type="gramEnd"/>
      <w:r>
        <w:t xml:space="preserve"> von 40 % erreichen, auch bei Ingots und Wafern, braucht man bis 2030 mindestens 30 Gigawatt Fertigungskapazität.</w:t>
      </w:r>
      <w:r>
        <w:rPr>
          <w:rStyle w:val="Funotenzeichen"/>
        </w:rPr>
        <w:footnoteReference w:id="2152"/>
      </w:r>
    </w:p>
    <w:p w14:paraId="154BDD24" w14:textId="77777777" w:rsidR="002C057C" w:rsidRDefault="002C057C" w:rsidP="002C057C"/>
    <w:p w14:paraId="1A6F70C4" w14:textId="77777777" w:rsidR="002C057C" w:rsidRDefault="002C057C" w:rsidP="002C057C">
      <w:r>
        <w:t>Eine europäische Produktion soll in diesen Bereichen erhalten, aufgebaut bzw. geschützt werden. Unklar bleibt mir, ob ausländische Direktinvestitionen, etwa von chinesischen Solarproduzenten in Europa dann auch zur europäischen Produktion gezählt werden, im Batteriebereich gibt es mittlerweile einiger dieser Investitionen.</w:t>
      </w:r>
    </w:p>
    <w:p w14:paraId="4045DC01" w14:textId="77777777" w:rsidR="002C057C" w:rsidRDefault="002C057C" w:rsidP="002C057C"/>
    <w:p w14:paraId="5315F32B" w14:textId="77777777" w:rsidR="002C057C" w:rsidRDefault="002C057C" w:rsidP="002C057C">
      <w:r>
        <w:t xml:space="preserve">Wie sehen die Netto-Null-Industrie-Akt Verordnungen aus: </w:t>
      </w:r>
    </w:p>
    <w:p w14:paraId="0C1EAC8A" w14:textId="77777777" w:rsidR="002C057C" w:rsidRDefault="002C057C" w:rsidP="002C057C"/>
    <w:p w14:paraId="0FCDDD89" w14:textId="651B5A42" w:rsidR="002C057C" w:rsidRDefault="002C057C" w:rsidP="002C057C">
      <w:r>
        <w:t>Net Zero Industries Act, siehe die Verordnung (EU) 2024/1735, 28.6.2024</w:t>
      </w:r>
      <w:r>
        <w:rPr>
          <w:rStyle w:val="Funotenzeichen"/>
        </w:rPr>
        <w:footnoteReference w:id="2153"/>
      </w:r>
      <w:r>
        <w:t>:</w:t>
      </w:r>
    </w:p>
    <w:p w14:paraId="67B89B79" w14:textId="77777777" w:rsidR="002C057C" w:rsidRDefault="002C057C" w:rsidP="002C057C">
      <w:r>
        <w:t>Durch Projekte, die von der EU gefördert / subventioniert werden (die einzelnen Mitgliedstaaten sind allerdings nicht dazu verpflichtet, Projekte anzuerkennen, wenn es nicht mit ihrem Energiemix im Einklang steht).</w:t>
      </w:r>
    </w:p>
    <w:p w14:paraId="30314E78" w14:textId="62E38239" w:rsidR="002C057C" w:rsidRDefault="00875E9A" w:rsidP="002C057C">
      <w:r>
        <w:t>Hier werden</w:t>
      </w:r>
      <w:r w:rsidR="002C057C">
        <w:t xml:space="preserve"> neue Kriterien für öffentliche Auftragsvergabe </w:t>
      </w:r>
      <w:r>
        <w:t xml:space="preserve">vorgeschlagen </w:t>
      </w:r>
      <w:r w:rsidR="002C057C">
        <w:t>und andere öffentliche Anreize etwa für Solar und andere Technologien</w:t>
      </w:r>
      <w:r>
        <w:t xml:space="preserve"> vorgeschlagen, mit den Begriffen</w:t>
      </w:r>
      <w:r w:rsidR="002C057C">
        <w:t xml:space="preserve"> z.B. Versorgungssicherheit, Resilienz, Cybersicherheit ‚</w:t>
      </w:r>
      <w:proofErr w:type="spellStart"/>
      <w:r w:rsidR="002C057C">
        <w:t>resilience</w:t>
      </w:r>
      <w:proofErr w:type="spellEnd"/>
      <w:r w:rsidR="002C057C">
        <w:t>‘ ‚</w:t>
      </w:r>
      <w:proofErr w:type="spellStart"/>
      <w:r w:rsidR="002C057C">
        <w:t>cybersecurity</w:t>
      </w:r>
      <w:proofErr w:type="spellEnd"/>
      <w:r w:rsidR="002C057C">
        <w:t xml:space="preserve">‘ </w:t>
      </w:r>
      <w:r>
        <w:t>werden</w:t>
      </w:r>
      <w:r w:rsidR="002C057C">
        <w:t xml:space="preserve"> Kriterien</w:t>
      </w:r>
      <w:r>
        <w:t xml:space="preserve"> u.a. für die öffentliche Auftragsvergabe vorgeschlagen</w:t>
      </w:r>
      <w:r w:rsidR="002C057C">
        <w:t>,</w:t>
      </w:r>
      <w:r>
        <w:t xml:space="preserve"> mit denen man begründen kann, dass europäische Firmen den Zuschlag bekommen bzw. die man</w:t>
      </w:r>
      <w:r w:rsidR="002C057C">
        <w:t xml:space="preserve"> ‚gegen‘ China verwenden kann.</w:t>
      </w:r>
      <w:r w:rsidR="002C057C">
        <w:rPr>
          <w:rStyle w:val="Funotenzeichen"/>
        </w:rPr>
        <w:footnoteReference w:id="2154"/>
      </w:r>
      <w:r w:rsidR="002C057C">
        <w:t xml:space="preserve"> </w:t>
      </w:r>
    </w:p>
    <w:p w14:paraId="6E9C1F71" w14:textId="77777777" w:rsidR="002C057C" w:rsidRDefault="002C057C" w:rsidP="002C057C"/>
    <w:p w14:paraId="766F27AF" w14:textId="6542C331" w:rsidR="002C057C" w:rsidRPr="001E7A15" w:rsidRDefault="002C057C" w:rsidP="002C057C">
      <w:r w:rsidRPr="001E7A15">
        <w:t>Critical Raw Materials Act, siehe die Verordnung (EU) 2024/12</w:t>
      </w:r>
      <w:r>
        <w:t>52, 3.2.2024</w:t>
      </w:r>
      <w:r>
        <w:rPr>
          <w:rStyle w:val="Funotenzeichen"/>
        </w:rPr>
        <w:footnoteReference w:id="2155"/>
      </w:r>
      <w:r>
        <w:t>:</w:t>
      </w:r>
    </w:p>
    <w:p w14:paraId="21526BAC" w14:textId="7399E2E0" w:rsidR="002C057C" w:rsidRDefault="00875E9A" w:rsidP="002C057C">
      <w:r>
        <w:t>Hier wird e</w:t>
      </w:r>
      <w:r w:rsidR="002C057C">
        <w:t>in Ausschuss für Kritische Rohstoffe eingerichtet.</w:t>
      </w:r>
    </w:p>
    <w:p w14:paraId="71F96C24" w14:textId="25D8FF5E" w:rsidR="002C057C" w:rsidRDefault="00875E9A" w:rsidP="002C057C">
      <w:r>
        <w:t>S</w:t>
      </w:r>
      <w:r w:rsidR="002C057C">
        <w:t xml:space="preserve">trategische </w:t>
      </w:r>
      <w:r w:rsidR="002C057C" w:rsidRPr="00286FE0">
        <w:t>Projekte</w:t>
      </w:r>
      <w:r>
        <w:t xml:space="preserve"> sollen </w:t>
      </w:r>
      <w:r w:rsidR="002C057C">
        <w:t>s</w:t>
      </w:r>
      <w:r w:rsidR="002C057C" w:rsidRPr="00286FE0">
        <w:t>chneller g</w:t>
      </w:r>
      <w:r w:rsidR="002C057C">
        <w:t xml:space="preserve">enehmigt werden und </w:t>
      </w:r>
      <w:r>
        <w:t xml:space="preserve">sollen </w:t>
      </w:r>
      <w:r w:rsidR="002C057C">
        <w:t>von der EU aber auch den Mitgliedstaaten gefördert / subventioniert werden, wobei viele EU-Förderprogramme aufgezählt werden.</w:t>
      </w:r>
    </w:p>
    <w:p w14:paraId="08B685EF" w14:textId="77777777" w:rsidR="002C057C" w:rsidRDefault="002C057C" w:rsidP="002C057C">
      <w:r>
        <w:lastRenderedPageBreak/>
        <w:t xml:space="preserve">Die Erforschung geologischer Ressourcen soll mit nationalen Programmen verbessert werden. </w:t>
      </w:r>
    </w:p>
    <w:p w14:paraId="5D3CE82E" w14:textId="77777777" w:rsidR="002C057C" w:rsidRDefault="002C057C" w:rsidP="002C057C">
      <w:r>
        <w:t>Recycling soll verbessert werden, etwa für die großen Magneten.</w:t>
      </w:r>
    </w:p>
    <w:p w14:paraId="04A41C0F" w14:textId="63BCC523" w:rsidR="002C057C" w:rsidRPr="00286FE0" w:rsidRDefault="002C057C" w:rsidP="002C057C">
      <w:r>
        <w:t>Die Quellen sollen diversifiziert werden, durch neue Partnerländer, durch den Global Gateway etc.</w:t>
      </w:r>
      <w:r>
        <w:rPr>
          <w:rStyle w:val="Funotenzeichen"/>
        </w:rPr>
        <w:footnoteReference w:id="2156"/>
      </w:r>
      <w:r>
        <w:t xml:space="preserve"> Siehe die deutsche </w:t>
      </w:r>
      <w:r w:rsidR="00875E9A">
        <w:t>Webs</w:t>
      </w:r>
      <w:r>
        <w:t>eite dazu.</w:t>
      </w:r>
      <w:r>
        <w:rPr>
          <w:rStyle w:val="Funotenzeichen"/>
        </w:rPr>
        <w:footnoteReference w:id="2157"/>
      </w:r>
    </w:p>
    <w:p w14:paraId="26D51BC8" w14:textId="77777777" w:rsidR="002C057C" w:rsidRDefault="002C057C" w:rsidP="002C057C"/>
    <w:p w14:paraId="58978133" w14:textId="77777777" w:rsidR="002C057C" w:rsidRDefault="002C057C" w:rsidP="002C057C">
      <w:r>
        <w:t>Eine detaillierte rechtliche Analyse diese Verordnungen kann hier nicht erfolgen.</w:t>
      </w:r>
    </w:p>
    <w:p w14:paraId="47446E8C" w14:textId="77777777" w:rsidR="002C057C" w:rsidRDefault="002C057C" w:rsidP="002C057C"/>
    <w:p w14:paraId="2751D5B7" w14:textId="5CE23BCB" w:rsidR="002C057C" w:rsidRDefault="002C057C" w:rsidP="002C057C">
      <w:r>
        <w:t xml:space="preserve">Auffällig ist zum Beispiel, dass bei in der Verordnung zu Netto-Null-Technologie für die öffentliche Auftragsvergabe versucht wird, durch die Hereinnahme neuer Kriterien die Möglichkeit zu eröffnet werden soll europäische Hersteller auszuwählen, nichtdestotrotz werden die internationalen Verpflichtungen erwähnt, etwa das </w:t>
      </w:r>
      <w:proofErr w:type="spellStart"/>
      <w:r w:rsidR="008950DD">
        <w:t>plurilaterale</w:t>
      </w:r>
      <w:proofErr w:type="spellEnd"/>
      <w:r w:rsidR="008950DD">
        <w:t xml:space="preserve"> Government </w:t>
      </w:r>
      <w:proofErr w:type="spellStart"/>
      <w:r w:rsidR="008950DD">
        <w:t>Procurement</w:t>
      </w:r>
      <w:proofErr w:type="spellEnd"/>
      <w:r w:rsidR="008950DD">
        <w:t xml:space="preserve"> Agreement </w:t>
      </w:r>
      <w:r>
        <w:t xml:space="preserve">GPA </w:t>
      </w:r>
      <w:r w:rsidR="008950DD">
        <w:t xml:space="preserve">(verwaltet von der WTO, hier ist China und viele andere Staaten aber nicht Mitglieder) </w:t>
      </w:r>
      <w:r>
        <w:t xml:space="preserve">und </w:t>
      </w:r>
      <w:r w:rsidR="008950DD">
        <w:t>die EU</w:t>
      </w:r>
      <w:r>
        <w:t xml:space="preserve"> hofft sozusagen, dass</w:t>
      </w:r>
      <w:r w:rsidR="008950DD">
        <w:t xml:space="preserve"> sie</w:t>
      </w:r>
      <w:r>
        <w:t xml:space="preserve"> immer noch diese Verpflichtungen erfüllt.</w:t>
      </w:r>
      <w:r>
        <w:rPr>
          <w:rStyle w:val="Funotenzeichen"/>
        </w:rPr>
        <w:footnoteReference w:id="2158"/>
      </w:r>
    </w:p>
    <w:p w14:paraId="098093B1" w14:textId="77777777" w:rsidR="002C057C" w:rsidRDefault="002C057C" w:rsidP="002C057C"/>
    <w:p w14:paraId="24AEA859" w14:textId="2AEF20C8" w:rsidR="002C057C" w:rsidRDefault="002C057C" w:rsidP="002C057C">
      <w:r>
        <w:t xml:space="preserve">Die EU und die Mitgliedsländer sollen beim Critical Raw Materials Act Projekte fördern, etwa im Bereich der kritischen Rohstoffe. Die Verordnung wird, wie es sich gehört, mit dem Funktionieren des Binnenmarkts begründet und </w:t>
      </w:r>
      <w:proofErr w:type="gramStart"/>
      <w:r>
        <w:t>damit</w:t>
      </w:r>
      <w:proofErr w:type="gramEnd"/>
      <w:r>
        <w:t xml:space="preserve"> dass der Wettbewerb erhalten bleiben soll.</w:t>
      </w:r>
      <w:r>
        <w:rPr>
          <w:rStyle w:val="Funotenzeichen"/>
        </w:rPr>
        <w:footnoteReference w:id="2159"/>
      </w:r>
      <w:r>
        <w:t xml:space="preserve"> Dies ist selbstverständlich, erinnert aber </w:t>
      </w:r>
      <w:r w:rsidR="008950DD">
        <w:t xml:space="preserve">auch daran, dass auch hier wieder </w:t>
      </w:r>
      <w:r>
        <w:t xml:space="preserve">das </w:t>
      </w:r>
      <w:proofErr w:type="gramStart"/>
      <w:r>
        <w:t>EU Beihilferecht</w:t>
      </w:r>
      <w:proofErr w:type="gramEnd"/>
      <w:r w:rsidR="008950DD">
        <w:t xml:space="preserve"> gilt</w:t>
      </w:r>
    </w:p>
    <w:p w14:paraId="5B7D16E7" w14:textId="77777777" w:rsidR="002C057C" w:rsidRDefault="002C057C" w:rsidP="002C057C"/>
    <w:p w14:paraId="68E47B13" w14:textId="500154FB" w:rsidR="002C057C" w:rsidRDefault="002C057C" w:rsidP="002C057C">
      <w:r>
        <w:t xml:space="preserve">Die Durchsicht der beiden Verordnungen zeigt, dass die EU weiterhin Regeln respektieren will, seien es die eigenen Regeln, die sie natürlich respektieren muss, etwa das EU-Beihilferechts, oder internationale Regeln, etwa zur öffentlichen Auftragsvergabe, </w:t>
      </w:r>
      <w:r w:rsidR="008950DD">
        <w:t>etwa das</w:t>
      </w:r>
      <w:r>
        <w:t xml:space="preserve"> </w:t>
      </w:r>
      <w:proofErr w:type="spellStart"/>
      <w:r>
        <w:t>plurilaterale</w:t>
      </w:r>
      <w:proofErr w:type="spellEnd"/>
      <w:r>
        <w:t xml:space="preserve"> </w:t>
      </w:r>
      <w:r w:rsidR="008950DD">
        <w:t>Übereinkommen über das öffentliche Beschaffungswesen</w:t>
      </w:r>
      <w:r>
        <w:t xml:space="preserve"> im Rahmen der WTO und auch </w:t>
      </w:r>
      <w:r w:rsidR="008950DD">
        <w:t xml:space="preserve">weitere </w:t>
      </w:r>
      <w:r>
        <w:t>WTO-Regeln, die immer noch von der Streitbeilegung überprüft werden, nur nicht mehr von der blockierten Berufungsinstanz</w:t>
      </w:r>
      <w:r w:rsidR="008950DD">
        <w:t xml:space="preserve">, aber 16 WTO Mitglieder haben sich darauf geeinigt, ein eigenen </w:t>
      </w:r>
      <w:proofErr w:type="spellStart"/>
      <w:r w:rsidR="008950DD">
        <w:t>Berufungsinstanzwesen</w:t>
      </w:r>
      <w:proofErr w:type="spellEnd"/>
      <w:r w:rsidR="008950DD">
        <w:t xml:space="preserve"> zu etablieren (mit dem MPIA, Multi-Party Interim Appeal Arbitration Agreement</w:t>
      </w:r>
      <w:r w:rsidR="008950DD">
        <w:rPr>
          <w:rStyle w:val="Funotenzeichen"/>
        </w:rPr>
        <w:footnoteReference w:id="2160"/>
      </w:r>
      <w:r w:rsidR="008950DD">
        <w:t>)</w:t>
      </w:r>
      <w:r>
        <w:rPr>
          <w:rStyle w:val="Funotenzeichen"/>
        </w:rPr>
        <w:footnoteReference w:id="2161"/>
      </w:r>
      <w:r>
        <w:t xml:space="preserve"> </w:t>
      </w:r>
    </w:p>
    <w:p w14:paraId="20527BF8" w14:textId="77777777" w:rsidR="002C057C" w:rsidRDefault="002C057C" w:rsidP="002C057C"/>
    <w:p w14:paraId="200C4C87" w14:textId="50ECEB5C" w:rsidR="009E3B9C" w:rsidRDefault="009E3B9C" w:rsidP="002C057C">
      <w:r>
        <w:t xml:space="preserve">Erst im Clean Deal: A plan </w:t>
      </w:r>
      <w:proofErr w:type="spellStart"/>
      <w:r>
        <w:t>for</w:t>
      </w:r>
      <w:proofErr w:type="spellEnd"/>
      <w:r>
        <w:t xml:space="preserve"> EU </w:t>
      </w:r>
      <w:proofErr w:type="spellStart"/>
      <w:r>
        <w:t>competitiveness</w:t>
      </w:r>
      <w:proofErr w:type="spellEnd"/>
      <w:r>
        <w:t xml:space="preserve"> and </w:t>
      </w:r>
      <w:proofErr w:type="spellStart"/>
      <w:r>
        <w:t>decarbonization</w:t>
      </w:r>
      <w:proofErr w:type="spellEnd"/>
      <w:r>
        <w:t>“ 26.2.2025</w:t>
      </w:r>
      <w:r>
        <w:rPr>
          <w:rStyle w:val="Funotenzeichen"/>
        </w:rPr>
        <w:footnoteReference w:id="2162"/>
      </w:r>
      <w:r>
        <w:t xml:space="preserve"> wird ausgeführt, dass in einem Industrial </w:t>
      </w:r>
      <w:proofErr w:type="spellStart"/>
      <w:r>
        <w:t>Decarbonisation</w:t>
      </w:r>
      <w:proofErr w:type="spellEnd"/>
      <w:r>
        <w:t xml:space="preserve"> </w:t>
      </w:r>
      <w:proofErr w:type="spellStart"/>
      <w:r>
        <w:t>Accelerator</w:t>
      </w:r>
      <w:proofErr w:type="spellEnd"/>
      <w:r>
        <w:t xml:space="preserve"> Act Nachhaltigkeits- und </w:t>
      </w:r>
      <w:proofErr w:type="spellStart"/>
      <w:r>
        <w:t>Resilienzkriterien</w:t>
      </w:r>
      <w:proofErr w:type="spellEnd"/>
      <w:r>
        <w:t xml:space="preserve"> für energieintensive Industriesektoren eingeführt werden sollen, die auch in der </w:t>
      </w:r>
      <w:r>
        <w:lastRenderedPageBreak/>
        <w:t xml:space="preserve">öffentlichen Auftragsvergabe als Kriterien zugrunde gelegt werden können, dazu soll ein Vorschlag gemacht werden, wie 2026 auch ein Rahmen für die öffentliche Auftragsvergabe geändert werden kann. Es sollen auch „European </w:t>
      </w:r>
      <w:proofErr w:type="spellStart"/>
      <w:r>
        <w:t>preference</w:t>
      </w:r>
      <w:proofErr w:type="spellEnd"/>
      <w:r>
        <w:t>“ Regeln eingefügt werden. Sprich: etwa grüner Stahl aus Europa kann dann in öffentlichen Aufträgen verlangt werden.</w:t>
      </w:r>
    </w:p>
    <w:p w14:paraId="3D2C8CC1" w14:textId="77777777" w:rsidR="009E3B9C" w:rsidRDefault="009E3B9C" w:rsidP="002C057C"/>
    <w:p w14:paraId="176A9A6F" w14:textId="32E959F3" w:rsidR="002C057C" w:rsidRDefault="002C057C" w:rsidP="002C057C">
      <w:r>
        <w:t xml:space="preserve">Klar ist aber auch: Damit man im Fall Solar eine Industrie neu aufbauen kann, die bis 2030 40 % des </w:t>
      </w:r>
      <w:proofErr w:type="gramStart"/>
      <w:r>
        <w:t>EU Bedarfs</w:t>
      </w:r>
      <w:proofErr w:type="gramEnd"/>
      <w:r>
        <w:t xml:space="preserve"> beliefern kann und zwar auf allen Stufen der Wertschöpfungskette Solar: (Quarzsand), Polysilizium, Ingots, Wafern, Zellen, Modulen, </w:t>
      </w:r>
      <w:r w:rsidRPr="009E3B9C">
        <w:rPr>
          <w:u w:val="single"/>
        </w:rPr>
        <w:t>braucht es mehr als öffentliche Auftragsvergabe oder ‚kleine Projekte‘</w:t>
      </w:r>
      <w:r>
        <w:t xml:space="preserve">. </w:t>
      </w:r>
    </w:p>
    <w:p w14:paraId="6FB356C8" w14:textId="77777777" w:rsidR="002C057C" w:rsidRDefault="002C057C" w:rsidP="002C057C"/>
    <w:p w14:paraId="726132E5" w14:textId="4D0ED98C" w:rsidR="002C057C" w:rsidRDefault="002C057C" w:rsidP="002C057C">
      <w:r>
        <w:t xml:space="preserve">Was passiert aber, wenn die EU subventionieren will? Dies wird von der </w:t>
      </w:r>
      <w:proofErr w:type="gramStart"/>
      <w:r>
        <w:t>EU Beihilfekontrolle</w:t>
      </w:r>
      <w:proofErr w:type="gramEnd"/>
      <w:r>
        <w:t xml:space="preserve"> auf die Vereinbarkeit mit den EU-Be</w:t>
      </w:r>
      <w:r w:rsidR="00765A97">
        <w:t>i</w:t>
      </w:r>
      <w:r>
        <w:t xml:space="preserve">hilferegeln hin überprüft. </w:t>
      </w:r>
      <w:r w:rsidR="00765A97">
        <w:t xml:space="preserve">Oben wurde schon dargelegt, </w:t>
      </w:r>
      <w:r w:rsidR="00765A97" w:rsidRPr="009E3B9C">
        <w:rPr>
          <w:u w:val="single"/>
        </w:rPr>
        <w:t>dass hier mehr Flexibilitäten als zuvor bestehen</w:t>
      </w:r>
      <w:r w:rsidR="00765A97">
        <w:t xml:space="preserve">. </w:t>
      </w:r>
      <w:r>
        <w:t xml:space="preserve">Im EU Beihilferecht sind die Leitlinien für die Beihilfeüberprüfung überarbeitet worden, nun gelten die </w:t>
      </w:r>
      <w:r w:rsidRPr="00475D7F">
        <w:t>Leitlinien für staatliche Klima-, Umweltschutz- und Energiebeihilfen 2022</w:t>
      </w:r>
      <w:r>
        <w:t xml:space="preserve"> (Climate, Energy and Environment Aid Guidelines, CEEAG), in Deutschland auch abgekürzt KUEBLL.</w:t>
      </w:r>
      <w:r>
        <w:rPr>
          <w:rStyle w:val="Funotenzeichen"/>
        </w:rPr>
        <w:footnoteReference w:id="2163"/>
      </w:r>
      <w:r>
        <w:t xml:space="preserve"> </w:t>
      </w:r>
      <w:r w:rsidR="00765A97">
        <w:t>E</w:t>
      </w:r>
      <w:r>
        <w:t xml:space="preserve">s bleibt aber immer noch unklar, was passiert, wenn eine ganz neue Industrie z.B. aufgebaut werden soll und diese trotzdem in 5 Jahren oder 10 Jahren noch einmal in Schwierigkeiten gerät: </w:t>
      </w:r>
      <w:r w:rsidR="00765A97">
        <w:t>F</w:t>
      </w:r>
      <w:r>
        <w:t xml:space="preserve">ällt sie dann immer noch unter die Förderung erneuerbarer Energie oder unter die strengeren Regeln für Rettungsbeihilfen oder Umstrukturierungsbeihilfen. Umstrukturierungsbeihilfen können nur </w:t>
      </w:r>
      <w:proofErr w:type="gramStart"/>
      <w:r>
        <w:t>1 mal</w:t>
      </w:r>
      <w:proofErr w:type="gramEnd"/>
      <w:r>
        <w:t xml:space="preserve"> in 10 Jahren gezahlt werde … es muss ein glaubwürdiger Umstrukturierungsplan vorliegen … was ist, wenn die Solarindustrie schon dreimal in Schwierigkeiten war und ein solcher Plan, um glaubwürdig zu sein, die Erwartung enthält, dass der Schutz noch weiter erhöht wird … darf die </w:t>
      </w:r>
      <w:proofErr w:type="gramStart"/>
      <w:r>
        <w:t>EU Kommission</w:t>
      </w:r>
      <w:proofErr w:type="gramEnd"/>
      <w:r>
        <w:t xml:space="preserve"> dann noch weitere Beihilfen zahlen? Eigentlich müssten sich hier Wege finden …</w:t>
      </w:r>
      <w:r w:rsidR="00765A97">
        <w:t xml:space="preserve"> </w:t>
      </w:r>
      <w:r>
        <w:t>klar</w:t>
      </w:r>
      <w:r w:rsidR="00765A97">
        <w:t xml:space="preserve"> ist aber</w:t>
      </w:r>
      <w:r>
        <w:t xml:space="preserve">: </w:t>
      </w:r>
      <w:r w:rsidR="00765A97">
        <w:rPr>
          <w:u w:val="single"/>
        </w:rPr>
        <w:t>a</w:t>
      </w:r>
      <w:r w:rsidRPr="00ED52FA">
        <w:rPr>
          <w:u w:val="single"/>
        </w:rPr>
        <w:t xml:space="preserve">ngesichts der ‚leichten‘ aber beständigen Kostenvorteile Chinas, muss sich die EU darauf einstellen, dass sie </w:t>
      </w:r>
      <w:r w:rsidR="00765A97">
        <w:rPr>
          <w:u w:val="single"/>
        </w:rPr>
        <w:t xml:space="preserve">nicht nur Schutz, sondern auch </w:t>
      </w:r>
      <w:r w:rsidRPr="00ED52FA">
        <w:rPr>
          <w:u w:val="single"/>
        </w:rPr>
        <w:t xml:space="preserve">Subventionen für </w:t>
      </w:r>
      <w:r w:rsidR="005A4DA5">
        <w:rPr>
          <w:u w:val="single"/>
        </w:rPr>
        <w:t xml:space="preserve">eine </w:t>
      </w:r>
      <w:r w:rsidRPr="00ED52FA">
        <w:rPr>
          <w:u w:val="single"/>
        </w:rPr>
        <w:t>viel längere Zeit etablieren muss</w:t>
      </w:r>
      <w:r>
        <w:t>. Die Beihilfekontrolle der EU muss dies erlauben, siehe zu diesem Thema mehrere Vorschläge hier.</w:t>
      </w:r>
      <w:r>
        <w:rPr>
          <w:rStyle w:val="Funotenzeichen"/>
        </w:rPr>
        <w:footnoteReference w:id="2164"/>
      </w:r>
    </w:p>
    <w:p w14:paraId="15EA7DA5" w14:textId="77777777" w:rsidR="002C057C" w:rsidRDefault="002C057C" w:rsidP="002C057C"/>
    <w:p w14:paraId="5FE2DF8F" w14:textId="67F6441B" w:rsidR="002C057C" w:rsidRDefault="00E9298D" w:rsidP="002C057C">
      <w:r>
        <w:t xml:space="preserve">15.4 </w:t>
      </w:r>
      <w:r w:rsidR="002C057C">
        <w:t xml:space="preserve">Wie sieht der Aufbau der Solarindustrie in Europa derzeit aus? </w:t>
      </w:r>
    </w:p>
    <w:p w14:paraId="1DA748C5" w14:textId="77777777" w:rsidR="002C057C" w:rsidRDefault="002C057C" w:rsidP="002C057C"/>
    <w:p w14:paraId="359F5C8C" w14:textId="31571A14" w:rsidR="002C057C" w:rsidRDefault="002C057C" w:rsidP="002C057C">
      <w:r>
        <w:t xml:space="preserve">Frankreich hat ein Projekt gestartet, massenhaft Solarzellen in Europa herzustellen, mit der Firma </w:t>
      </w:r>
      <w:proofErr w:type="spellStart"/>
      <w:r>
        <w:t>Holosolis</w:t>
      </w:r>
      <w:proofErr w:type="spellEnd"/>
      <w:r>
        <w:t>, mit einer Produktionskapazität von 5 Gigawatt, die 10 Millionen PV-Panels pro Jahr herstellen will und 700 Millionen Euro Investitionskosten benötigt.</w:t>
      </w:r>
      <w:r>
        <w:rPr>
          <w:rStyle w:val="Funotenzeichen"/>
        </w:rPr>
        <w:footnoteReference w:id="2165"/>
      </w:r>
      <w:r>
        <w:t xml:space="preserve"> </w:t>
      </w:r>
      <w:r w:rsidR="00FF5FD3">
        <w:t>Die Fabrik soll in Deutschland, nahe an der französischen Grenze, in Hambach bei Saargemünd entstehen.</w:t>
      </w:r>
      <w:r w:rsidR="00FF5FD3">
        <w:rPr>
          <w:rStyle w:val="Funotenzeichen"/>
        </w:rPr>
        <w:footnoteReference w:id="2166"/>
      </w:r>
      <w:r w:rsidR="00FF5FD3">
        <w:t xml:space="preserve"> Irritierend wird allerdings, dass das Ge</w:t>
      </w:r>
      <w:r w:rsidR="00BE5C40">
        <w:t>l</w:t>
      </w:r>
      <w:r w:rsidR="00FF5FD3">
        <w:t>ä</w:t>
      </w:r>
      <w:r w:rsidR="00BE5C40">
        <w:t>n</w:t>
      </w:r>
      <w:r w:rsidR="00FF5FD3">
        <w:t xml:space="preserve">de auf Google </w:t>
      </w:r>
      <w:r w:rsidR="0086292E">
        <w:t xml:space="preserve">Maps </w:t>
      </w:r>
      <w:r w:rsidR="00FF5FD3">
        <w:t xml:space="preserve">zwar geräumt ist, aber noch keine Gebäude dort stehen, ebenso hat </w:t>
      </w:r>
      <w:proofErr w:type="spellStart"/>
      <w:r w:rsidR="00FF5FD3">
        <w:t>Holosolis</w:t>
      </w:r>
      <w:proofErr w:type="spellEnd"/>
      <w:r w:rsidR="00FF5FD3">
        <w:t xml:space="preserve"> seit 2023 keine weiteren News auf seiner Webseite veröffentlicht.</w:t>
      </w:r>
      <w:r w:rsidR="00FF5FD3">
        <w:rPr>
          <w:rStyle w:val="Funotenzeichen"/>
        </w:rPr>
        <w:footnoteReference w:id="2167"/>
      </w:r>
      <w:r w:rsidR="00FF5FD3">
        <w:t xml:space="preserve"> </w:t>
      </w:r>
      <w:r>
        <w:t xml:space="preserve">Hinter </w:t>
      </w:r>
      <w:proofErr w:type="spellStart"/>
      <w:r>
        <w:t>Holosolis</w:t>
      </w:r>
      <w:proofErr w:type="spellEnd"/>
      <w:r>
        <w:t xml:space="preserve"> stehen, so </w:t>
      </w:r>
      <w:r w:rsidR="00FF5FD3">
        <w:t>ein</w:t>
      </w:r>
      <w:r>
        <w:t xml:space="preserve"> FAZ</w:t>
      </w:r>
      <w:r w:rsidR="00FF5FD3">
        <w:t>-Artikel</w:t>
      </w:r>
      <w:r>
        <w:t xml:space="preserve">, eine Reihe von Investoren: hinter EIT </w:t>
      </w:r>
      <w:proofErr w:type="spellStart"/>
      <w:r>
        <w:t>Innoenergy</w:t>
      </w:r>
      <w:proofErr w:type="spellEnd"/>
      <w:r>
        <w:t xml:space="preserve">, die </w:t>
      </w:r>
      <w:proofErr w:type="spellStart"/>
      <w:r>
        <w:t>Holosolis</w:t>
      </w:r>
      <w:proofErr w:type="spellEnd"/>
      <w:r>
        <w:t xml:space="preserve"> baut, steht Siemens, Renault, die Uni Stuttgart und das französische Kommissariat für Atomenergie. Es gibt </w:t>
      </w:r>
      <w:r w:rsidRPr="001564C2">
        <w:rPr>
          <w:u w:val="single"/>
        </w:rPr>
        <w:t>Subventionen für diese Anlage, diese werden aber nicht öffentlich gemacht</w:t>
      </w:r>
      <w:r>
        <w:t xml:space="preserve">. Mit </w:t>
      </w:r>
      <w:r>
        <w:lastRenderedPageBreak/>
        <w:t>dieser Produktionskapazität sollen 8 % der chinesischen Einfuhren abdeck</w:t>
      </w:r>
      <w:r w:rsidR="009A4085">
        <w:t>t werden</w:t>
      </w:r>
      <w:r>
        <w:t xml:space="preserve">. </w:t>
      </w:r>
      <w:r w:rsidR="009A4085">
        <w:t>Diskutiert wurde, ob</w:t>
      </w:r>
      <w:r w:rsidRPr="007C7F82">
        <w:t xml:space="preserve"> </w:t>
      </w:r>
      <w:r w:rsidR="009A4085">
        <w:t xml:space="preserve">man </w:t>
      </w:r>
      <w:r>
        <w:t xml:space="preserve">die Schutzklausel der WTO bzw. GATT </w:t>
      </w:r>
      <w:r w:rsidRPr="007C7F82">
        <w:t>Art. XIX verwenden</w:t>
      </w:r>
      <w:r w:rsidR="009A4085">
        <w:t xml:space="preserve"> sollte</w:t>
      </w:r>
      <w:r w:rsidR="00FF5FD3">
        <w:t>, so die Informationen in diesem FAZ-Artikel</w:t>
      </w:r>
      <w:r w:rsidRPr="007C7F82">
        <w:t>.</w:t>
      </w:r>
      <w:r>
        <w:rPr>
          <w:rStyle w:val="Funotenzeichen"/>
        </w:rPr>
        <w:footnoteReference w:id="2168"/>
      </w:r>
      <w:r w:rsidR="00743CD4">
        <w:t xml:space="preserve"> </w:t>
      </w:r>
      <w:r w:rsidR="00B14AED">
        <w:t>In Frankreich gibt es ein weiteres großes Projekt, welches 5 GW Produktionskapazität 2027 erreichen will, CARBON</w:t>
      </w:r>
      <w:r w:rsidR="00B14AED">
        <w:rPr>
          <w:rStyle w:val="Funotenzeichen"/>
        </w:rPr>
        <w:footnoteReference w:id="2169"/>
      </w:r>
      <w:r w:rsidR="00B14AED">
        <w:t xml:space="preserve">, </w:t>
      </w:r>
      <w:r w:rsidR="004B7F4A">
        <w:t>es will die 5 GW Fabrik in Fos-</w:t>
      </w:r>
      <w:proofErr w:type="spellStart"/>
      <w:r w:rsidR="004B7F4A">
        <w:t>sur</w:t>
      </w:r>
      <w:proofErr w:type="spellEnd"/>
      <w:r w:rsidR="004B7F4A">
        <w:t>-</w:t>
      </w:r>
      <w:proofErr w:type="spellStart"/>
      <w:r w:rsidR="004B7F4A">
        <w:t>Mer</w:t>
      </w:r>
      <w:proofErr w:type="spellEnd"/>
      <w:r w:rsidR="004B7F4A">
        <w:t xml:space="preserve"> aufbauen, </w:t>
      </w:r>
      <w:r w:rsidR="00B14AED">
        <w:t xml:space="preserve">es hat bereits den </w:t>
      </w:r>
      <w:proofErr w:type="spellStart"/>
      <w:r w:rsidR="00B14AED">
        <w:t>Waferhersteller</w:t>
      </w:r>
      <w:proofErr w:type="spellEnd"/>
      <w:r w:rsidR="00B14AED">
        <w:t xml:space="preserve"> EDF PW bzw. </w:t>
      </w:r>
      <w:proofErr w:type="spellStart"/>
      <w:r w:rsidR="00B14AED">
        <w:t>Photowatt</w:t>
      </w:r>
      <w:proofErr w:type="spellEnd"/>
      <w:r w:rsidR="00B14AED">
        <w:t xml:space="preserve"> gekauft</w:t>
      </w:r>
      <w:r w:rsidR="004B7F4A">
        <w:t xml:space="preserve"> (siehe unten)</w:t>
      </w:r>
      <w:r w:rsidR="00B14AED">
        <w:t xml:space="preserve">, </w:t>
      </w:r>
      <w:r w:rsidR="004B7F4A">
        <w:t>dort wird eine 500 MW Modulfertigung aufgebaut</w:t>
      </w:r>
      <w:r w:rsidR="00B14AED">
        <w:t>.</w:t>
      </w:r>
      <w:r w:rsidR="004B7F4A">
        <w:rPr>
          <w:rStyle w:val="Funotenzeichen"/>
        </w:rPr>
        <w:footnoteReference w:id="2170"/>
      </w:r>
      <w:r w:rsidR="00B14AED">
        <w:t xml:space="preserve"> </w:t>
      </w:r>
      <w:r w:rsidR="004B7F4A">
        <w:t>CARBON ist ein französischer Major National Interest Project und es wurde vom französischen Staat 1,55 Mrd. Euro als Unterstützung für die Dekarbonisierung der Industrie in den Aushalt 2025 eingeplant, kurz darauf hat der Finanzminister Antoine Armand Fos-</w:t>
      </w:r>
      <w:proofErr w:type="spellStart"/>
      <w:r w:rsidR="004B7F4A">
        <w:t>Sur</w:t>
      </w:r>
      <w:proofErr w:type="spellEnd"/>
      <w:r w:rsidR="004B7F4A">
        <w:t>-</w:t>
      </w:r>
      <w:proofErr w:type="spellStart"/>
      <w:r w:rsidR="004B7F4A">
        <w:t>Mer</w:t>
      </w:r>
      <w:proofErr w:type="spellEnd"/>
      <w:r w:rsidR="004B7F4A">
        <w:t xml:space="preserve"> besucht, kurz: CARBON wird davon etwas abgekommen.</w:t>
      </w:r>
      <w:r w:rsidR="004B7F4A">
        <w:rPr>
          <w:rStyle w:val="Funotenzeichen"/>
        </w:rPr>
        <w:footnoteReference w:id="2171"/>
      </w:r>
      <w:r w:rsidR="004B7F4A">
        <w:t xml:space="preserve"> </w:t>
      </w:r>
      <w:r w:rsidR="00743CD4">
        <w:t>Ein weiteres größeres Projekt</w:t>
      </w:r>
      <w:r w:rsidR="00B14AED">
        <w:t xml:space="preserve"> ist das niederländische Projekt</w:t>
      </w:r>
      <w:r w:rsidR="00743CD4">
        <w:t xml:space="preserve"> </w:t>
      </w:r>
      <w:proofErr w:type="spellStart"/>
      <w:r w:rsidR="00743CD4">
        <w:t>SolarNL</w:t>
      </w:r>
      <w:proofErr w:type="spellEnd"/>
      <w:r w:rsidR="000801A8">
        <w:rPr>
          <w:rStyle w:val="Funotenzeichen"/>
        </w:rPr>
        <w:footnoteReference w:id="2172"/>
      </w:r>
      <w:r w:rsidR="00743CD4">
        <w:t xml:space="preserve"> (hier</w:t>
      </w:r>
      <w:r w:rsidR="000801A8">
        <w:t>zu</w:t>
      </w:r>
      <w:r w:rsidR="00743CD4">
        <w:t xml:space="preserve"> gehören 9 Firmen</w:t>
      </w:r>
      <w:r w:rsidR="000801A8">
        <w:t>:</w:t>
      </w:r>
      <w:r w:rsidR="00743CD4">
        <w:t xml:space="preserve"> MCPV, </w:t>
      </w:r>
      <w:proofErr w:type="spellStart"/>
      <w:r w:rsidR="00743CD4">
        <w:t>Solarge</w:t>
      </w:r>
      <w:proofErr w:type="spellEnd"/>
      <w:r w:rsidR="00743CD4">
        <w:t xml:space="preserve">, </w:t>
      </w:r>
      <w:proofErr w:type="spellStart"/>
      <w:r w:rsidR="00743CD4">
        <w:t>Exasun</w:t>
      </w:r>
      <w:proofErr w:type="spellEnd"/>
      <w:r w:rsidR="00743CD4">
        <w:t xml:space="preserve">, </w:t>
      </w:r>
      <w:proofErr w:type="spellStart"/>
      <w:r w:rsidR="00743CD4">
        <w:t>HyET</w:t>
      </w:r>
      <w:proofErr w:type="spellEnd"/>
      <w:r w:rsidR="00743CD4">
        <w:t xml:space="preserve"> Solar </w:t>
      </w:r>
      <w:proofErr w:type="spellStart"/>
      <w:r w:rsidR="00743CD4">
        <w:t>Compoform</w:t>
      </w:r>
      <w:proofErr w:type="spellEnd"/>
      <w:r w:rsidR="00743CD4">
        <w:t xml:space="preserve">, </w:t>
      </w:r>
      <w:proofErr w:type="spellStart"/>
      <w:r w:rsidR="00743CD4">
        <w:t>Energyra</w:t>
      </w:r>
      <w:proofErr w:type="spellEnd"/>
      <w:r w:rsidR="00743CD4">
        <w:t xml:space="preserve">, </w:t>
      </w:r>
      <w:proofErr w:type="spellStart"/>
      <w:r w:rsidR="00743CD4">
        <w:t>Lightyear</w:t>
      </w:r>
      <w:proofErr w:type="spellEnd"/>
      <w:r w:rsidR="00743CD4">
        <w:t xml:space="preserve"> Layer, IM Efficiency und Taylor), hier hat die niederländische Regierung am 30.06,2023 </w:t>
      </w:r>
      <w:r w:rsidR="00743CD4" w:rsidRPr="000801A8">
        <w:rPr>
          <w:u w:val="single"/>
        </w:rPr>
        <w:t>312 Mill. Euro Subventionen und einen 100 Mill. Euro Kredit vergeben</w:t>
      </w:r>
      <w:r w:rsidR="00743CD4">
        <w:t>, insgesamt werden 898 Mill. Euro investiert, geplant ist bis 2026 3 Gigawatt zu produzieren.</w:t>
      </w:r>
      <w:r w:rsidR="00743CD4">
        <w:rPr>
          <w:rStyle w:val="Funotenzeichen"/>
        </w:rPr>
        <w:footnoteReference w:id="2173"/>
      </w:r>
      <w:r>
        <w:t xml:space="preserve"> Informationen finden sich </w:t>
      </w:r>
      <w:r w:rsidR="00FF5FD3">
        <w:t xml:space="preserve">auch </w:t>
      </w:r>
      <w:r>
        <w:t xml:space="preserve">auf der Webseite der </w:t>
      </w:r>
      <w:r w:rsidRPr="00CB33EB">
        <w:t>European Solar PV Industry Alliance</w:t>
      </w:r>
      <w:r>
        <w:t xml:space="preserve"> (ESIA).</w:t>
      </w:r>
      <w:r>
        <w:rPr>
          <w:rStyle w:val="Funotenzeichen"/>
        </w:rPr>
        <w:footnoteReference w:id="2174"/>
      </w:r>
      <w:r>
        <w:t xml:space="preserve"> </w:t>
      </w:r>
      <w:r w:rsidRPr="00231BDF">
        <w:t>Laut ESIA befinden sich derzeit 20 weitere Projekte im EWR in der Entwicklung. So baut die Firma Carbon in Fos-</w:t>
      </w:r>
      <w:proofErr w:type="spellStart"/>
      <w:r>
        <w:t>S</w:t>
      </w:r>
      <w:r w:rsidRPr="00231BDF">
        <w:t>ur</w:t>
      </w:r>
      <w:proofErr w:type="spellEnd"/>
      <w:r w:rsidRPr="00231BDF">
        <w:t>-</w:t>
      </w:r>
      <w:proofErr w:type="spellStart"/>
      <w:r w:rsidRPr="00231BDF">
        <w:t>Mer</w:t>
      </w:r>
      <w:proofErr w:type="spellEnd"/>
      <w:r w:rsidRPr="00231BDF">
        <w:t>, Frankreich, die erste vollintegrierte Gigawatt-Fabrik Europas, in der sämtliche Produktionsschritte abgedeckt werden – von der Herstellung des Polysiliziums bis hin zur Fertigung des Moduls. Ab dem Jahr 2026 ist geplant, dort eine jährliche Produktionskapazität von 5 GW Solarzellen und 3,5 GW Solarmodulen zu erreichen.</w:t>
      </w:r>
      <w:r>
        <w:t xml:space="preserve"> Hier ist der Link zu einem Status-Bericht der ESIA.</w:t>
      </w:r>
      <w:r>
        <w:rPr>
          <w:rStyle w:val="Funotenzeichen"/>
        </w:rPr>
        <w:footnoteReference w:id="2175"/>
      </w:r>
      <w:r>
        <w:t xml:space="preserve"> Das Fraunhofer Center für Silizium Photovoltaik CSP entwickelt mit dem EU-Verbundprojekt Pilatus</w:t>
      </w:r>
      <w:r>
        <w:rPr>
          <w:rStyle w:val="Funotenzeichen"/>
        </w:rPr>
        <w:footnoteReference w:id="2176"/>
      </w:r>
      <w:r>
        <w:t xml:space="preserve"> </w:t>
      </w:r>
      <w:r w:rsidRPr="00B510DF">
        <w:t>bis 2025 drei digitalisierte Pilotlinien</w:t>
      </w:r>
      <w:r>
        <w:t>, mit der Kapazität von 170 MW,</w:t>
      </w:r>
      <w:r w:rsidRPr="00B510DF">
        <w:t xml:space="preserve"> für die Produktion von Siliziumwafern, Solarzellen und PV-Modulen </w:t>
      </w:r>
      <w:r>
        <w:t>für den Aufbau einer Produktion in Europa. Hier geht es um eine Solarzelle, die vollständig bedruckt wird, um Verluste zu minimieren, eine patentierte Technologie.</w:t>
      </w:r>
      <w:r>
        <w:rPr>
          <w:rStyle w:val="Funotenzeichen"/>
        </w:rPr>
        <w:footnoteReference w:id="2177"/>
      </w:r>
      <w:r>
        <w:t xml:space="preserve"> Solarzellen, d.h. das Bedrucken von teils in China gekauften Wafern</w:t>
      </w:r>
      <w:r w:rsidR="009A4085">
        <w:t>,</w:t>
      </w:r>
      <w:r>
        <w:t xml:space="preserve"> </w:t>
      </w:r>
      <w:r w:rsidR="003B12DC">
        <w:t>erfolgt in Europa von</w:t>
      </w:r>
      <w:r>
        <w:t xml:space="preserve"> folgenden</w:t>
      </w:r>
      <w:r w:rsidR="001E0E3D">
        <w:t xml:space="preserve"> Herstellern</w:t>
      </w:r>
      <w:r>
        <w:t>: Oxford PV (</w:t>
      </w:r>
      <w:proofErr w:type="spellStart"/>
      <w:r>
        <w:t>Perovskite</w:t>
      </w:r>
      <w:proofErr w:type="spellEnd"/>
      <w:r>
        <w:t xml:space="preserve"> on </w:t>
      </w:r>
      <w:proofErr w:type="spellStart"/>
      <w:r>
        <w:t>Slilicon</w:t>
      </w:r>
      <w:proofErr w:type="spellEnd"/>
      <w:r>
        <w:t xml:space="preserve"> Tandem Solar Cells)</w:t>
      </w:r>
      <w:r>
        <w:rPr>
          <w:rStyle w:val="Funotenzeichen"/>
        </w:rPr>
        <w:footnoteReference w:id="2178"/>
      </w:r>
      <w:r>
        <w:t>, Meyer Burger</w:t>
      </w:r>
      <w:r>
        <w:rPr>
          <w:rStyle w:val="Funotenzeichen"/>
        </w:rPr>
        <w:footnoteReference w:id="2179"/>
      </w:r>
      <w:r>
        <w:t>, Azur Space</w:t>
      </w:r>
      <w:r>
        <w:rPr>
          <w:rStyle w:val="Funotenzeichen"/>
        </w:rPr>
        <w:footnoteReference w:id="2180"/>
      </w:r>
      <w:r>
        <w:t xml:space="preserve">, </w:t>
      </w:r>
      <w:proofErr w:type="spellStart"/>
      <w:r>
        <w:t>Ecosolifer</w:t>
      </w:r>
      <w:proofErr w:type="spellEnd"/>
      <w:r>
        <w:rPr>
          <w:rStyle w:val="Funotenzeichen"/>
        </w:rPr>
        <w:footnoteReference w:id="2181"/>
      </w:r>
      <w:r>
        <w:t xml:space="preserve">, </w:t>
      </w:r>
      <w:proofErr w:type="spellStart"/>
      <w:r>
        <w:t>Valoe</w:t>
      </w:r>
      <w:proofErr w:type="spellEnd"/>
      <w:r>
        <w:t xml:space="preserve"> (in Restrukturierung)</w:t>
      </w:r>
      <w:r>
        <w:rPr>
          <w:rStyle w:val="Funotenzeichen"/>
        </w:rPr>
        <w:footnoteReference w:id="2182"/>
      </w:r>
      <w:r>
        <w:t xml:space="preserve">, damit sind wir schon viel weiter als die USA!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Wer produziert in Europa Ingots und Wafer? </w:t>
      </w:r>
      <w:proofErr w:type="spellStart"/>
      <w:r w:rsidR="001E0E3D">
        <w:t>Norwegian</w:t>
      </w:r>
      <w:proofErr w:type="spellEnd"/>
      <w:r w:rsidR="001E0E3D">
        <w:t xml:space="preserve"> Crystals (aber 2023 bankrott</w:t>
      </w:r>
      <w:r w:rsidR="001E0E3D">
        <w:rPr>
          <w:rStyle w:val="Funotenzeichen"/>
        </w:rPr>
        <w:footnoteReference w:id="2183"/>
      </w:r>
      <w:r w:rsidR="001E0E3D">
        <w:t xml:space="preserve">), </w:t>
      </w:r>
      <w:proofErr w:type="spellStart"/>
      <w:r w:rsidR="001E0E3D">
        <w:t>Norsun</w:t>
      </w:r>
      <w:proofErr w:type="spellEnd"/>
      <w:r w:rsidR="00B14AED">
        <w:t xml:space="preserve"> (hat am 17.12.2024 die Produktion in Europa beendet und zieht nach </w:t>
      </w:r>
      <w:r w:rsidR="00B14AED">
        <w:lastRenderedPageBreak/>
        <w:t>Tulsa, Oklahoma</w:t>
      </w:r>
      <w:r w:rsidR="00B14AED">
        <w:rPr>
          <w:rStyle w:val="Funotenzeichen"/>
        </w:rPr>
        <w:footnoteReference w:id="2184"/>
      </w:r>
      <w:r w:rsidR="00B14AED">
        <w:t xml:space="preserve">) </w:t>
      </w:r>
      <w:r w:rsidR="001E0E3D">
        <w:t xml:space="preserve">, EDF PW </w:t>
      </w:r>
      <w:r w:rsidR="00B14AED">
        <w:t xml:space="preserve">bzw. </w:t>
      </w:r>
      <w:proofErr w:type="spellStart"/>
      <w:r w:rsidR="00B14AED">
        <w:t>Photowatt</w:t>
      </w:r>
      <w:proofErr w:type="spellEnd"/>
      <w:r w:rsidR="00B14AED">
        <w:t xml:space="preserve"> (verkauft an 19.09.2024 an CARBON) </w:t>
      </w:r>
      <w:r w:rsidR="001E0E3D">
        <w:t>und in der Türkei PW</w:t>
      </w:r>
      <w:r w:rsidR="00B14AED">
        <w:t xml:space="preserve"> bzw. </w:t>
      </w:r>
      <w:proofErr w:type="spellStart"/>
      <w:r w:rsidR="00B14AED">
        <w:t>Photowatt</w:t>
      </w:r>
      <w:proofErr w:type="spellEnd"/>
      <w:r w:rsidR="001E0E3D">
        <w:t>.</w:t>
      </w:r>
      <w:r w:rsidR="001E0E3D">
        <w:rPr>
          <w:rStyle w:val="Funotenzeichen"/>
        </w:rPr>
        <w:footnoteReference w:id="2185"/>
      </w:r>
      <w:r w:rsidR="001E0E3D">
        <w:t xml:space="preserve"> </w:t>
      </w:r>
      <w:r>
        <w:t xml:space="preserve">Eine große Fabrik mit 3 GW wird in Sizilien von Enel aufgebaut, das Tango Projekt, das vom Europäischen Innovationsfond gefördert wird, hier werden </w:t>
      </w:r>
      <w:proofErr w:type="spellStart"/>
      <w:r>
        <w:t>Heterojunction</w:t>
      </w:r>
      <w:proofErr w:type="spellEnd"/>
      <w:r>
        <w:t xml:space="preserve"> </w:t>
      </w:r>
      <w:proofErr w:type="spellStart"/>
      <w:r>
        <w:t>bifacial</w:t>
      </w:r>
      <w:proofErr w:type="spellEnd"/>
      <w:r>
        <w:t xml:space="preserve"> </w:t>
      </w:r>
      <w:proofErr w:type="spellStart"/>
      <w:r>
        <w:t>panels</w:t>
      </w:r>
      <w:proofErr w:type="spellEnd"/>
      <w:r>
        <w:t xml:space="preserve"> gebaut.</w:t>
      </w:r>
      <w:r>
        <w:rPr>
          <w:rStyle w:val="Funotenzeichen"/>
        </w:rPr>
        <w:footnoteReference w:id="2186"/>
      </w:r>
      <w:r>
        <w:t xml:space="preserve"> </w:t>
      </w:r>
      <w:r w:rsidR="00AD2E4A">
        <w:t>Enel will Ende 2024 1,2 GW Kapazität erreicht haben</w:t>
      </w:r>
      <w:r w:rsidR="00EB168D">
        <w:t xml:space="preserve"> und wird von dem staatlichen Hilfeplan ‚Industria 5.0‘ unterstützt.</w:t>
      </w:r>
      <w:r w:rsidR="00EB168D">
        <w:rPr>
          <w:rStyle w:val="Funotenzeichen"/>
        </w:rPr>
        <w:footnoteReference w:id="2187"/>
      </w:r>
      <w:r w:rsidR="00EB168D">
        <w:t xml:space="preserve"> Es gibt weitere Fördertöpfe, auch eine Kreditlinie von 390 Mill. der Europäischen Investitionsbank, die</w:t>
      </w:r>
      <w:r w:rsidR="00544E39">
        <w:t xml:space="preserve"> Vorprodukte der</w:t>
      </w:r>
      <w:r w:rsidR="00EB168D">
        <w:t xml:space="preserve"> Wafer kommen aus China.</w:t>
      </w:r>
      <w:r w:rsidR="00EB168D">
        <w:rPr>
          <w:rStyle w:val="Funotenzeichen"/>
        </w:rPr>
        <w:footnoteReference w:id="2188"/>
      </w:r>
      <w:r w:rsidR="00EB168D">
        <w:t xml:space="preserve"> </w:t>
      </w:r>
      <w:r>
        <w:t>Offen bleiben muss, ob bzw. wie Wacker Chemie mit seiner Polysilizium-Produktion</w:t>
      </w:r>
      <w:r w:rsidR="00CC05E8">
        <w:rPr>
          <w:rStyle w:val="Funotenzeichen"/>
        </w:rPr>
        <w:footnoteReference w:id="2189"/>
      </w:r>
      <w:r>
        <w:t xml:space="preserve"> hier einbezogen wird</w:t>
      </w:r>
      <w:r w:rsidR="00CC05E8">
        <w:t xml:space="preserve"> oder ob Polysilizium aus China bezogen wird</w:t>
      </w:r>
      <w:r>
        <w:t xml:space="preserve">. </w:t>
      </w:r>
    </w:p>
    <w:p w14:paraId="3DAE3C6E" w14:textId="77777777" w:rsidR="002C057C" w:rsidRDefault="002C057C" w:rsidP="002C057C"/>
    <w:p w14:paraId="01762054" w14:textId="2F222684" w:rsidR="0086292E" w:rsidRDefault="0086292E" w:rsidP="002C057C">
      <w:r>
        <w:t>Auch in der deutschen Diskussion wurde</w:t>
      </w:r>
      <w:r w:rsidR="00CC05E8">
        <w:t xml:space="preserve"> 2022</w:t>
      </w:r>
      <w:r>
        <w:t xml:space="preserve"> ein europaweites „Konsortium“ zum Aufbau der Solarindustrie vorgeschlagen.</w:t>
      </w:r>
      <w:r>
        <w:rPr>
          <w:rStyle w:val="Funotenzeichen"/>
        </w:rPr>
        <w:footnoteReference w:id="2190"/>
      </w:r>
      <w:r>
        <w:t xml:space="preserve">  </w:t>
      </w:r>
    </w:p>
    <w:p w14:paraId="6E97B274" w14:textId="77777777" w:rsidR="0086292E" w:rsidRDefault="0086292E" w:rsidP="002C057C"/>
    <w:p w14:paraId="60510C12" w14:textId="2EC812EF" w:rsidR="002C057C" w:rsidRDefault="002C057C" w:rsidP="002C057C">
      <w:r>
        <w:t xml:space="preserve">Es gibt also in der EU eine Reihe von größeren Projekten und die EU subventioniert einige dieser Projekte, etwa </w:t>
      </w:r>
      <w:proofErr w:type="spellStart"/>
      <w:r>
        <w:t>Holosolis</w:t>
      </w:r>
      <w:proofErr w:type="spellEnd"/>
      <w:r>
        <w:t>. Es gibt parallel da</w:t>
      </w:r>
      <w:r w:rsidR="000134E3">
        <w:t>zu aber auch diese</w:t>
      </w:r>
      <w:r>
        <w:t xml:space="preserve"> Nachrichten:</w:t>
      </w:r>
    </w:p>
    <w:p w14:paraId="2048ECA7" w14:textId="77777777" w:rsidR="002C057C" w:rsidRDefault="002C057C" w:rsidP="002C057C"/>
    <w:p w14:paraId="28AB7B8A" w14:textId="0498922A" w:rsidR="002C057C" w:rsidRDefault="002C057C" w:rsidP="002C057C">
      <w:r>
        <w:t>Der Solarzellen- und Solarmodulproduzent Meyer Burger (er importiert die Wafer aus China) hat Anfang 2024 die Schließung seiner Modulfabrik in Sachsen, Freiberg, angedroht</w:t>
      </w:r>
      <w:r w:rsidR="001C1C00">
        <w:t>, Grund sei u.a. dass der europäische Markt von chinesischen Modulen überschwemmt wird.</w:t>
      </w:r>
      <w:r w:rsidR="001C1C00">
        <w:rPr>
          <w:rStyle w:val="Funotenzeichen"/>
        </w:rPr>
        <w:footnoteReference w:id="2191"/>
      </w:r>
      <w:r>
        <w:t xml:space="preserve"> </w:t>
      </w:r>
      <w:r w:rsidR="001C1C00">
        <w:t>Schon</w:t>
      </w:r>
      <w:r w:rsidR="00E77433">
        <w:t xml:space="preserve"> 2023</w:t>
      </w:r>
      <w:r w:rsidR="001C1C00">
        <w:t xml:space="preserve"> plante Meyer Burger</w:t>
      </w:r>
      <w:r w:rsidR="00E77433">
        <w:t xml:space="preserve">, dass er </w:t>
      </w:r>
      <w:r>
        <w:t>in die USA gehen</w:t>
      </w:r>
      <w:r w:rsidR="00E77433">
        <w:t xml:space="preserve"> will, um Steueranreize nutzen zu können</w:t>
      </w:r>
      <w:r>
        <w:t>.</w:t>
      </w:r>
      <w:r w:rsidR="006406D1">
        <w:rPr>
          <w:rStyle w:val="Funotenzeichen"/>
        </w:rPr>
        <w:footnoteReference w:id="2192"/>
      </w:r>
      <w:r w:rsidR="001C1C00">
        <w:t xml:space="preserve"> </w:t>
      </w:r>
      <w:r w:rsidR="006406D1">
        <w:t>Er hat 2023 eine Förderzusage vom EU Innovation Fund von 200 Mill. Euro Förderung bekommen, für den Aufbau von 3,5 GW Produktionskapazität für Solarzellen und Module in Deutschland und ggf. in Spanien.</w:t>
      </w:r>
      <w:r w:rsidR="006406D1">
        <w:rPr>
          <w:rStyle w:val="Funotenzeichen"/>
        </w:rPr>
        <w:footnoteReference w:id="2193"/>
      </w:r>
      <w:r>
        <w:t xml:space="preserve"> Der Bundesverband Solarwirtschaft, Carsten </w:t>
      </w:r>
      <w:proofErr w:type="spellStart"/>
      <w:r>
        <w:t>Körning</w:t>
      </w:r>
      <w:proofErr w:type="spellEnd"/>
      <w:r>
        <w:t>, lehnt Zölle und Marktzugangsbarrieren ab, da sie sich als unwirksam erwiesen hätten. Meyer Burger hofft auf Subventionen vom Staat, z.B. auf ein Gesetz, dass auf der EEG Umlage basierend Resilienz Boni finanziert, und es sollte der Net Zero Industry Act in nationales, deutsches Förderrecht überführt werden.</w:t>
      </w:r>
      <w:r>
        <w:rPr>
          <w:rStyle w:val="Funotenzeichen"/>
        </w:rPr>
        <w:footnoteReference w:id="2194"/>
      </w:r>
      <w:r>
        <w:t xml:space="preserve"> Die Modulfabrik in Freiberg ist im März 2024 nun geschlossen worden.</w:t>
      </w:r>
      <w:r>
        <w:rPr>
          <w:rStyle w:val="Funotenzeichen"/>
        </w:rPr>
        <w:footnoteReference w:id="2195"/>
      </w:r>
      <w:r w:rsidRPr="004A55C3">
        <w:t xml:space="preserve"> </w:t>
      </w:r>
      <w:r>
        <w:t xml:space="preserve">Meyer Burger möchte nun nicht mehr in der USA einen Zellenproduktion aufbauen, behält </w:t>
      </w:r>
      <w:r w:rsidR="001C1C00">
        <w:t xml:space="preserve">aber </w:t>
      </w:r>
      <w:r>
        <w:t>dort seine Modulproduktion in Goodyear, Arizona, mit einer Kapazität von 1,4 GW und beliefert diese mit seinen Zellen aus Bitterfeld-Wolfen.</w:t>
      </w:r>
      <w:r>
        <w:rPr>
          <w:rStyle w:val="Funotenzeichen"/>
        </w:rPr>
        <w:footnoteReference w:id="2196"/>
      </w:r>
      <w:r>
        <w:t xml:space="preserve"> Mittlerweile hat Meyer Burger im Dezember 2024 eine Insolvenz noch einmal abwenden können und hat im März 2025 noch ein wenig Kapital auftreiben können, nun sucht Meyer Burger einen Käufer.</w:t>
      </w:r>
      <w:r>
        <w:rPr>
          <w:rStyle w:val="Funotenzeichen"/>
        </w:rPr>
        <w:footnoteReference w:id="2197"/>
      </w:r>
      <w:r>
        <w:t xml:space="preserve"> </w:t>
      </w:r>
    </w:p>
    <w:p w14:paraId="55AF31CD" w14:textId="21A5DB75" w:rsidR="002C057C" w:rsidRDefault="00E77433" w:rsidP="002C057C">
      <w:r>
        <w:lastRenderedPageBreak/>
        <w:t>Nun, am 31.05.2025, ist die Insolvenz bei drei deutschen Tochtergesellschaften da, alle Mitarbeiter in Arizona sind gekündigt, die Solarzellenfertigung in Thalheim, Bitterfeld-</w:t>
      </w:r>
      <w:proofErr w:type="spellStart"/>
      <w:r>
        <w:t>Wolffen</w:t>
      </w:r>
      <w:proofErr w:type="spellEnd"/>
      <w:r>
        <w:t>, ist mit 331 Mitarbeitern betroffen, in Hohenstein-Ernstthal sind 289 bei Maschinenbau und Technologieentwicklung betroffen.</w:t>
      </w:r>
      <w:r>
        <w:rPr>
          <w:rStyle w:val="Funotenzeichen"/>
        </w:rPr>
        <w:footnoteReference w:id="2198"/>
      </w:r>
      <w:r w:rsidR="00EF72B4">
        <w:t xml:space="preserve"> </w:t>
      </w:r>
      <w:r w:rsidR="00CA5D7E">
        <w:t xml:space="preserve">Die </w:t>
      </w:r>
      <w:r w:rsidR="007002AC">
        <w:t>Geschäftsz</w:t>
      </w:r>
      <w:r w:rsidR="00CA5D7E">
        <w:t>ahlen von Meyer Burger s</w:t>
      </w:r>
      <w:r w:rsidR="007002AC">
        <w:t>ehen nicht gut aus</w:t>
      </w:r>
      <w:r w:rsidR="00CA5D7E">
        <w:t xml:space="preserve">: </w:t>
      </w:r>
      <w:r w:rsidR="005B380E">
        <w:t xml:space="preserve">Im Jahr 2023 </w:t>
      </w:r>
      <w:r w:rsidR="00CA5D7E">
        <w:t>141 Mill. Euro Umsatz, 292 Mill. Euro Verlust</w:t>
      </w:r>
      <w:r w:rsidR="007002AC">
        <w:t xml:space="preserve"> und</w:t>
      </w:r>
      <w:r w:rsidR="005B380E">
        <w:t xml:space="preserve"> dass einen Kredit von 125 Mill. Euro</w:t>
      </w:r>
      <w:r w:rsidR="007002AC">
        <w:t xml:space="preserve"> hat</w:t>
      </w:r>
      <w:r w:rsidR="005B380E">
        <w:t xml:space="preserve"> d</w:t>
      </w:r>
      <w:r w:rsidR="007002AC">
        <w:t>er Bund</w:t>
      </w:r>
      <w:r w:rsidR="005B380E">
        <w:t>, Sachsen und Sachsen-Anhalt gebürgt, es kann nun sein, dass der Staat diese Gelder verloren hat.</w:t>
      </w:r>
      <w:r w:rsidR="005B380E">
        <w:rPr>
          <w:rStyle w:val="Funotenzeichen"/>
        </w:rPr>
        <w:footnoteReference w:id="2199"/>
      </w:r>
      <w:r w:rsidR="005B380E">
        <w:t xml:space="preserve"> </w:t>
      </w:r>
      <w:r w:rsidR="00EF72B4">
        <w:t>Mal sehen, wie die Bundesregierung unter Friedrich Merz darauf reagiert</w:t>
      </w:r>
      <w:r w:rsidR="009E3B9C">
        <w:t>, bis zum 1</w:t>
      </w:r>
      <w:r w:rsidR="005B380E">
        <w:t>6</w:t>
      </w:r>
      <w:r w:rsidR="009E3B9C">
        <w:t xml:space="preserve">.06.2025 habe ich nicht mehr darüber in den Medien gelesen … </w:t>
      </w:r>
    </w:p>
    <w:p w14:paraId="2755607A" w14:textId="77777777" w:rsidR="00E77433" w:rsidRDefault="00E77433" w:rsidP="002C057C"/>
    <w:p w14:paraId="3D16690E" w14:textId="7A99627C" w:rsidR="002C057C" w:rsidRDefault="00743CD4" w:rsidP="002C057C">
      <w:r>
        <w:t xml:space="preserve">Frankreich </w:t>
      </w:r>
      <w:r w:rsidR="000801A8">
        <w:t>hatte 2023 bereits</w:t>
      </w:r>
      <w:r>
        <w:t xml:space="preserve"> gefordert, die WTO Schutzklausel bzw. GATT Art. 19 zu aktivieren, um sich gegen China zu schützen, dies wurde aber von der EU Kommission nicht weiterverfolgt, damals hatte</w:t>
      </w:r>
      <w:r w:rsidR="001C1C00">
        <w:t xml:space="preserve"> China 91 % Marktanteil am Solarmarkt in Europa</w:t>
      </w:r>
      <w:r>
        <w:t>.</w:t>
      </w:r>
      <w:r>
        <w:rPr>
          <w:rStyle w:val="Funotenzeichen"/>
        </w:rPr>
        <w:footnoteReference w:id="2200"/>
      </w:r>
      <w:r>
        <w:t xml:space="preserve"> </w:t>
      </w:r>
      <w:r w:rsidR="002C057C">
        <w:t xml:space="preserve">Der Verband Solar Power EU warnt vor einer Insolvenzwelle, siehe auch das Solar </w:t>
      </w:r>
      <w:proofErr w:type="spellStart"/>
      <w:r w:rsidR="002C057C">
        <w:t>for</w:t>
      </w:r>
      <w:proofErr w:type="spellEnd"/>
      <w:r w:rsidR="002C057C">
        <w:t xml:space="preserve"> Europe </w:t>
      </w:r>
      <w:proofErr w:type="spellStart"/>
      <w:r w:rsidR="002C057C">
        <w:t>Manifesto</w:t>
      </w:r>
      <w:proofErr w:type="spellEnd"/>
      <w:r w:rsidR="002C057C">
        <w:t xml:space="preserve"> (undatiert).</w:t>
      </w:r>
      <w:r w:rsidR="002C057C">
        <w:rPr>
          <w:rStyle w:val="Funotenzeichen"/>
        </w:rPr>
        <w:footnoteReference w:id="2201"/>
      </w:r>
      <w:r w:rsidR="002C057C">
        <w:t xml:space="preserve"> Auf der Webseite von Solar Power EU findet sich eine Interaktive Karte, die alle Produktionsstätten der Solarindustrie in Europa anzeigt.</w:t>
      </w:r>
      <w:r w:rsidR="002C057C">
        <w:rPr>
          <w:rStyle w:val="Funotenzeichen"/>
        </w:rPr>
        <w:footnoteReference w:id="2202"/>
      </w:r>
      <w:r w:rsidR="002C057C">
        <w:t xml:space="preserve"> Die EU Vertretung in Deutschland hat im Januar eine Pressemitteilung bzw. Webseite zum Thema EU-Initiativen zur Stärkung der Solarindustrie publiziert, die einen Überblick über Fördermöglichkeiten gibt.</w:t>
      </w:r>
      <w:r w:rsidR="002C057C">
        <w:rPr>
          <w:rStyle w:val="Funotenzeichen"/>
        </w:rPr>
        <w:footnoteReference w:id="2203"/>
      </w:r>
      <w:r w:rsidR="002C057C">
        <w:t xml:space="preserve"> </w:t>
      </w:r>
    </w:p>
    <w:p w14:paraId="7DC45285" w14:textId="77777777" w:rsidR="002C057C" w:rsidRDefault="002C057C" w:rsidP="002C057C"/>
    <w:p w14:paraId="6F9EAD21" w14:textId="348CD0FF" w:rsidR="002C057C" w:rsidRDefault="003F5684" w:rsidP="002C057C">
      <w:r>
        <w:t>Gut</w:t>
      </w:r>
      <w:r w:rsidR="002C057C">
        <w:t xml:space="preserve"> wäre, </w:t>
      </w:r>
      <w:r>
        <w:t>wenn</w:t>
      </w:r>
      <w:r w:rsidR="002C057C">
        <w:t xml:space="preserve"> die europäischen Produzenten ihre Kosten herunterbekommen</w:t>
      </w:r>
      <w:r>
        <w:t xml:space="preserve"> könnten</w:t>
      </w:r>
      <w:r w:rsidR="002C057C">
        <w:t xml:space="preserve">. </w:t>
      </w:r>
      <w:r w:rsidR="002C057C" w:rsidRPr="00ED52FA">
        <w:rPr>
          <w:u w:val="single"/>
        </w:rPr>
        <w:t>Zur Industriepolitik müssten auch die Energiekosten gehören</w:t>
      </w:r>
      <w:r w:rsidR="002C057C">
        <w:t xml:space="preserve">. Wenn Wacker-Chemie Polysilizium in Deutschland und Europa herstellen würde, </w:t>
      </w:r>
      <w:r>
        <w:t xml:space="preserve">oder wenn es um Ingots geht, </w:t>
      </w:r>
      <w:r w:rsidR="002C057C">
        <w:t>wäre hier sicher eine Strompreiskompensation sinnvoll oder besser: ein guter Standort für die Produktion</w:t>
      </w:r>
      <w:r w:rsidR="000134E3">
        <w:t>.</w:t>
      </w:r>
      <w:r w:rsidR="002C057C">
        <w:t xml:space="preserve"> Beispiel USA: Quarz bzw. Polysiliziumproduktion durch Elektrolichtbogenöfen, findet in sieben Fabriken in den USA statt, oft neben billigem Strom durch Wasserkraft.</w:t>
      </w:r>
      <w:r w:rsidR="002C057C">
        <w:rPr>
          <w:rStyle w:val="Funotenzeichen"/>
        </w:rPr>
        <w:footnoteReference w:id="2204"/>
      </w:r>
      <w:r w:rsidR="002C057C">
        <w:t xml:space="preserve"> Niedrige Kosten für die Basiskomponenten könnten </w:t>
      </w:r>
      <w:proofErr w:type="gramStart"/>
      <w:r w:rsidR="002C057C">
        <w:t>zu einem großen Vorteile</w:t>
      </w:r>
      <w:proofErr w:type="gramEnd"/>
      <w:r w:rsidR="002C057C">
        <w:t xml:space="preserve"> für die europäische Industrie werden, der auch dazu führen kann, dass Solaranlagen in der EU generell billiger werden. Denkbar wäre etwa ein Standort in Frankreich, um </w:t>
      </w:r>
      <w:proofErr w:type="gramStart"/>
      <w:r w:rsidR="002C057C">
        <w:t>von günstigen Atomstrom</w:t>
      </w:r>
      <w:proofErr w:type="gramEnd"/>
      <w:r w:rsidR="002C057C">
        <w:t xml:space="preserve"> zu profitieren</w:t>
      </w:r>
      <w:r>
        <w:t xml:space="preserve"> (Cattenom ist in der Nähe von </w:t>
      </w:r>
      <w:proofErr w:type="spellStart"/>
      <w:r>
        <w:t>Holosolis</w:t>
      </w:r>
      <w:proofErr w:type="spellEnd"/>
      <w:r>
        <w:t>)</w:t>
      </w:r>
      <w:r w:rsidR="002C057C">
        <w:t xml:space="preserve"> </w:t>
      </w:r>
      <w:r w:rsidR="000134E3">
        <w:t xml:space="preserve">oder in Österreich, um von Wasserkraft zu profitieren. </w:t>
      </w:r>
      <w:r w:rsidR="002C057C">
        <w:t>Dies sollte unbedingt gemacht werden!!!</w:t>
      </w:r>
      <w:r w:rsidR="009E3B9C">
        <w:t xml:space="preserve"> (dafür braucht muss man sicher wieder mit der </w:t>
      </w:r>
      <w:proofErr w:type="gramStart"/>
      <w:r w:rsidR="009E3B9C">
        <w:t>EU Beihilfekontrolle</w:t>
      </w:r>
      <w:proofErr w:type="gramEnd"/>
      <w:r w:rsidR="009E3B9C">
        <w:t xml:space="preserve"> verhandeln)</w:t>
      </w:r>
    </w:p>
    <w:p w14:paraId="4F076923" w14:textId="77777777" w:rsidR="002C057C" w:rsidRDefault="002C057C" w:rsidP="002C057C"/>
    <w:p w14:paraId="32C27936" w14:textId="1561ABE3" w:rsidR="00E9298D" w:rsidRDefault="00E9298D" w:rsidP="002C057C">
      <w:r>
        <w:t>15.5 WTO</w:t>
      </w:r>
      <w:r w:rsidR="007002AC">
        <w:t>-</w:t>
      </w:r>
      <w:r>
        <w:t xml:space="preserve">konforme und </w:t>
      </w:r>
      <w:r w:rsidR="007002AC">
        <w:t>-</w:t>
      </w:r>
      <w:proofErr w:type="spellStart"/>
      <w:r>
        <w:t>inkonforme</w:t>
      </w:r>
      <w:proofErr w:type="spellEnd"/>
      <w:r>
        <w:t xml:space="preserve"> Ideen zum Schutz</w:t>
      </w:r>
    </w:p>
    <w:p w14:paraId="42CAE512" w14:textId="77777777" w:rsidR="00E9298D" w:rsidRDefault="00E9298D" w:rsidP="002C057C"/>
    <w:p w14:paraId="098E3A9D" w14:textId="1AE50FD2" w:rsidR="000134E3" w:rsidRDefault="002C057C" w:rsidP="002C057C">
      <w:r>
        <w:t xml:space="preserve">Wir sind also heute </w:t>
      </w:r>
      <w:r w:rsidR="000134E3">
        <w:t xml:space="preserve">in einer anderen </w:t>
      </w:r>
      <w:r>
        <w:t xml:space="preserve">Situation, aber irgendwie erinnert </w:t>
      </w:r>
      <w:r w:rsidR="000134E3">
        <w:t xml:space="preserve">es </w:t>
      </w:r>
      <w:r>
        <w:t xml:space="preserve">an die Zeit </w:t>
      </w:r>
      <w:r w:rsidR="00BD3991">
        <w:t>um</w:t>
      </w:r>
      <w:r>
        <w:t xml:space="preserve"> 2010: Die europäische Solarindustrie wird aufgebaut, es gibt viele Projekte, aber diese Firmen müssen – immer noch - gegenüber chinesischen Firmen konkurrieren, die günstiger anbieten können</w:t>
      </w:r>
      <w:r w:rsidR="000134E3">
        <w:t>. Immer noch haben einzelne Firmen Schwierigkeiten und es wird nicht sofort und pragmatisch geholfen</w:t>
      </w:r>
      <w:r>
        <w:t xml:space="preserve">. </w:t>
      </w:r>
    </w:p>
    <w:p w14:paraId="1D916437" w14:textId="77777777" w:rsidR="000134E3" w:rsidRDefault="000134E3" w:rsidP="002C057C"/>
    <w:p w14:paraId="2F5AC492" w14:textId="77777777" w:rsidR="001F20CB" w:rsidRDefault="000134E3" w:rsidP="002C057C">
      <w:r>
        <w:lastRenderedPageBreak/>
        <w:t>D</w:t>
      </w:r>
      <w:r w:rsidR="002C057C">
        <w:t xml:space="preserve">ies </w:t>
      </w:r>
      <w:r>
        <w:t xml:space="preserve">kann </w:t>
      </w:r>
      <w:r w:rsidR="002C057C">
        <w:t xml:space="preserve">nicht lange gut gehen. </w:t>
      </w:r>
      <w:r w:rsidR="003F5684">
        <w:t>Wenn</w:t>
      </w:r>
      <w:r>
        <w:t xml:space="preserve"> </w:t>
      </w:r>
      <w:proofErr w:type="spellStart"/>
      <w:r>
        <w:t>Holosolis</w:t>
      </w:r>
      <w:proofErr w:type="spellEnd"/>
      <w:r>
        <w:t xml:space="preserve"> </w:t>
      </w:r>
      <w:r w:rsidR="00705629">
        <w:t>sein</w:t>
      </w:r>
      <w:r w:rsidR="003F5684">
        <w:t>e</w:t>
      </w:r>
      <w:r w:rsidR="00705629">
        <w:t xml:space="preserve"> Produktion aufgenommen hat und feststellt, dass chinesische Produkte günstiger </w:t>
      </w:r>
      <w:r w:rsidR="003F5684">
        <w:t>s</w:t>
      </w:r>
      <w:r w:rsidR="00705629">
        <w:t>in</w:t>
      </w:r>
      <w:r w:rsidR="003F5684">
        <w:t>d</w:t>
      </w:r>
      <w:r w:rsidR="00705629">
        <w:t xml:space="preserve">, </w:t>
      </w:r>
      <w:r w:rsidR="003F5684">
        <w:t xml:space="preserve">wird es vielleicht </w:t>
      </w:r>
      <w:r w:rsidR="00705629">
        <w:t>wieder eine</w:t>
      </w:r>
      <w:r w:rsidR="002C057C">
        <w:t xml:space="preserve"> Antidumpinguntersuchung geben: Diesmal muss</w:t>
      </w:r>
      <w:r w:rsidR="00705629">
        <w:t xml:space="preserve"> dies aber </w:t>
      </w:r>
      <w:r w:rsidR="002C057C">
        <w:t>zu einem ‚</w:t>
      </w:r>
      <w:proofErr w:type="spellStart"/>
      <w:r w:rsidR="002C057C">
        <w:t>undertaking</w:t>
      </w:r>
      <w:proofErr w:type="spellEnd"/>
      <w:r w:rsidR="002C057C">
        <w:t>‘ führen, dass wirklich darauf ausgerichtet ist, die europäische Solarindustrie aufzubauen. D</w:t>
      </w:r>
      <w:r w:rsidR="003F5684">
        <w:t>iesmal muss die</w:t>
      </w:r>
      <w:r w:rsidR="002C057C">
        <w:t xml:space="preserve"> EU</w:t>
      </w:r>
      <w:r w:rsidR="00705629">
        <w:t xml:space="preserve"> </w:t>
      </w:r>
      <w:r w:rsidR="002C057C">
        <w:t>bereit sein</w:t>
      </w:r>
      <w:r w:rsidR="00705629">
        <w:t xml:space="preserve"> muss</w:t>
      </w:r>
      <w:r w:rsidR="002C057C">
        <w:t xml:space="preserve">, </w:t>
      </w:r>
      <w:r w:rsidR="003F5684">
        <w:t>ihre</w:t>
      </w:r>
      <w:r w:rsidR="002C057C">
        <w:t xml:space="preserve"> Solarindustrie </w:t>
      </w:r>
      <w:r w:rsidR="00BD3991">
        <w:t xml:space="preserve">auch mit Subventionen </w:t>
      </w:r>
      <w:r w:rsidR="002C057C">
        <w:t xml:space="preserve">zu unterstützen, </w:t>
      </w:r>
      <w:r w:rsidR="003F5684">
        <w:t>immer wieder neu</w:t>
      </w:r>
      <w:r w:rsidR="002C057C">
        <w:t>.</w:t>
      </w:r>
      <w:r w:rsidR="003F5684">
        <w:t xml:space="preserve"> Chinesische Importe müssen am Anfang noch zugelassen werden, es m</w:t>
      </w:r>
      <w:r w:rsidR="00BD3991">
        <w:t>üssen</w:t>
      </w:r>
      <w:r w:rsidR="003F5684">
        <w:t xml:space="preserve"> der europäische</w:t>
      </w:r>
      <w:r w:rsidR="001F20CB">
        <w:t>n</w:t>
      </w:r>
      <w:r w:rsidR="003F5684">
        <w:t xml:space="preserve"> Produktion </w:t>
      </w:r>
      <w:r w:rsidR="00BD3991">
        <w:t xml:space="preserve">aber </w:t>
      </w:r>
      <w:r w:rsidR="003F5684">
        <w:t xml:space="preserve">langsam mehr Marktanteile zugemessen werden. </w:t>
      </w:r>
      <w:r w:rsidR="001F20CB">
        <w:t xml:space="preserve">Wie lässt sich die ermöglichen? </w:t>
      </w:r>
    </w:p>
    <w:p w14:paraId="0B7F9DFE" w14:textId="77777777" w:rsidR="001F20CB" w:rsidRDefault="001F20CB" w:rsidP="002C057C"/>
    <w:p w14:paraId="2661A62A" w14:textId="77777777" w:rsidR="007601D9" w:rsidRDefault="001F20CB" w:rsidP="001F20CB">
      <w:r>
        <w:t xml:space="preserve">Eine Möglichkeit sind Antidumpingzölle. Bei Antidumpingzöllen behaupten die Behörden, dass chinesische Produkte unter ihrem normalen Wert in die EU eingeführt werden, </w:t>
      </w:r>
      <w:proofErr w:type="gramStart"/>
      <w:r>
        <w:t>dieses Begriff</w:t>
      </w:r>
      <w:proofErr w:type="gramEnd"/>
      <w:r>
        <w:t xml:space="preserve"> hat aber mit der Realität nichts zu tun, er macht nur Sinn innerhalb der dann anberaumten Untersuchungen der Generaldirektion Handel. Bei dieser Untersuchung haben die Behörden bei der Berechnung Spielräume und können eigentlich immer Antidumpingzölle berechnen, die China (oder </w:t>
      </w:r>
      <w:proofErr w:type="gramStart"/>
      <w:r>
        <w:t>einem andern Land</w:t>
      </w:r>
      <w:proofErr w:type="gramEnd"/>
      <w:r>
        <w:t xml:space="preserve">) auferlegt werden. Zwar gibt es Regeln, </w:t>
      </w:r>
      <w:r w:rsidR="00884B77">
        <w:t xml:space="preserve">in der EU und der WTO, </w:t>
      </w:r>
      <w:r>
        <w:t xml:space="preserve">letztlich können die Feststellungen der Behörden nur schwer in Frage gestellt werden. Antidumpingzölle haben den Vorteil, dass man nach </w:t>
      </w:r>
      <w:r w:rsidR="00884B77">
        <w:t xml:space="preserve">den </w:t>
      </w:r>
      <w:r>
        <w:t xml:space="preserve">WTO-Regeln dagegen nicht Vergeltungszölle erheben darf, bei den </w:t>
      </w:r>
      <w:proofErr w:type="spellStart"/>
      <w:r>
        <w:t>Schutzklauselzöllen</w:t>
      </w:r>
      <w:proofErr w:type="spellEnd"/>
      <w:r>
        <w:t xml:space="preserve">, die auch </w:t>
      </w:r>
      <w:r w:rsidR="00884B77">
        <w:t xml:space="preserve">zum Schutz </w:t>
      </w:r>
      <w:r>
        <w:t xml:space="preserve">möglich sind, sollten andere Länder erst nach 3 Jahren Vergeltungszölle erheben, so jedenfalls die Theorie, in der Praxis gibt es </w:t>
      </w:r>
      <w:r w:rsidR="00884B77">
        <w:t xml:space="preserve">teils sofortige </w:t>
      </w:r>
      <w:r>
        <w:t>Vergeltung</w:t>
      </w:r>
      <w:r w:rsidR="00884B77">
        <w:t>, und bei Antidumping gibt es ‚Gegenantidumping‘.</w:t>
      </w:r>
      <w:r>
        <w:rPr>
          <w:rStyle w:val="Funotenzeichen"/>
        </w:rPr>
        <w:footnoteReference w:id="2205"/>
      </w:r>
      <w:r>
        <w:t xml:space="preserve"> </w:t>
      </w:r>
    </w:p>
    <w:p w14:paraId="5B692703" w14:textId="77777777" w:rsidR="007601D9" w:rsidRDefault="007601D9" w:rsidP="001F20CB"/>
    <w:p w14:paraId="694890BC" w14:textId="77777777" w:rsidR="0003769A" w:rsidRDefault="008950DD" w:rsidP="001F20CB">
      <w:r>
        <w:t xml:space="preserve">Antidumpingzölle können nach den Regeln der WTO in Frage gestellt werden, tatsächlich findet dies oft statt, derzeit ist die Berufungsinstanz </w:t>
      </w:r>
      <w:r w:rsidR="007601D9">
        <w:t>der</w:t>
      </w:r>
      <w:r>
        <w:t xml:space="preserve"> WTO </w:t>
      </w:r>
      <w:r w:rsidR="007601D9">
        <w:t xml:space="preserve">zwar durch die USA </w:t>
      </w:r>
      <w:r>
        <w:t>blockiert, aber es gibt das Multi-Party Interim Appeal Arbitration Agreement (MPIA), bei dem 16 Länder eine Berufungsinstanz nur für sich anerkannt haben.</w:t>
      </w:r>
      <w:r w:rsidR="007601D9">
        <w:rPr>
          <w:rStyle w:val="Funotenzeichen"/>
        </w:rPr>
        <w:footnoteReference w:id="2206"/>
      </w:r>
      <w:r w:rsidR="007601D9">
        <w:t xml:space="preserve"> Gewinnt man einen WTO Fall, kann die WTO Gegenmaßnahmen in der Höhe des Streitwertes autorisieren.</w:t>
      </w:r>
      <w:r w:rsidR="007601D9">
        <w:rPr>
          <w:rStyle w:val="Funotenzeichen"/>
        </w:rPr>
        <w:footnoteReference w:id="2207"/>
      </w:r>
      <w:r w:rsidR="007601D9">
        <w:t xml:space="preserve"> Die EU hat sich mit der Verordnung (EU) 2023/2675 </w:t>
      </w:r>
      <w:r w:rsidR="007F7F7A">
        <w:t xml:space="preserve">allerdings </w:t>
      </w:r>
      <w:r w:rsidR="007601D9">
        <w:t>die Möglichkeit eingeräumt, bei Ausübung von wirtschaftlichem Zwang auf die EU, eigenständig Gegenmaßnahmen zu etablieren.</w:t>
      </w:r>
      <w:r w:rsidR="007601D9">
        <w:rPr>
          <w:rStyle w:val="Funotenzeichen"/>
        </w:rPr>
        <w:footnoteReference w:id="2208"/>
      </w:r>
      <w:r w:rsidR="007F7F7A">
        <w:t xml:space="preserve"> </w:t>
      </w:r>
    </w:p>
    <w:p w14:paraId="40EED74B" w14:textId="77777777" w:rsidR="0003769A" w:rsidRDefault="0003769A" w:rsidP="001F20CB"/>
    <w:p w14:paraId="3FAA8F74" w14:textId="0612F111" w:rsidR="001F20CB" w:rsidRDefault="007F7F7A" w:rsidP="001F20CB">
      <w:r>
        <w:t xml:space="preserve">Aus meiner Sicht gibt es zwischen der EU und China genug gegenseitige Abhängigkeiten bzw. Verhandlungsmasse, dass sich auch die </w:t>
      </w:r>
      <w:proofErr w:type="gramStart"/>
      <w:r>
        <w:t>EU Spielräume</w:t>
      </w:r>
      <w:proofErr w:type="gramEnd"/>
      <w:r>
        <w:t xml:space="preserve"> gegenüber China zum Aufbau ihrer Industrien herausnehmen kann, die EU muss nicht auf Industriepolitik und auch nicht auf handelspolitischen Schutz verzichten. In den Worten von Gabriel Felbermayr und Christoph Her</w:t>
      </w:r>
      <w:r w:rsidR="0003769A">
        <w:t>r</w:t>
      </w:r>
      <w:r>
        <w:t xml:space="preserve">mann </w:t>
      </w:r>
      <w:r w:rsidR="0003769A">
        <w:t>„Gleichgewicht des Schreckens“, da dann die beiden Staaten auf Vergeltung verzichten würden.</w:t>
      </w:r>
      <w:r w:rsidR="0003769A">
        <w:rPr>
          <w:rStyle w:val="Funotenzeichen"/>
        </w:rPr>
        <w:footnoteReference w:id="2209"/>
      </w:r>
      <w:r w:rsidR="0003769A">
        <w:t xml:space="preserve"> Man merkt, dass die beiden Autoren zur liberalen Schule gehören, </w:t>
      </w:r>
      <w:proofErr w:type="gramStart"/>
      <w:r w:rsidR="0003769A">
        <w:t>das</w:t>
      </w:r>
      <w:proofErr w:type="gramEnd"/>
      <w:r w:rsidR="0003769A">
        <w:t xml:space="preserve"> sie behaupten, dass Freihandel eigentlich die beste Lösung wäre und dass man auf Staatshilfen für bestimmten Firmen oder Branchen verzichten sollte.</w:t>
      </w:r>
      <w:r w:rsidR="0003769A">
        <w:rPr>
          <w:rStyle w:val="Funotenzeichen"/>
        </w:rPr>
        <w:footnoteReference w:id="2210"/>
      </w:r>
      <w:r w:rsidR="0003769A">
        <w:t xml:space="preserve"> Damit umschiffen sie elegant die Frage nach einer funktionierenden Industriepolitik:</w:t>
      </w:r>
    </w:p>
    <w:p w14:paraId="5F78FDB9" w14:textId="77777777" w:rsidR="001F20CB" w:rsidRDefault="001F20CB" w:rsidP="002C057C"/>
    <w:p w14:paraId="2A0A9290" w14:textId="332CDD56" w:rsidR="002C057C" w:rsidRDefault="00884B77" w:rsidP="002C057C">
      <w:r>
        <w:t xml:space="preserve">Antidumpingzölle sind also ‚klassische‘ Schutzzölle, sie verteuern ein Produkt, dass in die EU eingeführt wird. Wenn allerdings Zölle nur 20 % hoch sind, typisch für die EU, mag dies chinesische Firmen noch nicht wirklich abschrecken, anders ist das bei einem Zoll von 50 % oder 80 %, man spricht dann von prohibitiven Zöllen, bei denen der ganze Handel zum Erliegen kommt, ebenso kann zwischen Firmen differenziert werden. Antidumpingzölle können unlimitiert lange aufrechterhalten </w:t>
      </w:r>
      <w:r>
        <w:lastRenderedPageBreak/>
        <w:t>werden, es muss nach 5 Jahren eine Überprüfung erfolgen, ob weiterhin Dumping und Schädigung droht. Oben wurde bereits gezeigt, dass es zu einer sog. Umgehung kommen kann, die Produkte werden durch andere Länder geschleust oder direkt dort produziert. E</w:t>
      </w:r>
      <w:r w:rsidR="002C057C">
        <w:t xml:space="preserve">in </w:t>
      </w:r>
      <w:r>
        <w:t xml:space="preserve">sog. </w:t>
      </w:r>
      <w:r w:rsidR="002C057C">
        <w:t>‚</w:t>
      </w:r>
      <w:proofErr w:type="spellStart"/>
      <w:r w:rsidR="002C057C">
        <w:t>undertaking</w:t>
      </w:r>
      <w:proofErr w:type="spellEnd"/>
      <w:r w:rsidR="002C057C">
        <w:t>‘</w:t>
      </w:r>
      <w:r>
        <w:t xml:space="preserve"> stellt eine Möglichkeit innerhalb des Antidumping dar: hierbei kommt es zu einer Aussetzung der Schutzzölle, im Gegenzug wird aber erlaubt mehr zu steuern,</w:t>
      </w:r>
      <w:r w:rsidR="002C057C">
        <w:t xml:space="preserve"> </w:t>
      </w:r>
      <w:r w:rsidR="00705629">
        <w:t xml:space="preserve">dies </w:t>
      </w:r>
      <w:r w:rsidR="0002340C">
        <w:t xml:space="preserve">ist </w:t>
      </w:r>
      <w:r w:rsidR="0005554D">
        <w:t>explizit im</w:t>
      </w:r>
      <w:r w:rsidR="0002340C">
        <w:t xml:space="preserve"> WTO</w:t>
      </w:r>
      <w:r w:rsidR="0005554D">
        <w:t xml:space="preserve"> Antidumpingabkommen AD Art. 8</w:t>
      </w:r>
      <w:r w:rsidR="00812750">
        <w:t xml:space="preserve"> </w:t>
      </w:r>
      <w:r>
        <w:t xml:space="preserve">so festgehalten, erwähnt sind dort </w:t>
      </w:r>
      <w:r w:rsidR="00812750">
        <w:t xml:space="preserve">Preisvereinbarungen, etwa Mindestpreise, sondern auch andere Maßnahmen, etwa die </w:t>
      </w:r>
      <w:proofErr w:type="spellStart"/>
      <w:r>
        <w:t>gedumpten</w:t>
      </w:r>
      <w:proofErr w:type="spellEnd"/>
      <w:r>
        <w:t xml:space="preserve"> </w:t>
      </w:r>
      <w:r w:rsidR="00812750">
        <w:t xml:space="preserve">Exporte </w:t>
      </w:r>
      <w:r>
        <w:t xml:space="preserve">in ein Gebiet </w:t>
      </w:r>
      <w:r w:rsidR="00812750">
        <w:t>ganz zu unterlassen.</w:t>
      </w:r>
      <w:r w:rsidR="00812750">
        <w:rPr>
          <w:rStyle w:val="Funotenzeichen"/>
        </w:rPr>
        <w:footnoteReference w:id="2211"/>
      </w:r>
      <w:r w:rsidR="00812750">
        <w:t xml:space="preserve"> Was </w:t>
      </w:r>
      <w:r>
        <w:t xml:space="preserve">genau </w:t>
      </w:r>
      <w:r w:rsidR="00812750">
        <w:t>von der WTO zugelassen wird und war nicht, ist nicht geklärt, weil es zu AD Art. 8 noch keinen Streitfal</w:t>
      </w:r>
      <w:r w:rsidR="007967CA">
        <w:t>l</w:t>
      </w:r>
      <w:r w:rsidR="00812750">
        <w:t xml:space="preserve"> gab, der sich mit solchen substantiellen Fragen beschäftigt hat.</w:t>
      </w:r>
      <w:r w:rsidR="00812750">
        <w:rPr>
          <w:rStyle w:val="Funotenzeichen"/>
        </w:rPr>
        <w:footnoteReference w:id="2212"/>
      </w:r>
      <w:r w:rsidR="00812750">
        <w:t xml:space="preserve"> Faktisch gibt es unterschiedliche Formen von</w:t>
      </w:r>
      <w:r w:rsidR="002C057C">
        <w:t xml:space="preserve"> </w:t>
      </w:r>
      <w:r w:rsidR="0005554D">
        <w:t>‚</w:t>
      </w:r>
      <w:proofErr w:type="spellStart"/>
      <w:r w:rsidR="0005554D">
        <w:t>undertakings</w:t>
      </w:r>
      <w:proofErr w:type="spellEnd"/>
      <w:r w:rsidR="0005554D">
        <w:t>‘</w:t>
      </w:r>
      <w:r w:rsidR="00812750">
        <w:t>, zum Beispiel</w:t>
      </w:r>
      <w:r w:rsidR="002C057C" w:rsidRPr="00812750">
        <w:t xml:space="preserve"> </w:t>
      </w:r>
      <w:r w:rsidR="002C057C" w:rsidRPr="004A55C3">
        <w:rPr>
          <w:u w:val="single"/>
        </w:rPr>
        <w:t>Abmachungen, bei denen Mindestpreise für Importe</w:t>
      </w:r>
      <w:r w:rsidR="009D364B">
        <w:rPr>
          <w:u w:val="single"/>
        </w:rPr>
        <w:t xml:space="preserve"> und mengenmäßige Beschränkungen</w:t>
      </w:r>
      <w:r w:rsidR="002C057C" w:rsidRPr="004A55C3">
        <w:rPr>
          <w:u w:val="single"/>
        </w:rPr>
        <w:t xml:space="preserve"> ausgehandelt wer</w:t>
      </w:r>
      <w:r w:rsidR="004E2CD3">
        <w:rPr>
          <w:u w:val="single"/>
        </w:rPr>
        <w:t>den</w:t>
      </w:r>
      <w:r w:rsidR="00812750">
        <w:rPr>
          <w:u w:val="single"/>
        </w:rPr>
        <w:t>, aber</w:t>
      </w:r>
      <w:r w:rsidR="002C057C" w:rsidRPr="004A55C3">
        <w:rPr>
          <w:u w:val="single"/>
        </w:rPr>
        <w:t xml:space="preserve"> </w:t>
      </w:r>
      <w:r w:rsidR="004E2CD3">
        <w:rPr>
          <w:u w:val="single"/>
        </w:rPr>
        <w:t xml:space="preserve">es </w:t>
      </w:r>
      <w:r w:rsidR="007967CA">
        <w:rPr>
          <w:u w:val="single"/>
        </w:rPr>
        <w:t xml:space="preserve">wurden auch mengenmäßige Beschränkungen genutzt, etwa bei Solar die 7 GW Obergrenze der EU und </w:t>
      </w:r>
      <w:r w:rsidR="00812750">
        <w:rPr>
          <w:u w:val="single"/>
        </w:rPr>
        <w:t xml:space="preserve">gibt auch </w:t>
      </w:r>
      <w:r w:rsidR="002C057C" w:rsidRPr="004A55C3">
        <w:rPr>
          <w:u w:val="single"/>
        </w:rPr>
        <w:t>eine sog. Marktordnung, in der detailreiche Abmachungen über die Produktion getroffen werden können</w:t>
      </w:r>
      <w:r w:rsidR="0052051F">
        <w:rPr>
          <w:u w:val="single"/>
        </w:rPr>
        <w:t xml:space="preserve">, </w:t>
      </w:r>
      <w:r w:rsidR="007967CA">
        <w:rPr>
          <w:u w:val="single"/>
        </w:rPr>
        <w:t xml:space="preserve">diese Flexibilität hat sich die EU herausgenommen, </w:t>
      </w:r>
      <w:r w:rsidR="0052051F">
        <w:rPr>
          <w:u w:val="single"/>
        </w:rPr>
        <w:t xml:space="preserve">Beispiel </w:t>
      </w:r>
      <w:r w:rsidR="007967CA">
        <w:rPr>
          <w:u w:val="single"/>
        </w:rPr>
        <w:t xml:space="preserve">ist </w:t>
      </w:r>
      <w:r w:rsidR="0052051F">
        <w:rPr>
          <w:u w:val="single"/>
        </w:rPr>
        <w:t>der EU</w:t>
      </w:r>
      <w:r w:rsidR="0005554D">
        <w:rPr>
          <w:u w:val="single"/>
        </w:rPr>
        <w:t xml:space="preserve"> </w:t>
      </w:r>
      <w:r w:rsidR="0052051F">
        <w:rPr>
          <w:u w:val="single"/>
        </w:rPr>
        <w:t>Fahrradmarkt</w:t>
      </w:r>
      <w:r w:rsidR="007967CA" w:rsidRPr="007967CA">
        <w:t xml:space="preserve">. Die </w:t>
      </w:r>
      <w:r w:rsidR="007967CA">
        <w:t>EU ist im Antidumpingbereich bekannt für ihre moderat hohen Zölle</w:t>
      </w:r>
      <w:r w:rsidR="0022670E">
        <w:t>, sie nutzt ‚</w:t>
      </w:r>
      <w:proofErr w:type="spellStart"/>
      <w:r w:rsidR="0022670E">
        <w:t>undertakings</w:t>
      </w:r>
      <w:proofErr w:type="spellEnd"/>
      <w:r w:rsidR="0022670E">
        <w:t>‘ und sogar Marktordnungen</w:t>
      </w:r>
      <w:r w:rsidR="007967CA">
        <w:t xml:space="preserve">, die USA </w:t>
      </w:r>
      <w:r w:rsidR="0022670E">
        <w:t>ist bekannt für</w:t>
      </w:r>
      <w:r w:rsidR="007967CA">
        <w:t xml:space="preserve"> ihre teils sehr hohen Zölle</w:t>
      </w:r>
      <w:r w:rsidR="0022670E">
        <w:t>, im Bereich Solar hat sie keine ‚</w:t>
      </w:r>
      <w:proofErr w:type="spellStart"/>
      <w:r w:rsidR="0022670E">
        <w:t>undertakings</w:t>
      </w:r>
      <w:proofErr w:type="spellEnd"/>
      <w:r w:rsidR="0022670E">
        <w:t>‘ genutzt, aber a</w:t>
      </w:r>
      <w:r w:rsidR="0052051F">
        <w:t xml:space="preserve">uch die USA hat </w:t>
      </w:r>
      <w:r w:rsidR="0002340C">
        <w:t>‚</w:t>
      </w:r>
      <w:proofErr w:type="spellStart"/>
      <w:r w:rsidR="0002340C">
        <w:t>undertakings</w:t>
      </w:r>
      <w:proofErr w:type="spellEnd"/>
      <w:r w:rsidR="0002340C">
        <w:t xml:space="preserve">‘ </w:t>
      </w:r>
      <w:r w:rsidR="0022670E">
        <w:t xml:space="preserve">im Antidumpingbereich </w:t>
      </w:r>
      <w:r w:rsidR="0002340C">
        <w:t>genutzt,</w:t>
      </w:r>
      <w:r w:rsidR="0052051F">
        <w:t xml:space="preserve"> hier gab es Preisvereinbarungen, aber </w:t>
      </w:r>
      <w:r w:rsidR="0002340C">
        <w:t xml:space="preserve">meines Wissens </w:t>
      </w:r>
      <w:r w:rsidR="0022670E">
        <w:t xml:space="preserve">nach </w:t>
      </w:r>
      <w:r w:rsidR="0052051F">
        <w:t>keine Marktordnungen.</w:t>
      </w:r>
      <w:r w:rsidR="0005554D">
        <w:rPr>
          <w:rStyle w:val="Funotenzeichen"/>
        </w:rPr>
        <w:footnoteReference w:id="2213"/>
      </w:r>
      <w:r w:rsidR="0005554D">
        <w:t xml:space="preserve"> </w:t>
      </w:r>
      <w:r w:rsidR="004E2CD3">
        <w:t>Kurz: die ‚</w:t>
      </w:r>
      <w:proofErr w:type="spellStart"/>
      <w:r w:rsidR="004E2CD3">
        <w:t>undertakings</w:t>
      </w:r>
      <w:proofErr w:type="spellEnd"/>
      <w:r w:rsidR="004E2CD3">
        <w:t xml:space="preserve">‘ sind eine gute Möglichkeit, um den Markt zwischen europäischen und chinesischen Produkten aufzuteilen, Problem ist nur, wie genau dies verwaltet werden kann. </w:t>
      </w:r>
    </w:p>
    <w:p w14:paraId="0F9C6C54" w14:textId="77777777" w:rsidR="002C057C" w:rsidRDefault="002C057C" w:rsidP="002C057C"/>
    <w:p w14:paraId="7EF479ED" w14:textId="689744FC" w:rsidR="002C057C" w:rsidRDefault="002C057C" w:rsidP="002C057C">
      <w:r>
        <w:t xml:space="preserve">Selbst wenn der von der EU angestrebten Marktanteil von 40 % </w:t>
      </w:r>
      <w:r w:rsidR="00705629">
        <w:t xml:space="preserve">Eigenversorgung </w:t>
      </w:r>
      <w:r w:rsidR="004E2CD3">
        <w:t xml:space="preserve">im Jahr </w:t>
      </w:r>
      <w:r>
        <w:t xml:space="preserve">2030 erreicht werden würde, wie von der </w:t>
      </w:r>
      <w:proofErr w:type="gramStart"/>
      <w:r>
        <w:t>EU Kommission</w:t>
      </w:r>
      <w:proofErr w:type="gramEnd"/>
      <w:r>
        <w:t xml:space="preserve"> im Net Zero Industry Act erwünscht wird, bedeutet dies immer noch, dass 60 % des europäischen Marktes durch günstige Produkte aus China, Malaysia, Vietnam, Thailand, Taiwan etc. beliefert werden. Es geht also nicht um eine vollständige Importsubstitution (wie der Terminus </w:t>
      </w:r>
      <w:proofErr w:type="gramStart"/>
      <w:r>
        <w:t>aus entwicklungspolitischen Debatte</w:t>
      </w:r>
      <w:proofErr w:type="gramEnd"/>
      <w:r>
        <w:t xml:space="preserve"> lautet), sondern um den </w:t>
      </w:r>
      <w:r>
        <w:lastRenderedPageBreak/>
        <w:t xml:space="preserve">Aufbau einer eigenen Industrie, während Importe weiter zugelassen werden, die auch in Zukunft kostengünstiger sein werden und die es, so sieht es wenigstens für Solar aus, auch in Zukunft weiter geben wird. Es kann weiterhin auch aus politischen Erwägungen sinnvoll sein, </w:t>
      </w:r>
      <w:r w:rsidR="004E2CD3">
        <w:t xml:space="preserve">weiter chinesische Importe zuzulassen, um </w:t>
      </w:r>
      <w:r>
        <w:t>einen ‚</w:t>
      </w:r>
      <w:proofErr w:type="spellStart"/>
      <w:r>
        <w:t>Bargain</w:t>
      </w:r>
      <w:proofErr w:type="spellEnd"/>
      <w:r>
        <w:t xml:space="preserve">‘ mit China zu </w:t>
      </w:r>
      <w:r w:rsidR="004E2CD3">
        <w:t>ermöglichen und z.B. bei Windenergie könnte man dann stärker schützen. Ein Ziel könnte</w:t>
      </w:r>
      <w:r>
        <w:t xml:space="preserve"> z.B. </w:t>
      </w:r>
      <w:r w:rsidR="004E2CD3">
        <w:t xml:space="preserve">sein, </w:t>
      </w:r>
      <w:r>
        <w:t>im Jahr 2040 70 % für europäische Produzenten und 30 % für chinesische Produzenten</w:t>
      </w:r>
      <w:r w:rsidR="004E2CD3">
        <w:t xml:space="preserve"> im Bereich Solar zu erreichen</w:t>
      </w:r>
      <w:r>
        <w:t xml:space="preserve">. </w:t>
      </w:r>
    </w:p>
    <w:p w14:paraId="03F667C5" w14:textId="77777777" w:rsidR="002C057C" w:rsidRDefault="002C057C" w:rsidP="002C057C"/>
    <w:p w14:paraId="1EF7AEFC" w14:textId="24D87A70" w:rsidR="002C057C" w:rsidRDefault="002C057C" w:rsidP="002C057C">
      <w:r>
        <w:t>Deshalb sollte man darüber nachdenken, mit welchen Maßnahmen man ein solches zukünftiges Antidumping ‚</w:t>
      </w:r>
      <w:proofErr w:type="spellStart"/>
      <w:r>
        <w:t>undertaking</w:t>
      </w:r>
      <w:proofErr w:type="spellEnd"/>
      <w:r>
        <w:t>‘ oder eine Marktordnung für Solar ausgestalte</w:t>
      </w:r>
      <w:r w:rsidR="004E2CD3">
        <w:t>t werden</w:t>
      </w:r>
      <w:r>
        <w:t xml:space="preserve"> könnte.</w:t>
      </w:r>
      <w:r w:rsidR="00EC1AF7">
        <w:t xml:space="preserve"> Mindestpreise</w:t>
      </w:r>
      <w:r>
        <w:t xml:space="preserve"> unterliegen dem Dilemma, dass man </w:t>
      </w:r>
      <w:r w:rsidR="00EC1AF7">
        <w:t>sie nicht</w:t>
      </w:r>
      <w:r>
        <w:t xml:space="preserve"> zu ho</w:t>
      </w:r>
      <w:r w:rsidR="00EC1AF7">
        <w:t>ch setzen will</w:t>
      </w:r>
      <w:r>
        <w:t xml:space="preserve">, um den Ausbau erneuerbarer Energie nicht zu verlangsamen, </w:t>
      </w:r>
      <w:r w:rsidR="00EC1AF7">
        <w:t>bleiben aber</w:t>
      </w:r>
      <w:r>
        <w:t xml:space="preserve"> ein wichtiges Instrument, um die eigene Industrie zu erhalten. Man sollte allerdings anstreben, dass die </w:t>
      </w:r>
      <w:proofErr w:type="gramStart"/>
      <w:r>
        <w:t>EU Industrie</w:t>
      </w:r>
      <w:proofErr w:type="gramEnd"/>
      <w:r>
        <w:t xml:space="preserve"> auch niedrigere Produktionskosten hat, </w:t>
      </w:r>
      <w:r w:rsidR="00EC1AF7">
        <w:t xml:space="preserve">aber </w:t>
      </w:r>
      <w:r>
        <w:t xml:space="preserve">wenn dies nicht der Fall ist, dann müssen die Preise hoch. </w:t>
      </w:r>
      <w:r w:rsidR="0002340C">
        <w:t>Eine Preisk</w:t>
      </w:r>
      <w:r>
        <w:t xml:space="preserve">ontrolle </w:t>
      </w:r>
      <w:r w:rsidR="0002340C">
        <w:t xml:space="preserve">wäre etwa </w:t>
      </w:r>
      <w:r>
        <w:t xml:space="preserve">möglich durch Watt-Angaben auf den Produkten: pro Watt, ein Mindestpreis von: *. Damit ist der Wettbewerb aber noch nicht ausgeschaltet, schnell wird versucht werden, mit Finanzierung, Garantie, Sonderpreisen von Solarmodulen im Paket mit Akkus zu konkurrieren und damit die Preisuntergrenze zu ‚umgehen‘. </w:t>
      </w:r>
      <w:r w:rsidR="00EC1AF7">
        <w:t>Man müsste sich also darauf vorbereiten, auch für diese Produkte Mindestpreise aufzuerlegen, damit man nicht mit sehr billigen und größeren Akkus, etwas teurere Solarmodule ausgleichen kann. Gegen besonders gute Konditionen bei Finanzierung und Garantie ist schwer gegen vorzugehen, ebenso schwer ist es gegen bessere Produkte vorzugehen, etwa Akkus mit Warnsystemen gegen Brandgefahr. Wenn China solche Produkte auf den Markt bringt, die bei den Verbrauchern gut ankommen, dann ist es eben schwer, hier gegen vorzugehen, weil dann die Verbraucher ggf. sogar bereit wären mehr dafür zu bezahlen. Kurz: Die Behörden müssen sich darauf vorbereiten. M</w:t>
      </w:r>
      <w:r w:rsidR="00C55338">
        <w:t xml:space="preserve">indestpreise </w:t>
      </w:r>
      <w:r w:rsidR="00EC1AF7">
        <w:t xml:space="preserve">sollten somit mindestens </w:t>
      </w:r>
      <w:proofErr w:type="gramStart"/>
      <w:r w:rsidR="00C55338">
        <w:t>mit m</w:t>
      </w:r>
      <w:r>
        <w:t>engenmäßige Beschränkungen</w:t>
      </w:r>
      <w:proofErr w:type="gramEnd"/>
      <w:r>
        <w:t xml:space="preserve"> oder Beschränkungen nach GW </w:t>
      </w:r>
      <w:r w:rsidR="00C55338">
        <w:t>ergänzt werden, auch dann, wenn aus der Wirtschaftswissenschaft angemerkt wird, dass damit Preise erhöht werden</w:t>
      </w:r>
      <w:r w:rsidR="00EC1AF7">
        <w:t xml:space="preserve"> – genau dies ist erwü</w:t>
      </w:r>
      <w:r w:rsidR="00BE5C40">
        <w:t>n</w:t>
      </w:r>
      <w:r w:rsidR="00EC1AF7">
        <w:t>scht</w:t>
      </w:r>
      <w:r w:rsidR="00C55338">
        <w:t xml:space="preserve">. Diese </w:t>
      </w:r>
      <w:r w:rsidR="00EC1AF7">
        <w:t xml:space="preserve">mengenmäßigen Beschränkungen </w:t>
      </w:r>
      <w:r w:rsidR="00C55338">
        <w:t xml:space="preserve">müssen allerdings </w:t>
      </w:r>
      <w:r>
        <w:t xml:space="preserve">clever verwaltet werden. Aus Sicht der Industriepolitik wäre problematisch, wenn man am Anfang des Jahres z.B. eine </w:t>
      </w:r>
      <w:proofErr w:type="gramStart"/>
      <w:r w:rsidR="00EC1AF7">
        <w:t>GW Beschränkung</w:t>
      </w:r>
      <w:proofErr w:type="gramEnd"/>
      <w:r w:rsidR="00EC1AF7">
        <w:t xml:space="preserve"> oder eine </w:t>
      </w:r>
      <w:r>
        <w:t xml:space="preserve">Quote etabliert, die Produzenten aus China, Malaysia, Vietnam etc. sich dafür anmelden und dann in den ersten 4 Monaten vor allem billige Solarzellen </w:t>
      </w:r>
      <w:r w:rsidR="00EC1AF7">
        <w:t xml:space="preserve">aus diesen Ländern auf den </w:t>
      </w:r>
      <w:r>
        <w:t xml:space="preserve">Markt kommen. Erst in der zweiten Hälfte des Jahres, wenn die Quote voll ist, käme dann die europäische Industrie zum Zuge. Was soll die europäische Industrie </w:t>
      </w:r>
      <w:r w:rsidR="00C55338">
        <w:t xml:space="preserve">dann </w:t>
      </w:r>
      <w:r>
        <w:t xml:space="preserve">in der ersten Hälfte des Jahres machen? </w:t>
      </w:r>
      <w:r w:rsidR="00EC1AF7">
        <w:t>Also</w:t>
      </w:r>
      <w:r>
        <w:t xml:space="preserve">: </w:t>
      </w:r>
      <w:r w:rsidR="00EC1AF7">
        <w:t>M</w:t>
      </w:r>
      <w:r>
        <w:t xml:space="preserve">engenmäßige Beschränkungen müssen gleichmäßig über das Jahr verteilt und aktiv verwaltet werden, z.B. auch vergrößert </w:t>
      </w:r>
      <w:r w:rsidR="00EC1AF7">
        <w:t xml:space="preserve">oder verkleinert </w:t>
      </w:r>
      <w:r>
        <w:t>werden, je nach neue</w:t>
      </w:r>
      <w:r w:rsidR="00EC1AF7">
        <w:t>n</w:t>
      </w:r>
      <w:r>
        <w:t xml:space="preserve"> Bedarfsinformationen. Die </w:t>
      </w:r>
      <w:r w:rsidR="00EC1AF7">
        <w:t>exportierenden</w:t>
      </w:r>
      <w:r>
        <w:t xml:space="preserve"> Länder </w:t>
      </w:r>
      <w:r w:rsidR="00EC1AF7">
        <w:t xml:space="preserve">wie China, Vietnam, Thailand, Malaysia, </w:t>
      </w:r>
      <w:r>
        <w:t xml:space="preserve">müssen über </w:t>
      </w:r>
      <w:r w:rsidR="00383C23">
        <w:t>ihre</w:t>
      </w:r>
      <w:r>
        <w:t xml:space="preserve"> Industrieverbände ihre Quote früh aufteilen dürfen, denn nur so können europäische Projektentwickler, die ausländische Solarpanels nutzen wollen, auch früh eine Bestellung machen.</w:t>
      </w:r>
      <w:r w:rsidR="00C55338">
        <w:t xml:space="preserve"> </w:t>
      </w:r>
      <w:r w:rsidR="00383C23">
        <w:t>Dies ist aber möglich, Chinas Solarkonzerne haben bereits eine Art Exportkartell gegründet, bei denen Quoten je nach bestehenden Marktanteilen gelten.</w:t>
      </w:r>
      <w:r w:rsidR="00383C23">
        <w:rPr>
          <w:rStyle w:val="Funotenzeichen"/>
        </w:rPr>
        <w:footnoteReference w:id="2214"/>
      </w:r>
      <w:r w:rsidR="00383C23">
        <w:t xml:space="preserve"> </w:t>
      </w:r>
      <w:r w:rsidR="00C55338">
        <w:t xml:space="preserve">Es muss in der Verwaltung der </w:t>
      </w:r>
      <w:proofErr w:type="gramStart"/>
      <w:r w:rsidR="00EC1AF7">
        <w:t>GW Beschränkung</w:t>
      </w:r>
      <w:proofErr w:type="gramEnd"/>
      <w:r w:rsidR="00EC1AF7">
        <w:t xml:space="preserve"> bzw. </w:t>
      </w:r>
      <w:r w:rsidR="00C55338">
        <w:t>Quote, mit mehreren Mitarbeitern, die über Marktinformationen und Kontakte zu Firmen verfügen, aktiv darauf geachtet werden, dass dies funktioniert, um Solarprojekte nicht aufzuhalten.</w:t>
      </w:r>
      <w:r>
        <w:t xml:space="preserve"> Um eine europäische Solarindustrie aufzubauen, müssen die Quoten über die Jahre über mehrere Stufen immer weiter verringert werden, damit die europäische Industrie ihren Aufbau </w:t>
      </w:r>
      <w:r>
        <w:lastRenderedPageBreak/>
        <w:t xml:space="preserve">planen kann, z.B. China/andere Länder Menge: 2028: 80 %, 2019: 70 %; 2030: 60 %; 2035: 40 %; 2040: 30 %. </w:t>
      </w:r>
    </w:p>
    <w:p w14:paraId="1F00B8CA" w14:textId="77777777" w:rsidR="002C057C" w:rsidRDefault="002C057C" w:rsidP="002C057C"/>
    <w:p w14:paraId="7D672272" w14:textId="77777777" w:rsidR="005A5E4C" w:rsidRDefault="002C057C" w:rsidP="002C057C">
      <w:r>
        <w:t xml:space="preserve">Auch eine Wafer-Fertigung in Europa sollte man anstreben. Hier wird die Umstellung schwierig sein, denn bisher ist es möglich Wafer zu importieren. </w:t>
      </w:r>
      <w:r w:rsidR="005A5E4C">
        <w:t>Bevor ein</w:t>
      </w:r>
      <w:r w:rsidR="00705629">
        <w:t xml:space="preserve"> </w:t>
      </w:r>
      <w:r>
        <w:t>Antidumping ‚</w:t>
      </w:r>
      <w:proofErr w:type="spellStart"/>
      <w:r>
        <w:t>undertaking</w:t>
      </w:r>
      <w:proofErr w:type="spellEnd"/>
      <w:r>
        <w:t>‘ ausgehand</w:t>
      </w:r>
      <w:r w:rsidR="005A5E4C">
        <w:t xml:space="preserve">elt wird, sollte allerdings eine Wafer-Produktion in Europa bestehen, auch hier sind Mindestpreise und </w:t>
      </w:r>
      <w:r>
        <w:t xml:space="preserve">Mengenbeschränkungen </w:t>
      </w:r>
      <w:r w:rsidR="005A5E4C">
        <w:t>denkbar</w:t>
      </w:r>
      <w:r>
        <w:t xml:space="preserve">. Letztlich müssen alle Komponenten einbezogen werden (Quarzsand) Polysilizium, Ingos, Wafer, Zellen, Solarmodule, Solarglas und vielleicht sogar Maschinen für die Herstellung von Polysilizium, Ingots, Wafer, Zellen und Solarmodule. Man kann auch überlegen, die Schaltanlagen einzubeziehen, aber hier kommt so viel aus China, bis SMA Solar aus Kassel ganz Europa beliefern kann, wird es ein wenig dauern, selbst dann kommen noch </w:t>
      </w:r>
      <w:r w:rsidR="00705629">
        <w:t>einzelne</w:t>
      </w:r>
      <w:r>
        <w:t xml:space="preserve"> Bauteile aus Asien. </w:t>
      </w:r>
    </w:p>
    <w:p w14:paraId="651B6885" w14:textId="77777777" w:rsidR="005A5E4C" w:rsidRDefault="005A5E4C" w:rsidP="002C057C"/>
    <w:p w14:paraId="79BDDC8B" w14:textId="6EFCD3F7" w:rsidR="002C057C" w:rsidRDefault="005A5E4C" w:rsidP="002C057C">
      <w:r>
        <w:t xml:space="preserve">Man sieht schon, wo das Dilemma liegt. Mindestpreise können störend sein, vor allem wenn China günstig anbietet und der Ausbau erneuerbarer Energien auf diese Weise gut klappt. Moderat höhere Mindestpreise </w:t>
      </w:r>
      <w:r w:rsidR="0091709B">
        <w:t xml:space="preserve">für chinesische Firmen </w:t>
      </w:r>
      <w:r>
        <w:t xml:space="preserve">sind vielleicht immer noch zu niedrig, um europäische Produzenten mit viel Nachfrage auszustatten, damit sie wirklich wachsen können und viel investieren. </w:t>
      </w:r>
      <w:r w:rsidR="0091709B">
        <w:t>Die europäischen Produzenten</w:t>
      </w:r>
      <w:r>
        <w:t xml:space="preserve"> müssen diese Preise klar unterbieten, </w:t>
      </w:r>
      <w:r w:rsidR="0091709B">
        <w:t xml:space="preserve">aber dabei immer noch </w:t>
      </w:r>
      <w:r>
        <w:t>viel verdienen</w:t>
      </w:r>
      <w:r w:rsidR="0091709B">
        <w:t xml:space="preserve">, </w:t>
      </w:r>
      <w:proofErr w:type="gramStart"/>
      <w:r w:rsidR="0091709B">
        <w:t>um wachsen</w:t>
      </w:r>
      <w:proofErr w:type="gramEnd"/>
      <w:r w:rsidR="0091709B">
        <w:t xml:space="preserve"> und </w:t>
      </w:r>
      <w:r>
        <w:t>viel investieren</w:t>
      </w:r>
      <w:r w:rsidR="0091709B">
        <w:t xml:space="preserve"> zu können</w:t>
      </w:r>
      <w:r>
        <w:t xml:space="preserve">, um die Kapazitäten aufzubauen. </w:t>
      </w:r>
      <w:r w:rsidR="001627A1">
        <w:t xml:space="preserve">Dies geht nur </w:t>
      </w:r>
      <w:r w:rsidR="00383C23">
        <w:t xml:space="preserve">über </w:t>
      </w:r>
      <w:r w:rsidR="001627A1">
        <w:t xml:space="preserve">große Verkaufszahlen, also muss eine großes Vertriebsnetz aufgebaut werden und europäische Firmen wie </w:t>
      </w:r>
      <w:proofErr w:type="spellStart"/>
      <w:r w:rsidR="001627A1">
        <w:t>Holosolis</w:t>
      </w:r>
      <w:proofErr w:type="spellEnd"/>
      <w:r w:rsidR="001627A1">
        <w:t xml:space="preserve"> müssen bekannt werden. </w:t>
      </w:r>
      <w:r>
        <w:t>Noch höhere Mindestpreise würden den Solarausbau bremsen. Es ist also gar nicht so einfach</w:t>
      </w:r>
      <w:r w:rsidR="001627A1">
        <w:t>.</w:t>
      </w:r>
      <w:r>
        <w:t xml:space="preserve"> </w:t>
      </w:r>
      <w:r w:rsidR="001627A1">
        <w:t>Z</w:t>
      </w:r>
      <w:r>
        <w:t xml:space="preserve">usätzliche staatliche Subventionen für den Aufbau der Solarindustrie können </w:t>
      </w:r>
      <w:r w:rsidR="001627A1">
        <w:t xml:space="preserve">somit </w:t>
      </w:r>
      <w:r>
        <w:t xml:space="preserve">sinnvoll eingesetzt werden, fragt sich nur, ob der Staat das Geld hat. </w:t>
      </w:r>
      <w:r w:rsidR="001627A1">
        <w:t>Wichtig ist auch, dass man den</w:t>
      </w:r>
      <w:r>
        <w:t xml:space="preserve"> Aufbau der Solarindustrie </w:t>
      </w:r>
      <w:r w:rsidR="001627A1">
        <w:t>nicht mittendrin wieder einstellt, denn nur über stabil steigende Verkaufsmengen können auch Gewinne gemacht werden. D</w:t>
      </w:r>
      <w:r>
        <w:t xml:space="preserve">ie </w:t>
      </w:r>
      <w:proofErr w:type="gramStart"/>
      <w:r>
        <w:t>GW Mengenbeschränkungen</w:t>
      </w:r>
      <w:proofErr w:type="gramEnd"/>
      <w:r>
        <w:t xml:space="preserve"> </w:t>
      </w:r>
      <w:r w:rsidR="001627A1">
        <w:t>für China müssen parallel dazu schrittweise</w:t>
      </w:r>
      <w:r>
        <w:t xml:space="preserve"> geringer ausfallen</w:t>
      </w:r>
      <w:r w:rsidR="001627A1">
        <w:t xml:space="preserve">, nicht schnell, aber stetig, dass ein Planungshorizont für die europäische Industrie besteht. </w:t>
      </w:r>
    </w:p>
    <w:p w14:paraId="03C2C56C" w14:textId="77777777" w:rsidR="002C057C" w:rsidRDefault="002C057C" w:rsidP="002C057C"/>
    <w:p w14:paraId="434B201F" w14:textId="77777777" w:rsidR="000E6B09" w:rsidRDefault="002C057C" w:rsidP="000E6B09">
      <w:r>
        <w:t xml:space="preserve">Eine weitere, vielleicht etwas verrückte Idee, wäre es, wenn man eine China/andere Länder vs. EU-Quote etablieren würde, die direkt für Investitionsprojekte gilt und vor Ort auf der Baustelle überprüft wird, z.B. muss zum Beginn 10 % aus europäischer Produktion stammen muss, vom Polysilizium, bis zu den Ingots, Wafern, Solarzellen und den daraus montierten Modulen bis Leitungen, Akkus und Wechselrichtern (ausgenommen deren Bauteile!). 10 % eines Investitionsprojekts muss aus einem Komplettpaket aus 100 % EU bestehen, 90 % aus einem Komplettpaket mit 100 % China. Dies wäre viel effektiver. Damit würde man sich mengenmäßige Beschränkungen und Mindestpreise und die Probleme damit sparen. Die europäischen Solaranlagen wären anfangs teurer als die chinesischen, aber man würde gezwungen, diese zu verbauen, sie wären aber am Anfang erst 10 % und können dann über die Jahre hoffentlich günstiger werden. Das könnte dann das Ordnungsamt überwachen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t xml:space="preserve"> Dies würde dann auf der Baustelle wirklich separat verbaut, bis auf den Anschluss ans Netz. Ist das wirklich unmöglich? Auf alle Fragen, die damit zu tun haben, eingeschlossen der Gewährleistung oder der Versicherung kann man standardisierte Antworten finden, wenn man nur will. Die</w:t>
      </w:r>
      <w:r w:rsidR="00DD0AFA">
        <w:t xml:space="preserve">se </w:t>
      </w:r>
      <w:r w:rsidR="00DD0AFA" w:rsidRPr="00DD0AFA">
        <w:rPr>
          <w:u w:val="single"/>
        </w:rPr>
        <w:t xml:space="preserve">projektbezogene </w:t>
      </w:r>
      <w:r w:rsidRPr="00DD0AFA">
        <w:rPr>
          <w:u w:val="single"/>
        </w:rPr>
        <w:t>Quote</w:t>
      </w:r>
      <w:r>
        <w:t xml:space="preserve"> steigt dann Schritt für Schritt an, bis es z.B. 2030 bei 40 % und 2040 bei 70 % europäische Produktion liegt. Vorteil wäre hier, dass China und andere Ländern auf einem freien Markt, mit günstigen Preisen verkaufen können … aber die Kapazität der EU Industrie kann trotzdem in Ruhe ansteigen, das Anstieg der Kapazität ist gut planbar, es entwickelt sich ein starker Bedarf, um diese Industrie wirklich aufzubauen … und die Öffentlichkeit sieht den Preis der europäischen Solarindustrie … es besteht also hier mehr Druck für die Industrie und für die Politik, dass der Aufbau der Industrie gut gelingt, als bei den mengenmäßigen Beschränkungen und Mindestpreisen oben. </w:t>
      </w:r>
    </w:p>
    <w:p w14:paraId="348629C4" w14:textId="77777777" w:rsidR="000E6B09" w:rsidRDefault="000E6B09" w:rsidP="000E6B09"/>
    <w:p w14:paraId="5A3652D5" w14:textId="502CFCCA" w:rsidR="000E6B09" w:rsidRDefault="000E6B09" w:rsidP="000E6B09">
      <w:r>
        <w:lastRenderedPageBreak/>
        <w:t xml:space="preserve">Denkbar wäre auch, bei den </w:t>
      </w:r>
      <w:r w:rsidR="001627A1">
        <w:t xml:space="preserve">von der Bundesnetzagentur geplanten bzw. </w:t>
      </w:r>
      <w:r>
        <w:t xml:space="preserve">auktionierten Solarprojekten </w:t>
      </w:r>
      <w:r w:rsidR="001627A1">
        <w:t xml:space="preserve">in Deutschland </w:t>
      </w:r>
      <w:r>
        <w:t xml:space="preserve">einen Teil für europäische Produzenten zu reservieren und hierfür höhere Kompensationsgelder einzuplanen, um für die höheren </w:t>
      </w:r>
      <w:r w:rsidR="00E77433">
        <w:t xml:space="preserve">Kosten bzw. </w:t>
      </w:r>
      <w:r>
        <w:t>Investitionskosten zu kompensieren</w:t>
      </w:r>
      <w:r w:rsidR="00E77433">
        <w:t xml:space="preserve">, </w:t>
      </w:r>
      <w:r w:rsidR="00E77433" w:rsidRPr="00EF72B4">
        <w:rPr>
          <w:u w:val="single"/>
        </w:rPr>
        <w:t xml:space="preserve">dies wurde von </w:t>
      </w:r>
      <w:r w:rsidR="00EF72B4">
        <w:rPr>
          <w:u w:val="single"/>
        </w:rPr>
        <w:t xml:space="preserve">der Energieökonomin </w:t>
      </w:r>
      <w:r w:rsidR="00E77433" w:rsidRPr="00EF72B4">
        <w:rPr>
          <w:u w:val="single"/>
        </w:rPr>
        <w:t>Claudia Kemfert</w:t>
      </w:r>
      <w:r w:rsidR="005E44EA">
        <w:rPr>
          <w:rStyle w:val="Funotenzeichen"/>
          <w:u w:val="single"/>
        </w:rPr>
        <w:footnoteReference w:id="2215"/>
      </w:r>
      <w:r w:rsidR="00E77433" w:rsidRPr="00EF72B4">
        <w:rPr>
          <w:u w:val="single"/>
        </w:rPr>
        <w:t xml:space="preserve"> vorgeschlagen, und als </w:t>
      </w:r>
      <w:proofErr w:type="spellStart"/>
      <w:r w:rsidR="00E77433" w:rsidRPr="00EF72B4">
        <w:rPr>
          <w:u w:val="single"/>
        </w:rPr>
        <w:t>Resilienzbonus</w:t>
      </w:r>
      <w:proofErr w:type="spellEnd"/>
      <w:r w:rsidR="00E77433" w:rsidRPr="00EF72B4">
        <w:rPr>
          <w:u w:val="single"/>
        </w:rPr>
        <w:t xml:space="preserve"> bezeichnet</w:t>
      </w:r>
      <w:r w:rsidR="00E77433">
        <w:t>.</w:t>
      </w:r>
      <w:r w:rsidR="00E77433">
        <w:rPr>
          <w:rStyle w:val="Funotenzeichen"/>
        </w:rPr>
        <w:footnoteReference w:id="2216"/>
      </w:r>
      <w:r>
        <w:t xml:space="preserve"> </w:t>
      </w:r>
      <w:r w:rsidR="007F59BC">
        <w:t xml:space="preserve">Der </w:t>
      </w:r>
      <w:proofErr w:type="spellStart"/>
      <w:r w:rsidR="007F59BC">
        <w:t>Resilienzbonus</w:t>
      </w:r>
      <w:proofErr w:type="spellEnd"/>
      <w:r w:rsidR="007F59BC">
        <w:t xml:space="preserve"> wurde in der Ampel-Koalition von den Grünen gefordert und von </w:t>
      </w:r>
      <w:r w:rsidR="00D538EC">
        <w:t>Bundeskanzler Scholz</w:t>
      </w:r>
      <w:r w:rsidR="00D538EC">
        <w:rPr>
          <w:rStyle w:val="Funotenzeichen"/>
        </w:rPr>
        <w:footnoteReference w:id="2217"/>
      </w:r>
      <w:r w:rsidR="00D538EC">
        <w:t xml:space="preserve"> und </w:t>
      </w:r>
      <w:r w:rsidR="007F59BC">
        <w:t>der FDP im April 2024 abgelehnt.</w:t>
      </w:r>
      <w:r w:rsidR="007F59BC">
        <w:rPr>
          <w:rStyle w:val="Funotenzeichen"/>
        </w:rPr>
        <w:footnoteReference w:id="2218"/>
      </w:r>
      <w:r w:rsidR="007F59BC">
        <w:t xml:space="preserve"> Bei ihm</w:t>
      </w:r>
      <w:r>
        <w:t xml:space="preserve"> würde der Staat </w:t>
      </w:r>
      <w:r w:rsidR="00E77433">
        <w:t xml:space="preserve">allerdings </w:t>
      </w:r>
      <w:r>
        <w:t xml:space="preserve">doppelt zahlen, für den Aufbau der europäische Industrie </w:t>
      </w:r>
      <w:r w:rsidR="007F59BC">
        <w:t xml:space="preserve">(dafür zahlt aber gerade Frankreich) </w:t>
      </w:r>
      <w:r>
        <w:t>und dafür, dass ein Markt entsteht</w:t>
      </w:r>
      <w:r w:rsidR="001627A1">
        <w:t>. E</w:t>
      </w:r>
      <w:r>
        <w:t xml:space="preserve">ine Quote </w:t>
      </w:r>
      <w:r w:rsidR="001627A1">
        <w:t xml:space="preserve">direkt für jedes Projekt </w:t>
      </w:r>
      <w:r>
        <w:t xml:space="preserve">hätte den Vorteil, dass der Staat nicht zahlen muss. </w:t>
      </w:r>
    </w:p>
    <w:p w14:paraId="79E8CF44" w14:textId="77777777" w:rsidR="002C057C" w:rsidRDefault="002C057C" w:rsidP="002C057C"/>
    <w:p w14:paraId="6D169891" w14:textId="2B225407" w:rsidR="00766E70" w:rsidRDefault="002C057C" w:rsidP="00766E70">
      <w:r>
        <w:t>Soweit mal, es sind sicher noch andere Möglichkeiten denkbar</w:t>
      </w:r>
      <w:r w:rsidR="00766E70">
        <w:t>.</w:t>
      </w:r>
      <w:r>
        <w:t xml:space="preserve"> </w:t>
      </w:r>
      <w:r w:rsidR="00766E70">
        <w:t xml:space="preserve">Wenn alles nicht funktioniert, kann die EU die Solarindustrie auch in eine detaillierte Marktordnung überführen, </w:t>
      </w:r>
      <w:r>
        <w:t>wie beim EU-Fahrradmarkt, hier wird der Anteil Chinas bei Fahrradteilen auf weniger als 60 % des Gesamtwertes beschränkt, sodass europäische Hersteller von Fahrradteilen sich wieder etablieren konnten, 400 Unternehmen, mit 20.000 Beschäftigten, in 20 Mitgliedstatten.</w:t>
      </w:r>
      <w:r>
        <w:rPr>
          <w:rStyle w:val="Funotenzeichen"/>
        </w:rPr>
        <w:footnoteReference w:id="2219"/>
      </w:r>
      <w:r w:rsidR="000E6B09">
        <w:t xml:space="preserve"> </w:t>
      </w:r>
      <w:r w:rsidR="00766E70">
        <w:t xml:space="preserve">Weiterhin wäre es möglich, mit der Wettbewerbspolitik Rationalisierungskartelle zu erlauben. Die Politik ist sicherlich nicht hilflos den chinesischen Importen ausgeliefert.    </w:t>
      </w:r>
    </w:p>
    <w:p w14:paraId="6DE9468F" w14:textId="77777777" w:rsidR="002C057C" w:rsidRDefault="002C057C" w:rsidP="002C057C"/>
    <w:p w14:paraId="2944D483" w14:textId="4E8975A7" w:rsidR="002C057C" w:rsidRDefault="002C057C" w:rsidP="002C057C">
      <w:r>
        <w:t xml:space="preserve">Eine </w:t>
      </w:r>
      <w:r w:rsidR="005A5E4C">
        <w:t xml:space="preserve">solche projektbezogene </w:t>
      </w:r>
      <w:r>
        <w:t>Quote für Solarprojekte</w:t>
      </w:r>
      <w:r w:rsidR="00C55338">
        <w:t xml:space="preserve"> ohne Antidumping ‚</w:t>
      </w:r>
      <w:proofErr w:type="spellStart"/>
      <w:r w:rsidR="00C55338">
        <w:t>undertaking</w:t>
      </w:r>
      <w:proofErr w:type="spellEnd"/>
      <w:r w:rsidR="00C55338">
        <w:t>‘ im Hintergrund</w:t>
      </w:r>
      <w:r>
        <w:t xml:space="preserve"> würde gegen mehrere WTO-Artikel verstoßen (Art. III</w:t>
      </w:r>
      <w:r w:rsidR="00C55338">
        <w:t xml:space="preserve"> Inländerbehandlung, eine weniger günstige Behandlung ausländischer Produkte</w:t>
      </w:r>
      <w:r>
        <w:t xml:space="preserve">, </w:t>
      </w:r>
      <w:r w:rsidR="00C55338">
        <w:t>‚</w:t>
      </w:r>
      <w:proofErr w:type="spellStart"/>
      <w:r w:rsidR="00C55338">
        <w:t>local</w:t>
      </w:r>
      <w:proofErr w:type="spellEnd"/>
      <w:r w:rsidR="00C55338">
        <w:t xml:space="preserve"> </w:t>
      </w:r>
      <w:proofErr w:type="spellStart"/>
      <w:r w:rsidR="00C55338">
        <w:t>content</w:t>
      </w:r>
      <w:proofErr w:type="spellEnd"/>
      <w:r w:rsidR="00C55338">
        <w:t xml:space="preserve">‘ bzw. Mindestinlandauflagenverbot im </w:t>
      </w:r>
      <w:r>
        <w:t>T</w:t>
      </w:r>
      <w:r w:rsidR="00C55338">
        <w:t>RIMS-Abkommen</w:t>
      </w:r>
      <w:r>
        <w:t>)</w:t>
      </w:r>
      <w:r w:rsidR="00DD0AFA">
        <w:t>, aber vielleicht wäre es als ‚</w:t>
      </w:r>
      <w:proofErr w:type="spellStart"/>
      <w:r w:rsidR="00DD0AFA">
        <w:t>undertaking</w:t>
      </w:r>
      <w:proofErr w:type="spellEnd"/>
      <w:r w:rsidR="00DD0AFA">
        <w:t>‘ WTO-kompatibel. S</w:t>
      </w:r>
      <w:r>
        <w:t xml:space="preserve">chließlich </w:t>
      </w:r>
      <w:r w:rsidR="00DD0AFA">
        <w:t xml:space="preserve">zeigen die Fakten, siehe Teil 1, </w:t>
      </w:r>
      <w:r w:rsidR="00DD0AFA" w:rsidRPr="00383C23">
        <w:rPr>
          <w:u w:val="single"/>
        </w:rPr>
        <w:t xml:space="preserve">dass </w:t>
      </w:r>
      <w:r w:rsidRPr="00383C23">
        <w:rPr>
          <w:u w:val="single"/>
        </w:rPr>
        <w:t xml:space="preserve">man versuchen </w:t>
      </w:r>
      <w:r w:rsidR="00DD0AFA" w:rsidRPr="00383C23">
        <w:rPr>
          <w:u w:val="single"/>
        </w:rPr>
        <w:t xml:space="preserve">muss </w:t>
      </w:r>
      <w:r w:rsidRPr="00383C23">
        <w:rPr>
          <w:u w:val="single"/>
        </w:rPr>
        <w:t>die Kapazität der weltweiten Solarindustrie im Ganzen stark zu steigern</w:t>
      </w:r>
      <w:r w:rsidR="00DD0AFA" w:rsidRPr="00383C23">
        <w:rPr>
          <w:u w:val="single"/>
        </w:rPr>
        <w:t xml:space="preserve">. Nicht nur die EU, sondern auch viele andere </w:t>
      </w:r>
      <w:r w:rsidRPr="00383C23">
        <w:rPr>
          <w:u w:val="single"/>
        </w:rPr>
        <w:t xml:space="preserve">Länder müssen ggf. gegen China solche Maßnahmen anwenden, </w:t>
      </w:r>
      <w:r w:rsidR="00DD0AFA" w:rsidRPr="00383C23">
        <w:rPr>
          <w:u w:val="single"/>
        </w:rPr>
        <w:t xml:space="preserve">damit wir gemeinsam </w:t>
      </w:r>
      <w:r w:rsidRPr="00383C23">
        <w:rPr>
          <w:u w:val="single"/>
        </w:rPr>
        <w:t>die Energiewende schaffen</w:t>
      </w:r>
      <w:r>
        <w:t xml:space="preserve">. </w:t>
      </w:r>
      <w:r w:rsidR="00705629">
        <w:t xml:space="preserve">Eine </w:t>
      </w:r>
      <w:r w:rsidR="00DD0AFA">
        <w:t xml:space="preserve">projektbezogene </w:t>
      </w:r>
      <w:r w:rsidR="00705629">
        <w:t xml:space="preserve">Quote könnte zudem den Vorteil haben, dass man mit China einen Kompromiss finden kann, und China </w:t>
      </w:r>
      <w:r w:rsidR="00DD0AFA">
        <w:t xml:space="preserve">dauerhaft </w:t>
      </w:r>
      <w:r w:rsidR="00705629">
        <w:t>einen bestimmen Teil des Marktes überlassen kann, ohne den Aufbau der eigenen Industrie zu gefährden</w:t>
      </w:r>
      <w:r w:rsidR="00DD0AFA">
        <w:t xml:space="preserve"> (und ohne die Unsicherheiten und Probleme bei Mindestpreisen und der schwierigen Verwaltung von GW-Beschränkungen)</w:t>
      </w:r>
      <w:r w:rsidR="00705629">
        <w:t xml:space="preserve">. </w:t>
      </w:r>
      <w:r>
        <w:t>Man könnte versuchen solche Maßnahmen mit GATT Art. XX zu begründen, wiewohl meist verneint wird, dass dies Erfolgsaussichten hat.</w:t>
      </w:r>
      <w:r w:rsidRPr="000A124C">
        <w:rPr>
          <w:rStyle w:val="Funotenzeichen"/>
        </w:rPr>
        <w:t xml:space="preserve"> </w:t>
      </w:r>
      <w:r>
        <w:rPr>
          <w:rStyle w:val="Funotenzeichen"/>
        </w:rPr>
        <w:footnoteReference w:id="2220"/>
      </w:r>
      <w:r>
        <w:t xml:space="preserv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p w14:paraId="5099631B" w14:textId="77777777" w:rsidR="002C057C" w:rsidRDefault="002C057C" w:rsidP="002C057C">
      <w:r>
        <w:t xml:space="preserve"> </w:t>
      </w:r>
    </w:p>
    <w:p w14:paraId="277BE185" w14:textId="434C1FDD" w:rsidR="002C057C" w:rsidRDefault="002C057C" w:rsidP="002C057C">
      <w:proofErr w:type="spellStart"/>
      <w:r>
        <w:t>Local</w:t>
      </w:r>
      <w:proofErr w:type="spellEnd"/>
      <w:r>
        <w:t xml:space="preserve"> </w:t>
      </w:r>
      <w:proofErr w:type="spellStart"/>
      <w:r>
        <w:t>content</w:t>
      </w:r>
      <w:proofErr w:type="spellEnd"/>
      <w:r w:rsidR="00DD0AFA">
        <w:t>-</w:t>
      </w:r>
      <w:r>
        <w:t xml:space="preserve">Vorschriften </w:t>
      </w:r>
      <w:r w:rsidR="00DD0AFA">
        <w:t xml:space="preserve">sind ein </w:t>
      </w:r>
      <w:r>
        <w:t>Verstoß gegen das WTO T</w:t>
      </w:r>
      <w:r w:rsidR="00DD0AFA">
        <w:t>RIMS Abkommen, werden</w:t>
      </w:r>
      <w:r>
        <w:t xml:space="preserve"> aber von vielen Ländern benutzt</w:t>
      </w:r>
      <w:r w:rsidR="00DD0AFA">
        <w:t>. Dies sind keine handelspolitischen Schutzmaßnahmen, sie</w:t>
      </w:r>
      <w:r>
        <w:t xml:space="preserve"> </w:t>
      </w:r>
      <w:r w:rsidR="00DD0AFA">
        <w:t>würden sich an die</w:t>
      </w:r>
      <w:r>
        <w:t xml:space="preserve"> europäischen Solarfirmen selbst</w:t>
      </w:r>
      <w:r w:rsidR="00DD0AFA">
        <w:t xml:space="preserve"> richten</w:t>
      </w:r>
      <w:r>
        <w:t>, die dadurch gezwungen werden, europäische Produktionsinputs zu nutzen, z.B. würde Meyer Burger mit eine</w:t>
      </w:r>
      <w:r w:rsidR="00DD0AFA">
        <w:t>m</w:t>
      </w:r>
      <w:r>
        <w:t xml:space="preserve"> 80 % </w:t>
      </w:r>
      <w:proofErr w:type="spellStart"/>
      <w:r w:rsidR="00DD0AFA">
        <w:t>L</w:t>
      </w:r>
      <w:r>
        <w:t>ocal</w:t>
      </w:r>
      <w:proofErr w:type="spellEnd"/>
      <w:r>
        <w:t xml:space="preserve"> Content</w:t>
      </w:r>
      <w:r w:rsidR="00DD0AFA">
        <w:t xml:space="preserve"> EU vielleicht gezwungen, </w:t>
      </w:r>
      <w:r>
        <w:t>Wafer aus Europa einsetzen</w:t>
      </w:r>
      <w:r w:rsidR="00DD0AFA">
        <w:t>, es kann aber sein, dass chinesische Wafer so billig sind, dass sie problemlos im verbliebenen 20 % unterzubringen sind.</w:t>
      </w:r>
      <w:r>
        <w:t xml:space="preserve"> </w:t>
      </w:r>
      <w:r w:rsidR="00C55338">
        <w:t>Problem ist bei ‚</w:t>
      </w:r>
      <w:proofErr w:type="spellStart"/>
      <w:r w:rsidR="00C55338">
        <w:t>local</w:t>
      </w:r>
      <w:proofErr w:type="spellEnd"/>
      <w:r w:rsidR="00C55338">
        <w:t xml:space="preserve"> </w:t>
      </w:r>
      <w:proofErr w:type="spellStart"/>
      <w:r w:rsidR="00C55338">
        <w:t>content</w:t>
      </w:r>
      <w:proofErr w:type="spellEnd"/>
      <w:r w:rsidR="00C55338">
        <w:t>‘</w:t>
      </w:r>
      <w:r w:rsidR="00DD0AFA">
        <w:t xml:space="preserve"> weiterhin</w:t>
      </w:r>
      <w:r w:rsidR="00C55338">
        <w:t xml:space="preserve">, dass es </w:t>
      </w:r>
      <w:r>
        <w:t xml:space="preserve">ggf. die Preise </w:t>
      </w:r>
      <w:r w:rsidR="00C55338">
        <w:t xml:space="preserve">für Produktionsinputs erhöht </w:t>
      </w:r>
      <w:r>
        <w:t xml:space="preserve">und eine lokale Produktion </w:t>
      </w:r>
      <w:r w:rsidR="00C55338">
        <w:t xml:space="preserve">überhaupt erstmal </w:t>
      </w:r>
      <w:r>
        <w:t xml:space="preserve">vorhanden </w:t>
      </w:r>
      <w:r w:rsidR="00C55338">
        <w:t>sein muss</w:t>
      </w:r>
      <w:r>
        <w:t>.</w:t>
      </w:r>
      <w:r>
        <w:rPr>
          <w:rStyle w:val="Funotenzeichen"/>
        </w:rPr>
        <w:footnoteReference w:id="2221"/>
      </w:r>
    </w:p>
    <w:p w14:paraId="6233856F" w14:textId="77777777" w:rsidR="002F487C" w:rsidRDefault="002F487C" w:rsidP="002C057C"/>
    <w:p w14:paraId="25B63C1B" w14:textId="7E20CA4D" w:rsidR="002C057C" w:rsidRDefault="00E9298D" w:rsidP="002C057C">
      <w:r>
        <w:lastRenderedPageBreak/>
        <w:t>15.6 W</w:t>
      </w:r>
      <w:r w:rsidR="002C057C">
        <w:t>eitere Bereichen der EU-Industrie:</w:t>
      </w:r>
    </w:p>
    <w:p w14:paraId="5B2C9805" w14:textId="77777777" w:rsidR="002C057C" w:rsidRDefault="002C057C" w:rsidP="002C057C"/>
    <w:p w14:paraId="58D0EB34" w14:textId="12B9702F" w:rsidR="002C057C" w:rsidRDefault="00E9298D" w:rsidP="002C057C">
      <w:r>
        <w:t xml:space="preserve">15.6.1 </w:t>
      </w:r>
      <w:r w:rsidR="002C057C">
        <w:t>Windkraft</w:t>
      </w:r>
    </w:p>
    <w:p w14:paraId="61DC1F9A" w14:textId="77777777" w:rsidR="002C057C" w:rsidRDefault="002C057C" w:rsidP="002C057C"/>
    <w:p w14:paraId="7D341AF3" w14:textId="00F4C59E" w:rsidR="00626B90" w:rsidRDefault="00705629" w:rsidP="002C057C">
      <w:r>
        <w:t>Hier ist</w:t>
      </w:r>
      <w:r w:rsidR="002C057C">
        <w:t xml:space="preserve"> </w:t>
      </w:r>
      <w:r>
        <w:t xml:space="preserve">die </w:t>
      </w:r>
      <w:r w:rsidR="002C057C">
        <w:t>EU gut aufgestellt: im Bereich Windkraft hat sie eine eigene Produktion</w:t>
      </w:r>
      <w:r w:rsidR="00735C26">
        <w:t>, mit dem deutsch-spanischen Siemens-Gamesa, mit dem großen Werk in Cuxhaven, Rotorblätterwerken im englischen Hull, in Tanger in Marokko, in Vagos in Portugal,</w:t>
      </w:r>
      <w:r w:rsidR="000A39CF">
        <w:t xml:space="preserve"> in Le Havre in Frankreich, mitsamt </w:t>
      </w:r>
      <w:r w:rsidR="00C314E6">
        <w:t xml:space="preserve">Gondeln bzw. </w:t>
      </w:r>
      <w:proofErr w:type="spellStart"/>
      <w:r w:rsidR="00C314E6">
        <w:t>Nacellen</w:t>
      </w:r>
      <w:proofErr w:type="spellEnd"/>
      <w:r w:rsidR="000A39CF">
        <w:t>, eine Fabrik für Offshore Turbinen in Taichung in Taiwan für den asiatischen Markt, nicht für China</w:t>
      </w:r>
      <w:r w:rsidR="000A39CF">
        <w:rPr>
          <w:rStyle w:val="Funotenzeichen"/>
        </w:rPr>
        <w:footnoteReference w:id="2222"/>
      </w:r>
      <w:r w:rsidR="000A39CF">
        <w:t xml:space="preserve">; </w:t>
      </w:r>
      <w:r w:rsidR="00735C26">
        <w:t xml:space="preserve">Enercon </w:t>
      </w:r>
      <w:r w:rsidR="000A39CF">
        <w:t xml:space="preserve">kommt </w:t>
      </w:r>
      <w:r w:rsidR="00735C26">
        <w:t>aus Aurich, mit Produktionsstätten in Magdeburg, Polen, Portugal und der Türkei</w:t>
      </w:r>
      <w:r w:rsidR="00735C26">
        <w:rPr>
          <w:rStyle w:val="Funotenzeichen"/>
        </w:rPr>
        <w:footnoteReference w:id="2223"/>
      </w:r>
      <w:r w:rsidR="000A39CF">
        <w:t>; General Electric Wind hat seinen Sitz in Paris, es hat die Energiesparte von Alstom übernommen, bietet seitdem auch Offshore-Anlagen an, in der deutschen Fabrik in Salzbergen werden jede Woche ca. 30 Anlagen hergestellt, produziert wird auch in den USA und China</w:t>
      </w:r>
      <w:r w:rsidR="000A39CF">
        <w:rPr>
          <w:rStyle w:val="Funotenzeichen"/>
        </w:rPr>
        <w:footnoteReference w:id="2224"/>
      </w:r>
      <w:r w:rsidR="002E36A8">
        <w:t>, General Electric Wind hat auch ein Rotorblätterwerk in Indien, LM Wind Power, dass 2021 meldet, nun 44.444 Rotorblätter hergestellt zu haben</w:t>
      </w:r>
      <w:r w:rsidR="00674912">
        <w:t>, unklar bleibt aber, welcher Anteil davon exportiert wird und wohin</w:t>
      </w:r>
      <w:r w:rsidR="002E36A8">
        <w:rPr>
          <w:rStyle w:val="Funotenzeichen"/>
        </w:rPr>
        <w:footnoteReference w:id="2225"/>
      </w:r>
      <w:r w:rsidR="0032496B">
        <w:t xml:space="preserve">; Vestas kommt aus dem dänischen Aarhus, es hat Produktionsstätten in Lem, Nakskov, Isle </w:t>
      </w:r>
      <w:proofErr w:type="spellStart"/>
      <w:r w:rsidR="0032496B">
        <w:t>of</w:t>
      </w:r>
      <w:proofErr w:type="spellEnd"/>
      <w:r w:rsidR="0032496B">
        <w:t xml:space="preserve"> Wight, Taranto, </w:t>
      </w:r>
      <w:proofErr w:type="spellStart"/>
      <w:r w:rsidR="0032496B">
        <w:t>Tianjing</w:t>
      </w:r>
      <w:proofErr w:type="spellEnd"/>
      <w:r w:rsidR="0032496B">
        <w:t xml:space="preserve">, </w:t>
      </w:r>
      <w:proofErr w:type="spellStart"/>
      <w:r w:rsidR="0032496B">
        <w:t>Daimiel</w:t>
      </w:r>
      <w:proofErr w:type="spellEnd"/>
      <w:r w:rsidR="0032496B">
        <w:t xml:space="preserve"> und </w:t>
      </w:r>
      <w:proofErr w:type="spellStart"/>
      <w:r w:rsidR="0032496B">
        <w:t>Windors</w:t>
      </w:r>
      <w:proofErr w:type="spellEnd"/>
      <w:r w:rsidR="0032496B">
        <w:t>, in Deutschland ist die Zentrale in Hamburg.</w:t>
      </w:r>
      <w:r w:rsidR="0032496B">
        <w:rPr>
          <w:rStyle w:val="Funotenzeichen"/>
        </w:rPr>
        <w:footnoteReference w:id="2226"/>
      </w:r>
      <w:r w:rsidR="002B788E">
        <w:t xml:space="preserve"> </w:t>
      </w:r>
      <w:r w:rsidR="002E36A8">
        <w:t>Vestas hat eine polnische Rotorblätter Fabrik von General Electric LW Wind Power gekauft.</w:t>
      </w:r>
      <w:r w:rsidR="002E36A8">
        <w:rPr>
          <w:rStyle w:val="Funotenzeichen"/>
        </w:rPr>
        <w:footnoteReference w:id="2227"/>
      </w:r>
      <w:r w:rsidR="002E36A8">
        <w:t xml:space="preserve"> </w:t>
      </w:r>
      <w:r w:rsidR="002B788E">
        <w:t xml:space="preserve">Diese Hersteller dominieren den europäischen Markt, es ist ein Ereignis, wenn erste chinesische Produkte überhaupt in Europa auftauchen, dies ist </w:t>
      </w:r>
      <w:proofErr w:type="spellStart"/>
      <w:r w:rsidR="002B788E">
        <w:t>Mingyang</w:t>
      </w:r>
      <w:proofErr w:type="spellEnd"/>
      <w:r w:rsidR="002B788E">
        <w:t xml:space="preserve"> Smart Energy 2022 mit einem kleinen 30 MW Offshore Windpark in </w:t>
      </w:r>
      <w:proofErr w:type="spellStart"/>
      <w:r w:rsidR="002B788E">
        <w:t>Beleolico</w:t>
      </w:r>
      <w:proofErr w:type="spellEnd"/>
      <w:r w:rsidR="002B788E">
        <w:t xml:space="preserve"> vor Süditalien gelungen, ebenso wurde eine strategische Partnerschaft mit der britischen </w:t>
      </w:r>
      <w:proofErr w:type="spellStart"/>
      <w:r w:rsidR="002B788E">
        <w:t>Opergy</w:t>
      </w:r>
      <w:proofErr w:type="spellEnd"/>
      <w:r w:rsidR="002B788E">
        <w:t xml:space="preserve"> Group für Offshore-Windparks in England angekündigt.</w:t>
      </w:r>
      <w:r w:rsidR="002B788E">
        <w:rPr>
          <w:rStyle w:val="Funotenzeichen"/>
        </w:rPr>
        <w:footnoteReference w:id="2228"/>
      </w:r>
      <w:r w:rsidR="002B788E">
        <w:t xml:space="preserve"> </w:t>
      </w:r>
      <w:r w:rsidR="00BC3223">
        <w:t xml:space="preserve">Für den Windpark Waterkant vor Borkum hat der Investor </w:t>
      </w:r>
      <w:proofErr w:type="spellStart"/>
      <w:r w:rsidR="00BC3223">
        <w:t>Luxcara</w:t>
      </w:r>
      <w:proofErr w:type="spellEnd"/>
      <w:r w:rsidR="00BC3223">
        <w:t xml:space="preserve"> 16 Windkraftanlagen von Ming Yang bestellt, diesmal 18 MW Anlagen, Typ: MySE18.5-260, mit 260 Meter Rotordurchmesser, als Grund für den Auftrag an China wird Zeitnot genannt, implizit aber auch günstige Preise angedeutet.</w:t>
      </w:r>
      <w:r w:rsidR="00BC3223">
        <w:rPr>
          <w:rStyle w:val="Funotenzeichen"/>
        </w:rPr>
        <w:footnoteReference w:id="2229"/>
      </w:r>
      <w:r w:rsidR="00BC3223">
        <w:t xml:space="preserve"> </w:t>
      </w:r>
      <w:r w:rsidR="00744078">
        <w:t xml:space="preserve">Diese Entscheidung wurde aber nun wieder verändert, </w:t>
      </w:r>
      <w:proofErr w:type="spellStart"/>
      <w:r w:rsidR="00744078">
        <w:t>Luxcara</w:t>
      </w:r>
      <w:proofErr w:type="spellEnd"/>
      <w:r w:rsidR="00744078">
        <w:t xml:space="preserve"> hat den Vertrag mit Ming Yang aufgelöst und will nun doch Siemens 15,5 MW Turbinen einsetzen.</w:t>
      </w:r>
      <w:r w:rsidR="00744078">
        <w:rPr>
          <w:rStyle w:val="Funotenzeichen"/>
        </w:rPr>
        <w:footnoteReference w:id="2230"/>
      </w:r>
      <w:r w:rsidR="00744078">
        <w:t xml:space="preserve"> </w:t>
      </w:r>
      <w:r w:rsidR="002B788E">
        <w:t xml:space="preserve">Fast alle europäischen Windparks setzen europäische Turbinen ein, es gibt über 250 Fabriken für </w:t>
      </w:r>
      <w:proofErr w:type="spellStart"/>
      <w:r w:rsidR="002B788E">
        <w:t>Windkrafturbinen</w:t>
      </w:r>
      <w:proofErr w:type="spellEnd"/>
      <w:r w:rsidR="002B788E">
        <w:t xml:space="preserve"> und Komponenten in Europa.</w:t>
      </w:r>
      <w:r w:rsidR="002B788E">
        <w:rPr>
          <w:rStyle w:val="Funotenzeichen"/>
        </w:rPr>
        <w:footnoteReference w:id="2231"/>
      </w:r>
      <w:r w:rsidR="002B788E">
        <w:t xml:space="preserve"> Einige europäische Firmen versuchen aber einzelne Teile aus China einzuführen, so hat RWE </w:t>
      </w:r>
      <w:r w:rsidR="00674912">
        <w:t>1</w:t>
      </w:r>
      <w:r w:rsidR="002B788E">
        <w:t xml:space="preserve">04 Fundamente von </w:t>
      </w:r>
      <w:proofErr w:type="spellStart"/>
      <w:r w:rsidR="002B788E">
        <w:t>Dajin</w:t>
      </w:r>
      <w:proofErr w:type="spellEnd"/>
      <w:r w:rsidR="002B788E">
        <w:t xml:space="preserve"> Off</w:t>
      </w:r>
      <w:r w:rsidR="00131C6F">
        <w:t>shore bestellt, China versucht auch z.B. Brasilien zu beliefern.</w:t>
      </w:r>
      <w:r w:rsidR="00131C6F">
        <w:rPr>
          <w:rStyle w:val="Funotenzeichen"/>
        </w:rPr>
        <w:footnoteReference w:id="2232"/>
      </w:r>
      <w:r w:rsidR="00131C6F">
        <w:t xml:space="preserve"> </w:t>
      </w:r>
      <w:r w:rsidR="00674912">
        <w:t xml:space="preserve">Eine Produktion von Rotorblättern ist offenbar am </w:t>
      </w:r>
      <w:r w:rsidR="00674912">
        <w:lastRenderedPageBreak/>
        <w:t xml:space="preserve">anfälligsten für die Auslagerung in Länder mit niedrigen Lohnkosten, Rotorblätter werden etwa in Portugal oder der Türkei gefertigt. </w:t>
      </w:r>
      <w:r w:rsidR="002B788E">
        <w:t xml:space="preserve">Es gibt </w:t>
      </w:r>
      <w:r w:rsidR="00C314E6">
        <w:t xml:space="preserve">in der EU bei Turbinen, </w:t>
      </w:r>
      <w:r w:rsidR="002B788E">
        <w:t xml:space="preserve">siehe unten, eine Untersuchung gegen China nach der Foreign </w:t>
      </w:r>
      <w:proofErr w:type="spellStart"/>
      <w:r w:rsidR="002B788E">
        <w:t>Subsidies</w:t>
      </w:r>
      <w:proofErr w:type="spellEnd"/>
      <w:r w:rsidR="002B788E">
        <w:t xml:space="preserve"> Regulation. </w:t>
      </w:r>
    </w:p>
    <w:p w14:paraId="7B371FE1" w14:textId="77777777" w:rsidR="00626B90" w:rsidRDefault="00626B90" w:rsidP="002C057C"/>
    <w:tbl>
      <w:tblPr>
        <w:tblStyle w:val="Tabellenraster"/>
        <w:tblW w:w="0" w:type="auto"/>
        <w:tblLook w:val="04A0" w:firstRow="1" w:lastRow="0" w:firstColumn="1" w:lastColumn="0" w:noHBand="0" w:noVBand="1"/>
      </w:tblPr>
      <w:tblGrid>
        <w:gridCol w:w="9062"/>
      </w:tblGrid>
      <w:tr w:rsidR="00626B90" w14:paraId="72C738DE" w14:textId="77777777">
        <w:tc>
          <w:tcPr>
            <w:tcW w:w="9062" w:type="dxa"/>
          </w:tcPr>
          <w:p w14:paraId="13D1CD8C" w14:textId="3E17FEA6" w:rsidR="00626B90" w:rsidRDefault="00626B90" w:rsidP="002C057C">
            <w:r>
              <w:t>Durch den Fall des Zubaus in Deutschland von 5 GW 2017 auf 2 GW in den Jahren danach (bis heute: 2024, 2,7 GW), gab es Probleme und sogar die Schließung von drei Rotorblätterwerken, Nordex in Rostock, Vestas in Lauchhammer, Adwen in Bremerhaven und einem Kabelwerk, Nexans in Hannover, mit 2080 Beschäftigten. Produktionskapazitäten sind möglicherweise nicht ausreichend für ein Hochlaufen der Produktion bei Gussteilen, Turmsegmenten oder ggf. bei Chips.</w:t>
            </w:r>
            <w:r>
              <w:rPr>
                <w:rStyle w:val="Funotenzeichen"/>
              </w:rPr>
              <w:footnoteReference w:id="2233"/>
            </w:r>
            <w:r>
              <w:t xml:space="preserve"> Bei Rohstoffen w</w:t>
            </w:r>
            <w:r w:rsidR="007D6A7F">
              <w:t xml:space="preserve">erden u.a. </w:t>
            </w:r>
            <w:r>
              <w:t>genannt: Neodym, Dysprosium für Permanentmagneten</w:t>
            </w:r>
            <w:r w:rsidR="007D6A7F">
              <w:t>, neu ist mir Chromit aus Südafrika und Sand für Betonfundamente.</w:t>
            </w:r>
            <w:r w:rsidR="007D6A7F">
              <w:rPr>
                <w:rStyle w:val="Funotenzeichen"/>
              </w:rPr>
              <w:footnoteReference w:id="2234"/>
            </w:r>
          </w:p>
        </w:tc>
      </w:tr>
    </w:tbl>
    <w:p w14:paraId="269DBBA1" w14:textId="77777777" w:rsidR="00626B90" w:rsidRDefault="00626B90" w:rsidP="002C057C"/>
    <w:p w14:paraId="54B53E7F" w14:textId="6C7D1583" w:rsidR="002C057C" w:rsidRPr="001D51C3" w:rsidRDefault="002C057C" w:rsidP="002C057C">
      <w:pPr>
        <w:rPr>
          <w:lang w:val="en-GB"/>
        </w:rPr>
      </w:pPr>
      <w:r>
        <w:t>Die EU Kommission möchte die europäische Windindustrie stärken, z.B. mit dem European Wind Power Action Plan</w:t>
      </w:r>
      <w:r w:rsidR="00735C26">
        <w:t>, 24.10.2023</w:t>
      </w:r>
      <w:r>
        <w:rPr>
          <w:rStyle w:val="Funotenzeichen"/>
        </w:rPr>
        <w:footnoteReference w:id="2235"/>
      </w:r>
      <w:r>
        <w:t xml:space="preserve">, dieser sieht u.a. auch vor, dass die Europäische Investment Bank (EIB) auch direkt die Windindustrie finanzieren darf, nicht mehr nur Windparks, die EIB soll auch „de </w:t>
      </w:r>
      <w:proofErr w:type="spellStart"/>
      <w:r>
        <w:t>risking</w:t>
      </w:r>
      <w:proofErr w:type="spellEnd"/>
      <w:r>
        <w:t xml:space="preserve"> </w:t>
      </w:r>
      <w:proofErr w:type="spellStart"/>
      <w:r>
        <w:t>tools</w:t>
      </w:r>
      <w:proofErr w:type="spellEnd"/>
      <w:r>
        <w:t>“ und „counter-</w:t>
      </w:r>
      <w:proofErr w:type="spellStart"/>
      <w:r>
        <w:t>guarantees</w:t>
      </w:r>
      <w:proofErr w:type="spellEnd"/>
      <w:r>
        <w:t>“ für Bankkredite zur Verfügung stellen, es soll generell mehr Geld für Hersteller erneuerbarer Energie im EU Innovation Fund zur Verfügung stehen (1,4 Mrd. Euro), die Genehmigungsverfahren sollen beschleunigt werden.</w:t>
      </w:r>
      <w:r>
        <w:rPr>
          <w:rStyle w:val="Funotenzeichen"/>
        </w:rPr>
        <w:footnoteReference w:id="2236"/>
      </w:r>
      <w:r>
        <w:t xml:space="preserve"> Ob dies alles so umgesetzt wurde, kann hier nicht verifiziert werden. Siehe zum Stand der Dinge der Windenergie in der EU dieses EPRS Briefing für das Europäische Parlament.</w:t>
      </w:r>
      <w:r>
        <w:rPr>
          <w:rStyle w:val="Funotenzeichen"/>
        </w:rPr>
        <w:footnoteReference w:id="2237"/>
      </w:r>
      <w:r>
        <w:t xml:space="preserve"> </w:t>
      </w:r>
      <w:r w:rsidR="007D6A7F">
        <w:t>In der deutschen Diskussion wird in ähnlicher Weise über ‚</w:t>
      </w:r>
      <w:proofErr w:type="spellStart"/>
      <w:r w:rsidR="007D6A7F">
        <w:t>guarantees</w:t>
      </w:r>
      <w:proofErr w:type="spellEnd"/>
      <w:r w:rsidR="007D6A7F">
        <w:t>‘ gesprochen und festgestellt, dass eine Absicherung der Abnahme von Windenergieanlagen durch eine Kreditbürgschaft, etwa schon in er Genehmigungsphase, den Aufbau von Anlagen stark beschleunigen könnte, da die Anlagenproduktion derzeit erst beginnt, wenn ein Projekt den Zuschlag bekommen hat.</w:t>
      </w:r>
      <w:r w:rsidR="007D6A7F">
        <w:rPr>
          <w:rStyle w:val="Funotenzeichen"/>
        </w:rPr>
        <w:footnoteReference w:id="2238"/>
      </w:r>
      <w:r w:rsidR="007D6A7F">
        <w:t xml:space="preserve"> Es wurde auch darüber diskutiert, ob es sinnvoll ist eine staatliche Abnahmegarantie zu etabliert, damit Windenergieanlagen nicht projektbasiert, sondern in Massenproduktion kontinuierlich gefertigt werden können.</w:t>
      </w:r>
      <w:r w:rsidR="007D6A7F">
        <w:rPr>
          <w:rStyle w:val="Funotenzeichen"/>
        </w:rPr>
        <w:footnoteReference w:id="2239"/>
      </w:r>
      <w:r w:rsidR="007D6A7F">
        <w:t xml:space="preserve"> </w:t>
      </w:r>
      <w:r>
        <w:t>Bei Windkraft muss man aufpassen, dass sich China und andere Länder sich nicht mehr und mehr in die Produktion der Teile von Windkraftanlagen einschleichen. Die Neodym-Magnete kommen aus China, dazu gleich mehr. Aber es könnten auch anderweitig mehr und mehr Teile aus China importiert werden.</w:t>
      </w:r>
      <w:r w:rsidRPr="00FD46DB">
        <w:t xml:space="preserve"> </w:t>
      </w:r>
      <w:r>
        <w:t xml:space="preserve">In Zukunft ist die Situation vorstellbar, dass Rotoren, </w:t>
      </w:r>
      <w:proofErr w:type="spellStart"/>
      <w:r>
        <w:t>Nacellen</w:t>
      </w:r>
      <w:proofErr w:type="spellEnd"/>
      <w:r>
        <w:t xml:space="preserve">, Schaltkästen, Magneten und sogar Generatoren für Windkraftanlagen importiert werden und letztlich Windkraftanlagen nur noch zusammengebaut werden. Alle diese Teile können aber z.B. von mittelständischen Unternehmen in Deutschland, Polen, Rumänien, Spanien etc. gefertigt werden können. Haben sich die Importe der Teile erst einmal etabliert, ist es schwer wieder Schutz zu nutzen, weil es schwer </w:t>
      </w:r>
      <w:r w:rsidR="0023400B">
        <w:t xml:space="preserve">ist </w:t>
      </w:r>
      <w:r>
        <w:t xml:space="preserve">wieder die Produktion aufzubauen. </w:t>
      </w:r>
      <w:r w:rsidRPr="00664C5F">
        <w:rPr>
          <w:lang w:val="en-GB"/>
        </w:rPr>
        <w:t xml:space="preserve">Die EU </w:t>
      </w:r>
      <w:r w:rsidR="0023400B">
        <w:rPr>
          <w:lang w:val="en-GB"/>
        </w:rPr>
        <w:t xml:space="preserve">will seine </w:t>
      </w:r>
      <w:proofErr w:type="spellStart"/>
      <w:r w:rsidR="0023400B">
        <w:rPr>
          <w:lang w:val="en-GB"/>
        </w:rPr>
        <w:t>Windkraftindustrie</w:t>
      </w:r>
      <w:proofErr w:type="spellEnd"/>
      <w:r w:rsidR="0023400B">
        <w:rPr>
          <w:lang w:val="en-GB"/>
        </w:rPr>
        <w:t xml:space="preserve"> </w:t>
      </w:r>
      <w:proofErr w:type="spellStart"/>
      <w:r w:rsidR="0023400B">
        <w:rPr>
          <w:lang w:val="en-GB"/>
        </w:rPr>
        <w:t>offenkundig</w:t>
      </w:r>
      <w:proofErr w:type="spellEnd"/>
      <w:r w:rsidR="0023400B">
        <w:rPr>
          <w:lang w:val="en-GB"/>
        </w:rPr>
        <w:t xml:space="preserve"> </w:t>
      </w:r>
      <w:proofErr w:type="spellStart"/>
      <w:r w:rsidR="0023400B">
        <w:rPr>
          <w:lang w:val="en-GB"/>
        </w:rPr>
        <w:t>erhalten</w:t>
      </w:r>
      <w:proofErr w:type="spellEnd"/>
      <w:r w:rsidR="0023400B">
        <w:rPr>
          <w:lang w:val="en-GB"/>
        </w:rPr>
        <w:t xml:space="preserve"> und </w:t>
      </w:r>
      <w:proofErr w:type="spellStart"/>
      <w:r w:rsidR="0023400B">
        <w:rPr>
          <w:lang w:val="en-GB"/>
        </w:rPr>
        <w:t>schützen</w:t>
      </w:r>
      <w:proofErr w:type="spellEnd"/>
      <w:r w:rsidR="001C07B8">
        <w:rPr>
          <w:lang w:val="en-GB"/>
        </w:rPr>
        <w:t xml:space="preserve">, </w:t>
      </w:r>
      <w:proofErr w:type="spellStart"/>
      <w:r w:rsidR="001C07B8">
        <w:rPr>
          <w:lang w:val="en-GB"/>
        </w:rPr>
        <w:t>siehe</w:t>
      </w:r>
      <w:proofErr w:type="spellEnd"/>
      <w:r w:rsidR="001C07B8">
        <w:rPr>
          <w:lang w:val="en-GB"/>
        </w:rPr>
        <w:t xml:space="preserve"> dieses </w:t>
      </w:r>
      <w:proofErr w:type="spellStart"/>
      <w:r w:rsidR="001C07B8">
        <w:rPr>
          <w:lang w:val="en-GB"/>
        </w:rPr>
        <w:t>Zitat</w:t>
      </w:r>
      <w:proofErr w:type="spellEnd"/>
      <w:r w:rsidR="001C07B8">
        <w:rPr>
          <w:lang w:val="en-GB"/>
        </w:rPr>
        <w:t>:</w:t>
      </w:r>
      <w:r w:rsidRPr="00664C5F">
        <w:rPr>
          <w:lang w:val="en-GB"/>
        </w:rPr>
        <w:t xml:space="preserve"> </w:t>
      </w:r>
      <w:r>
        <w:rPr>
          <w:lang w:val="en-GB"/>
        </w:rPr>
        <w:t>“</w:t>
      </w:r>
      <w:r w:rsidRPr="00664C5F">
        <w:rPr>
          <w:lang w:val="en-GB"/>
        </w:rPr>
        <w:t xml:space="preserve">Action Point 12 of the Wind Power Package commits the EU to “protect the internal market against trade distortions and threat to security and public order”. The Commission has since been monitoring potential trade distortions and unfair subsidies which benefit foreign wind turbine manufacturers. </w:t>
      </w:r>
      <w:r w:rsidRPr="00664C5F">
        <w:rPr>
          <w:lang w:val="en-GB"/>
        </w:rPr>
        <w:lastRenderedPageBreak/>
        <w:t>Point 12 says “if justified, the Commission will activate its trade defence instruments” to protect the European wind industry from unfair competition.</w:t>
      </w:r>
      <w:r>
        <w:rPr>
          <w:lang w:val="en-GB"/>
        </w:rPr>
        <w:t>”</w:t>
      </w:r>
      <w:r>
        <w:rPr>
          <w:rStyle w:val="Funotenzeichen"/>
          <w:lang w:val="en-GB"/>
        </w:rPr>
        <w:footnoteReference w:id="2240"/>
      </w:r>
    </w:p>
    <w:p w14:paraId="482B6906" w14:textId="77777777" w:rsidR="002C057C" w:rsidRPr="00664C5F" w:rsidRDefault="002C057C" w:rsidP="002C057C">
      <w:pPr>
        <w:rPr>
          <w:lang w:val="en-GB"/>
        </w:rPr>
      </w:pPr>
    </w:p>
    <w:tbl>
      <w:tblPr>
        <w:tblStyle w:val="Tabellenraster"/>
        <w:tblW w:w="0" w:type="auto"/>
        <w:tblLook w:val="04A0" w:firstRow="1" w:lastRow="0" w:firstColumn="1" w:lastColumn="0" w:noHBand="0" w:noVBand="1"/>
      </w:tblPr>
      <w:tblGrid>
        <w:gridCol w:w="9062"/>
      </w:tblGrid>
      <w:tr w:rsidR="002C057C" w14:paraId="4C714FD6" w14:textId="77777777" w:rsidTr="006660FE">
        <w:tc>
          <w:tcPr>
            <w:tcW w:w="9062" w:type="dxa"/>
          </w:tcPr>
          <w:p w14:paraId="4468F1AF" w14:textId="77777777" w:rsidR="002C057C" w:rsidRDefault="002C057C" w:rsidP="006660FE">
            <w:r>
              <w:t>Beispiele für aktuelle handelspolitische Maßnahmen im Bereich Windkraft:</w:t>
            </w:r>
          </w:p>
          <w:p w14:paraId="090C8CA3" w14:textId="77777777" w:rsidR="002C057C" w:rsidRDefault="002C057C" w:rsidP="006660FE"/>
          <w:p w14:paraId="417BF652" w14:textId="226C62A5" w:rsidR="002C057C" w:rsidRDefault="002C057C" w:rsidP="006660FE">
            <w:bookmarkStart w:id="116" w:name="_Hlk200383834"/>
            <w:r>
              <w:t xml:space="preserve">Am 09.04.2024 hat die Europäische Kommission eine Untersuchung nach der Foreign </w:t>
            </w:r>
            <w:proofErr w:type="spellStart"/>
            <w:r>
              <w:t>Subsidies</w:t>
            </w:r>
            <w:proofErr w:type="spellEnd"/>
            <w:r>
              <w:t xml:space="preserve"> Regulation</w:t>
            </w:r>
            <w:r w:rsidR="00C314E6">
              <w:rPr>
                <w:rStyle w:val="Funotenzeichen"/>
              </w:rPr>
              <w:footnoteReference w:id="2241"/>
            </w:r>
            <w:r>
              <w:t xml:space="preserve"> gegen Hersteller chinesischer Windturbinen eingeleitet. Sie würden um 50 % günstiger angeboten werden als europäische Produkte.</w:t>
            </w:r>
            <w:r>
              <w:rPr>
                <w:rStyle w:val="Funotenzeichen"/>
              </w:rPr>
              <w:footnoteReference w:id="2242"/>
            </w:r>
            <w:r>
              <w:t xml:space="preserve"> Dazu kommt, dass China eine besonders günstige Finanzierung anbietet, bei der man in den ersten 3 Jahren nichts zurückzahlen muss.</w:t>
            </w:r>
            <w:r>
              <w:rPr>
                <w:rStyle w:val="Funotenzeichen"/>
              </w:rPr>
              <w:footnoteReference w:id="2243"/>
            </w:r>
            <w:r>
              <w:t xml:space="preserve"> </w:t>
            </w:r>
          </w:p>
          <w:p w14:paraId="4BA58EF7" w14:textId="50C24304" w:rsidR="002C057C" w:rsidRPr="00664C5F" w:rsidRDefault="002C057C" w:rsidP="006660FE">
            <w:r w:rsidRPr="00664C5F">
              <w:t xml:space="preserve">Die Foreign </w:t>
            </w:r>
            <w:proofErr w:type="spellStart"/>
            <w:r w:rsidRPr="00664C5F">
              <w:t>Subsidies</w:t>
            </w:r>
            <w:proofErr w:type="spellEnd"/>
            <w:r w:rsidRPr="00664C5F">
              <w:t xml:space="preserve"> Regulation findet </w:t>
            </w:r>
            <w:r>
              <w:t>sich im Bereich der Wettbewerbspolitik der EU.</w:t>
            </w:r>
            <w:r>
              <w:rPr>
                <w:rStyle w:val="Funotenzeichen"/>
              </w:rPr>
              <w:footnoteReference w:id="2244"/>
            </w:r>
            <w:r>
              <w:t xml:space="preserve"> </w:t>
            </w:r>
            <w:r w:rsidR="00C314E6">
              <w:t xml:space="preserve">Mit der Foreign </w:t>
            </w:r>
            <w:proofErr w:type="spellStart"/>
            <w:r w:rsidR="00C314E6">
              <w:t>Subsidies</w:t>
            </w:r>
            <w:proofErr w:type="spellEnd"/>
            <w:r w:rsidR="00C314E6">
              <w:t xml:space="preserve"> Regulation hat die </w:t>
            </w:r>
            <w:proofErr w:type="gramStart"/>
            <w:r w:rsidR="00C314E6">
              <w:t>EU Kommission</w:t>
            </w:r>
            <w:proofErr w:type="gramEnd"/>
            <w:r w:rsidR="00C314E6">
              <w:t xml:space="preserve"> die Möglichkeit diverse Maßnahmen zu ergreifen, etwa bei einer Firmenübernahmen den Verkauf von Firmenteilen zu fordern, wie bei der Fusionskontrolle, sie kann Transaktionen auch ganz untersagen.</w:t>
            </w:r>
            <w:r w:rsidR="00C314E6">
              <w:rPr>
                <w:rStyle w:val="Funotenzeichen"/>
              </w:rPr>
              <w:footnoteReference w:id="2245"/>
            </w:r>
            <w:r w:rsidR="00C314E6">
              <w:t xml:space="preserve"> </w:t>
            </w:r>
            <w:r>
              <w:t xml:space="preserve">Siehe für Auslandsinvestitionen auch die: </w:t>
            </w:r>
            <w:r w:rsidRPr="00664C5F">
              <w:t>Investment Screening Webseite der EU.</w:t>
            </w:r>
            <w:r>
              <w:rPr>
                <w:rStyle w:val="Funotenzeichen"/>
              </w:rPr>
              <w:footnoteReference w:id="2246"/>
            </w:r>
          </w:p>
          <w:p w14:paraId="296A7824" w14:textId="77777777" w:rsidR="002C057C" w:rsidRPr="00664C5F" w:rsidRDefault="002C057C" w:rsidP="006660FE"/>
          <w:p w14:paraId="748FD1D2" w14:textId="77777777" w:rsidR="002C057C" w:rsidRDefault="002C057C" w:rsidP="006660FE">
            <w:r>
              <w:t>Es gibt seit 17.12.2021 einen endgültigen Antidumpingzoll auf Windkrafttürme mit Ursprung in China, der Zoll beträgt bis zu 19,2 % des CIF-Warenwertes.</w:t>
            </w:r>
            <w:r>
              <w:rPr>
                <w:rStyle w:val="Funotenzeichen"/>
              </w:rPr>
              <w:footnoteReference w:id="2247"/>
            </w:r>
            <w:bookmarkEnd w:id="116"/>
          </w:p>
        </w:tc>
      </w:tr>
    </w:tbl>
    <w:p w14:paraId="3210A9F9" w14:textId="77777777" w:rsidR="002C057C" w:rsidRDefault="002C057C" w:rsidP="002C057C"/>
    <w:p w14:paraId="1CDC8CC2" w14:textId="06A82704" w:rsidR="004458DB" w:rsidRDefault="002C057C" w:rsidP="002C057C">
      <w:r>
        <w:t xml:space="preserve">Aus meiner Sicht wäre im Bereich Windkraft </w:t>
      </w:r>
      <w:r w:rsidR="004458DB">
        <w:t xml:space="preserve">anzustreben, den </w:t>
      </w:r>
      <w:proofErr w:type="gramStart"/>
      <w:r w:rsidR="004458DB">
        <w:t>EU Markt</w:t>
      </w:r>
      <w:proofErr w:type="gramEnd"/>
      <w:r w:rsidR="004458DB">
        <w:t xml:space="preserve"> weiterhin zu</w:t>
      </w:r>
      <w:r>
        <w:t xml:space="preserve"> 100 % </w:t>
      </w:r>
      <w:r w:rsidR="004458DB">
        <w:t>von heimischen Produzenten zu beliefern.</w:t>
      </w:r>
      <w:r>
        <w:t xml:space="preserve"> </w:t>
      </w:r>
      <w:r w:rsidR="004458DB">
        <w:t xml:space="preserve">Dazu braucht man letztlich bei Windkraft nur handelspolitische Maßnahmen. </w:t>
      </w:r>
      <w:r w:rsidR="00BC3223">
        <w:t>Nur die Turbinen mit</w:t>
      </w:r>
      <w:r>
        <w:t xml:space="preserve"> Neodym-Magnete</w:t>
      </w:r>
      <w:r w:rsidR="00BC3223">
        <w:t xml:space="preserve"> müssen weiter importiert werden</w:t>
      </w:r>
      <w:r>
        <w:t>, wenn wir es mit der Resilienz ernst meinen</w:t>
      </w:r>
      <w:r w:rsidR="00BC3223">
        <w:t xml:space="preserve"> – und dann jedenfalls auch Windkraftanlagen mit Eisenmagneten produziert werden, um davon nicht abhängig zu sein.</w:t>
      </w:r>
      <w:r>
        <w:t xml:space="preserve"> </w:t>
      </w:r>
    </w:p>
    <w:p w14:paraId="21B3CAAE" w14:textId="77777777" w:rsidR="004458DB" w:rsidRDefault="004458DB" w:rsidP="002C057C"/>
    <w:tbl>
      <w:tblPr>
        <w:tblStyle w:val="Tabellenraster"/>
        <w:tblW w:w="0" w:type="auto"/>
        <w:tblLook w:val="04A0" w:firstRow="1" w:lastRow="0" w:firstColumn="1" w:lastColumn="0" w:noHBand="0" w:noVBand="1"/>
      </w:tblPr>
      <w:tblGrid>
        <w:gridCol w:w="9062"/>
      </w:tblGrid>
      <w:tr w:rsidR="004458DB" w14:paraId="2BE9AB06" w14:textId="77777777">
        <w:tc>
          <w:tcPr>
            <w:tcW w:w="9062" w:type="dxa"/>
          </w:tcPr>
          <w:p w14:paraId="6AADE2FB" w14:textId="56BE067D" w:rsidR="004458DB" w:rsidRDefault="004458DB" w:rsidP="002C057C">
            <w:r>
              <w:t>Wenn man mit China in Verhandlung</w:t>
            </w:r>
            <w:r w:rsidR="0033754D">
              <w:t>en</w:t>
            </w:r>
            <w:r>
              <w:t xml:space="preserve"> einen ‚</w:t>
            </w:r>
            <w:proofErr w:type="spellStart"/>
            <w:r>
              <w:t>bargain</w:t>
            </w:r>
            <w:proofErr w:type="spellEnd"/>
            <w:r>
              <w:t>‘</w:t>
            </w:r>
            <w:r w:rsidR="0033754D">
              <w:t xml:space="preserve"> anbieten möchte</w:t>
            </w:r>
            <w:r>
              <w:t xml:space="preserve"> bzw. einen politischen Kompromiss finden will, dann kann man 10 % des EU-Windkraftmarktes für China öffnen, aber bitte ohne Teilehandel, mit Windkraftanlagen, die 100 % China enthalten, eingeschlossen der Turbinen, </w:t>
            </w:r>
            <w:r w:rsidRPr="004458DB">
              <w:rPr>
                <w:u w:val="single"/>
              </w:rPr>
              <w:t>um die Übersicht zu behalten</w:t>
            </w:r>
            <w:r>
              <w:t xml:space="preserve">. </w:t>
            </w:r>
          </w:p>
        </w:tc>
      </w:tr>
    </w:tbl>
    <w:p w14:paraId="1DEEF03F" w14:textId="77777777" w:rsidR="002C057C" w:rsidRDefault="002C057C" w:rsidP="002C057C"/>
    <w:p w14:paraId="0631EACE" w14:textId="46D6404D" w:rsidR="002C057C" w:rsidRDefault="002C057C" w:rsidP="002C057C">
      <w:r>
        <w:t>Neodym Magnete für Windenergie-Turbinen</w:t>
      </w:r>
      <w:r w:rsidR="001C07B8">
        <w:t xml:space="preserve">. </w:t>
      </w:r>
      <w:r>
        <w:t xml:space="preserve">Bei Neodym-Magneten ist ein Aufbau europäischer Produktion nur schwer möglich, siehe Teil 1, hier gibt es Vorkommen auch in den USA, Australien, Myanmar und anderen Ländern, aber die Weiterverarbeitung der Rohstoffe, auch der aus den USA und die Magnetproduktion wird </w:t>
      </w:r>
      <w:proofErr w:type="spellStart"/>
      <w:r>
        <w:t>großteils</w:t>
      </w:r>
      <w:proofErr w:type="spellEnd"/>
      <w:r>
        <w:t xml:space="preserve"> in China durchgeführt, obwohl auch hier andere Länder eine Rolle spielen: 92 % der Magnete stellt China her, 8 % Japan.</w:t>
      </w:r>
      <w:r>
        <w:rPr>
          <w:rStyle w:val="Funotenzeichen"/>
        </w:rPr>
        <w:footnoteReference w:id="2248"/>
      </w:r>
      <w:r>
        <w:t xml:space="preserve"> In Europa gibt es </w:t>
      </w:r>
      <w:r w:rsidR="0023400B">
        <w:t xml:space="preserve">seltene Erden </w:t>
      </w:r>
      <w:r w:rsidR="0023400B">
        <w:lastRenderedPageBreak/>
        <w:t>bzw. Neodym-</w:t>
      </w:r>
      <w:r>
        <w:t xml:space="preserve">Vorkommen in Schweden, in Kiruna in </w:t>
      </w:r>
      <w:proofErr w:type="spellStart"/>
      <w:r>
        <w:t>Bastnäs</w:t>
      </w:r>
      <w:proofErr w:type="spellEnd"/>
      <w:r>
        <w:t>, in Grönland, in Norwegen und Finnland wird erkundet, es gibt kleinere Vorkommen in Sachsen.</w:t>
      </w:r>
      <w:r>
        <w:rPr>
          <w:rStyle w:val="Funotenzeichen"/>
        </w:rPr>
        <w:footnoteReference w:id="2249"/>
      </w:r>
      <w:r>
        <w:t xml:space="preserve"> In Kiruna gibt es ca. 1 Mill. Tonnen</w:t>
      </w:r>
      <w:r>
        <w:rPr>
          <w:rStyle w:val="Funotenzeichen"/>
        </w:rPr>
        <w:footnoteReference w:id="2250"/>
      </w:r>
      <w:r>
        <w:t xml:space="preserve">, dies ist aber nicht viel. In diesem Fall könnte </w:t>
      </w:r>
      <w:r w:rsidRPr="00A23F61">
        <w:t>Japan oder die USA unterstützt werden, wenn diese eine Seltene Erden Produktion und Neodym-Magnete</w:t>
      </w:r>
      <w:r>
        <w:t>-</w:t>
      </w:r>
      <w:r w:rsidRPr="00A23F61">
        <w:t>Fertigung aufbauen.</w:t>
      </w:r>
      <w:r>
        <w:t xml:space="preserve"> Die Firma </w:t>
      </w:r>
      <w:proofErr w:type="spellStart"/>
      <w:r>
        <w:t>Vaccumschmelze</w:t>
      </w:r>
      <w:proofErr w:type="spellEnd"/>
      <w:r>
        <w:t xml:space="preserve"> in Hanau stellt </w:t>
      </w:r>
      <w:proofErr w:type="spellStart"/>
      <w:r>
        <w:t>Neodymmagnete</w:t>
      </w:r>
      <w:proofErr w:type="spellEnd"/>
      <w:r>
        <w:t xml:space="preserve"> her.</w:t>
      </w:r>
      <w:r>
        <w:rPr>
          <w:rStyle w:val="Funotenzeichen"/>
        </w:rPr>
        <w:footnoteReference w:id="2251"/>
      </w:r>
      <w:r>
        <w:t xml:space="preserve"> Die Weiterverarbeitung der Rohstoffe ist kein Geheimnis, obwohl hier China viel mehr Erfahrung als andere hat. Bei der Magnetherstellung gibt es Patente der japanischen Firmen Hitachi und Shin Etsu, die Probleme beim Aufbau einer neuen Magnetherstellung machen können.</w:t>
      </w:r>
      <w:r>
        <w:rPr>
          <w:rStyle w:val="Funotenzeichen"/>
        </w:rPr>
        <w:footnoteReference w:id="2252"/>
      </w:r>
      <w:r>
        <w:t xml:space="preserve"> </w:t>
      </w:r>
    </w:p>
    <w:p w14:paraId="44098C25" w14:textId="77777777" w:rsidR="002C057C" w:rsidRDefault="002C057C" w:rsidP="002C057C"/>
    <w:p w14:paraId="3D5240D5" w14:textId="77777777" w:rsidR="002C057C" w:rsidRPr="004A4580" w:rsidRDefault="002C057C" w:rsidP="002C057C">
      <w:r>
        <w:t xml:space="preserve">Die USA hat bei Neodym-Magneten mehrere Maßnahmen ergriffen, u.a. mit der Begründung, dass hier die nationale Sicherheit berührt wird. </w:t>
      </w:r>
      <w:r w:rsidRPr="0099494D">
        <w:t xml:space="preserve">Der Inflation </w:t>
      </w:r>
      <w:proofErr w:type="spellStart"/>
      <w:r w:rsidRPr="0099494D">
        <w:t>Reduction</w:t>
      </w:r>
      <w:proofErr w:type="spellEnd"/>
      <w:r w:rsidRPr="0099494D">
        <w:t xml:space="preserve"> Act der USA erst</w:t>
      </w:r>
      <w:r>
        <w:t>reckt sich auch auf Magnete, mit Steuergutschriften von US$ 20/kg für Magnete, die in den USA produziert sind und US$ 30/kg, wenn die Rohstoffe aus amerikanischen Minen stammen.</w:t>
      </w:r>
      <w:r>
        <w:rPr>
          <w:rStyle w:val="Funotenzeichen"/>
        </w:rPr>
        <w:footnoteReference w:id="2253"/>
      </w:r>
      <w:r>
        <w:t xml:space="preserve"> In der USA wird es so gesehen, das aufgrund der breiten Anwendung der Magneten in Motoren, darunter auch in Motoren für die Verteidigungsindustrie, viele Bereiche berührt werden: saubere Energie, nationale Sicherheit und wirtschaftlicher Wohlstand.</w:t>
      </w:r>
      <w:r>
        <w:rPr>
          <w:rStyle w:val="Funotenzeichen"/>
        </w:rPr>
        <w:footnoteReference w:id="2254"/>
      </w:r>
      <w:r>
        <w:t xml:space="preserve"> Deshalb ist Titel III des Defense </w:t>
      </w:r>
      <w:proofErr w:type="spellStart"/>
      <w:r>
        <w:t>Production</w:t>
      </w:r>
      <w:proofErr w:type="spellEnd"/>
      <w:r>
        <w:t xml:space="preserve"> Act ist aktiviert worden, um Seltene Erden und Neodym Magnete Projekte zu fördern, dabei sind Abkommen mit der Industrie geschlossen worden, ebenfalls sind US$ 30 Mill. für die Forschungsförderung für 13 Laboratorien und Universitäten 2021 eingeräumt worden.</w:t>
      </w:r>
      <w:r>
        <w:rPr>
          <w:rStyle w:val="Funotenzeichen"/>
        </w:rPr>
        <w:footnoteReference w:id="2255"/>
      </w:r>
      <w:r>
        <w:t xml:space="preserve"> </w:t>
      </w:r>
      <w:r w:rsidRPr="00DD0E04">
        <w:rPr>
          <w:lang w:val="en-GB"/>
        </w:rPr>
        <w:t xml:space="preserve">Die USA </w:t>
      </w:r>
      <w:proofErr w:type="spellStart"/>
      <w:r w:rsidRPr="00DD0E04">
        <w:rPr>
          <w:lang w:val="en-GB"/>
        </w:rPr>
        <w:t>verfügt</w:t>
      </w:r>
      <w:proofErr w:type="spellEnd"/>
      <w:r w:rsidRPr="00DD0E04">
        <w:rPr>
          <w:lang w:val="en-GB"/>
        </w:rPr>
        <w:t xml:space="preserve"> </w:t>
      </w:r>
      <w:proofErr w:type="spellStart"/>
      <w:r w:rsidRPr="00DD0E04">
        <w:rPr>
          <w:lang w:val="en-GB"/>
        </w:rPr>
        <w:t>über</w:t>
      </w:r>
      <w:proofErr w:type="spellEnd"/>
      <w:r w:rsidRPr="00DD0E04">
        <w:rPr>
          <w:lang w:val="en-GB"/>
        </w:rPr>
        <w:t xml:space="preserve"> </w:t>
      </w:r>
      <w:proofErr w:type="spellStart"/>
      <w:r w:rsidRPr="00DD0E04">
        <w:rPr>
          <w:lang w:val="en-GB"/>
        </w:rPr>
        <w:t>eine</w:t>
      </w:r>
      <w:proofErr w:type="spellEnd"/>
      <w:r w:rsidRPr="00DD0E04">
        <w:rPr>
          <w:lang w:val="en-GB"/>
        </w:rPr>
        <w:t xml:space="preserve"> Federal Strategy to Ensure Secure and Reliable Supplies of</w:t>
      </w:r>
      <w:r>
        <w:rPr>
          <w:lang w:val="en-GB"/>
        </w:rPr>
        <w:t xml:space="preserve"> Critical Minerals, DOC, 2019. </w:t>
      </w:r>
      <w:proofErr w:type="spellStart"/>
      <w:r>
        <w:rPr>
          <w:lang w:val="en-GB"/>
        </w:rPr>
        <w:t>Diese</w:t>
      </w:r>
      <w:proofErr w:type="spellEnd"/>
      <w:r>
        <w:rPr>
          <w:lang w:val="en-GB"/>
        </w:rPr>
        <w:t xml:space="preserve"> </w:t>
      </w:r>
      <w:proofErr w:type="spellStart"/>
      <w:r>
        <w:rPr>
          <w:lang w:val="en-GB"/>
        </w:rPr>
        <w:t>wird</w:t>
      </w:r>
      <w:proofErr w:type="spellEnd"/>
      <w:r>
        <w:rPr>
          <w:lang w:val="en-GB"/>
        </w:rPr>
        <w:t xml:space="preserve"> </w:t>
      </w:r>
      <w:proofErr w:type="spellStart"/>
      <w:r>
        <w:rPr>
          <w:lang w:val="en-GB"/>
        </w:rPr>
        <w:t>umgesetzt</w:t>
      </w:r>
      <w:proofErr w:type="spellEnd"/>
      <w:r>
        <w:rPr>
          <w:lang w:val="en-GB"/>
        </w:rPr>
        <w:t xml:space="preserve"> </w:t>
      </w:r>
      <w:proofErr w:type="spellStart"/>
      <w:r>
        <w:rPr>
          <w:lang w:val="en-GB"/>
        </w:rPr>
        <w:t>vom</w:t>
      </w:r>
      <w:proofErr w:type="spellEnd"/>
      <w:r>
        <w:rPr>
          <w:lang w:val="en-GB"/>
        </w:rPr>
        <w:t xml:space="preserve"> National Science and Technology Council (NSTC) on Homeland and National Security.</w:t>
      </w:r>
      <w:r>
        <w:rPr>
          <w:rStyle w:val="Funotenzeichen"/>
          <w:lang w:val="en-GB"/>
        </w:rPr>
        <w:footnoteReference w:id="2256"/>
      </w:r>
      <w:r>
        <w:rPr>
          <w:lang w:val="en-GB"/>
        </w:rPr>
        <w:t xml:space="preserve"> </w:t>
      </w:r>
      <w:r w:rsidRPr="004A4580">
        <w:t xml:space="preserve">2021 ist weiterhin eine Untersuchung des U.S. </w:t>
      </w:r>
      <w:proofErr w:type="spellStart"/>
      <w:r w:rsidRPr="004A4580">
        <w:t>Secretary</w:t>
      </w:r>
      <w:proofErr w:type="spellEnd"/>
      <w:r w:rsidRPr="004A4580">
        <w:t xml:space="preserve"> </w:t>
      </w:r>
      <w:proofErr w:type="spellStart"/>
      <w:r w:rsidRPr="004A4580">
        <w:t>of</w:t>
      </w:r>
      <w:proofErr w:type="spellEnd"/>
      <w:r w:rsidRPr="004A4580">
        <w:t xml:space="preserve"> Com</w:t>
      </w:r>
      <w:r>
        <w:t xml:space="preserve">merce eingeleitet worden, ob </w:t>
      </w:r>
      <w:proofErr w:type="spellStart"/>
      <w:r>
        <w:t>Section</w:t>
      </w:r>
      <w:proofErr w:type="spellEnd"/>
      <w:r>
        <w:t xml:space="preserve"> 232 des Trade Expansion Act von 1962 in dieser Hinsicht aktiviert werden kann.</w:t>
      </w:r>
      <w:r>
        <w:rPr>
          <w:rStyle w:val="Funotenzeichen"/>
        </w:rPr>
        <w:footnoteReference w:id="2257"/>
      </w:r>
      <w:r w:rsidRPr="004A4580">
        <w:t xml:space="preserve"> </w:t>
      </w:r>
    </w:p>
    <w:p w14:paraId="178DF99B" w14:textId="77777777" w:rsidR="002C057C" w:rsidRDefault="002C057C" w:rsidP="002C057C"/>
    <w:p w14:paraId="3CAD7B10" w14:textId="49F2BA70" w:rsidR="002C057C" w:rsidRDefault="004D0B86" w:rsidP="002C057C">
      <w:r>
        <w:t xml:space="preserve">USA: </w:t>
      </w:r>
      <w:r w:rsidR="002C057C">
        <w:t xml:space="preserve">Es gibt auch Möglichkeiten, wie Firmen Investitionsrisiken in direkter Art und Weise, mit Verträgen untereinander, abmildern (ohne den Staat, siehe </w:t>
      </w:r>
      <w:proofErr w:type="spellStart"/>
      <w:r w:rsidR="002C057C">
        <w:t>Coase</w:t>
      </w:r>
      <w:proofErr w:type="spellEnd"/>
      <w:r w:rsidR="002C057C">
        <w:t xml:space="preserve"> und Williamson). Dafür ist der Bereich seltene Erden in den USA ein gutes Beispiel, hier investieren etwa Firmen Upstream, also Windenergiefirmen und E-Auto-Firmen beginnen in den USA selbst Neodym-Magnete herzustellen bzw. sogar in Minen und die Separierung der Seltenen Erden zu investieren. Beispiel Langzeitabnahmeverträge von Firmen untereinander, die bis zur Weiterverarbeitung und den Minen reichen.</w:t>
      </w:r>
      <w:r w:rsidR="002C057C">
        <w:rPr>
          <w:rStyle w:val="Funotenzeichen"/>
        </w:rPr>
        <w:footnoteReference w:id="2258"/>
      </w:r>
      <w:r w:rsidR="002C057C">
        <w:t xml:space="preserve"> Es könnte Kooperationen zwischen Minen, Weiterverarbeitern und Windenergie und E-Auto-Firmen und Regierungen geben.</w:t>
      </w:r>
      <w:r w:rsidR="002C057C">
        <w:rPr>
          <w:rStyle w:val="Funotenzeichen"/>
        </w:rPr>
        <w:footnoteReference w:id="2259"/>
      </w:r>
      <w:r w:rsidR="002C057C">
        <w:t xml:space="preserve"> Dennoch ist es im Minenbereich sinnvoll, </w:t>
      </w:r>
      <w:r w:rsidR="0023400B">
        <w:t>dass</w:t>
      </w:r>
      <w:r w:rsidR="002C057C">
        <w:t xml:space="preserve"> sich der Staat engagiert, viele Betreiber neuer Minen sind Start-Ups bzw. auf Deutsch windige Spekulanten, die nicht einmal sicher sind, auf wie vielen Rohstoffen sie sitzen und die deshalb nicht genügend Kapital </w:t>
      </w:r>
      <w:r w:rsidR="002C057C">
        <w:lastRenderedPageBreak/>
        <w:t>haben, um die Exploration zu star</w:t>
      </w:r>
      <w:r w:rsidR="0023400B">
        <w:t>t</w:t>
      </w:r>
      <w:r w:rsidR="002C057C">
        <w:t>en.</w:t>
      </w:r>
      <w:r w:rsidR="002C057C">
        <w:rPr>
          <w:rStyle w:val="Funotenzeichen"/>
        </w:rPr>
        <w:footnoteReference w:id="2260"/>
      </w:r>
      <w:r w:rsidR="002C057C">
        <w:t xml:space="preserve"> Erst wenn die Preise ganz stark ansteigen und der Ausblick 100 %</w:t>
      </w:r>
      <w:proofErr w:type="spellStart"/>
      <w:r w:rsidR="002C057C">
        <w:t>tig</w:t>
      </w:r>
      <w:proofErr w:type="spellEnd"/>
      <w:r w:rsidR="002C057C">
        <w:t xml:space="preserve"> ist, steigen typischerweise Wall-Street Investoren ein. </w:t>
      </w:r>
    </w:p>
    <w:p w14:paraId="6656E0CA" w14:textId="77777777" w:rsidR="002C057C" w:rsidRDefault="002C057C" w:rsidP="002C057C"/>
    <w:p w14:paraId="2DFA8644" w14:textId="3FE4ADD7" w:rsidR="002C057C" w:rsidRDefault="002C057C" w:rsidP="002C057C">
      <w:r>
        <w:t>Mein Vorschl</w:t>
      </w:r>
      <w:r w:rsidR="00766E70">
        <w:t>a</w:t>
      </w:r>
      <w:r>
        <w:t xml:space="preserve">g wäre eine drakonische Maßnahme: die Firmen in der EU sollten per Gesetz gezwungen werden, ihre Abhängigkeit von Neodym Magneten zu reduzieren, in dem sie </w:t>
      </w:r>
      <w:r w:rsidR="00766E70">
        <w:t>in einem Teil ihrer Wind</w:t>
      </w:r>
      <w:r w:rsidR="00E66F89">
        <w:t>kraftanlagen bzw. Turbinen</w:t>
      </w:r>
      <w:r w:rsidR="00084B52">
        <w:t>,</w:t>
      </w:r>
      <w:r w:rsidR="00766E70">
        <w:t xml:space="preserve"> </w:t>
      </w:r>
      <w:r w:rsidR="00084B52">
        <w:t xml:space="preserve">z.B. 50 %, </w:t>
      </w:r>
      <w:r w:rsidR="00766E70">
        <w:t>selbsterregten Eisenmagnete ein</w:t>
      </w:r>
      <w:r w:rsidR="00E66F89">
        <w:t>setzen</w:t>
      </w:r>
      <w:r w:rsidR="00766E70">
        <w:t>, siehe die Enercon Anlage E-126.</w:t>
      </w:r>
      <w:r w:rsidR="00766E70">
        <w:rPr>
          <w:rStyle w:val="Funotenzeichen"/>
        </w:rPr>
        <w:footnoteReference w:id="2261"/>
      </w:r>
      <w:r w:rsidR="00766E70">
        <w:t xml:space="preserve"> Dies könnte man </w:t>
      </w:r>
      <w:r w:rsidR="00E66F89">
        <w:t xml:space="preserve">z.B. </w:t>
      </w:r>
      <w:r w:rsidR="00766E70">
        <w:t>durch eine Art Resilienz-Quote erreichen. S</w:t>
      </w:r>
      <w:r w:rsidR="009E3B9C">
        <w:t>innvoll</w:t>
      </w:r>
      <w:r w:rsidR="00766E70">
        <w:t xml:space="preserve"> wäre </w:t>
      </w:r>
      <w:r w:rsidR="00271EFA">
        <w:t>weiterhin</w:t>
      </w:r>
      <w:r w:rsidR="00766E70">
        <w:t xml:space="preserve">, wenn die </w:t>
      </w:r>
      <w:proofErr w:type="gramStart"/>
      <w:r w:rsidR="00766E70">
        <w:t>EU</w:t>
      </w:r>
      <w:r w:rsidR="00271EFA">
        <w:t xml:space="preserve"> Windindustrie</w:t>
      </w:r>
      <w:proofErr w:type="gramEnd"/>
      <w:r w:rsidR="00766E70">
        <w:t xml:space="preserve"> ein</w:t>
      </w:r>
      <w:r>
        <w:t xml:space="preserve"> einfaches, kostengünstiges Landwind Modell</w:t>
      </w:r>
      <w:r w:rsidR="00766E70">
        <w:t xml:space="preserve"> produzieren könnte, das vielleicht sogar von allen Herstellern in</w:t>
      </w:r>
      <w:r w:rsidR="00E66F89">
        <w:t xml:space="preserve"> gleicher</w:t>
      </w:r>
      <w:r w:rsidR="00766E70">
        <w:t xml:space="preserve"> Form </w:t>
      </w:r>
      <w:r>
        <w:t>produzier</w:t>
      </w:r>
      <w:r w:rsidR="00766E70">
        <w:t xml:space="preserve">t wird, um Kostenvorteile durch die Standardisierung von Komponenten zu erreichen. Und zwar nicht, damit diese Komponenten dann aus China billig importiert werden können, nein, damit diese Komponenten in Europa durch Massenfertigung günstig hergestellt werden können. </w:t>
      </w:r>
      <w:r w:rsidR="00E66F89" w:rsidRPr="00E66F89">
        <w:rPr>
          <w:u w:val="single"/>
        </w:rPr>
        <w:t>Warum eigentlich? Weil die Windkraft-Industrie ihre Kapazität um den Faktor 10 erhöhen muss, um eine ernstzunehmende Ausbaugeschwindigkeit erreichen zu können</w:t>
      </w:r>
      <w:r w:rsidR="00E66F89">
        <w:t xml:space="preserve">. </w:t>
      </w:r>
      <w:r w:rsidR="00084B52">
        <w:t>Man müsste</w:t>
      </w:r>
      <w:r w:rsidR="00E66F89">
        <w:t xml:space="preserve"> </w:t>
      </w:r>
      <w:r w:rsidR="00084B52">
        <w:t xml:space="preserve">sich darauf konzentrieren </w:t>
      </w:r>
      <w:r w:rsidR="00E66F89">
        <w:t>schnell mehr Windkraftanalgen günstig her</w:t>
      </w:r>
      <w:r w:rsidR="00084B52">
        <w:t>zu</w:t>
      </w:r>
      <w:r w:rsidR="00E66F89">
        <w:t xml:space="preserve">stellen kann. Die Firmen können dies natürlich auch gerne freiwillig machen. </w:t>
      </w:r>
      <w:r w:rsidR="00766E70">
        <w:t xml:space="preserve">Auch hier gibt sicher Möglichkeiten, wie man dies rechtlich umsetzen kann, man muss nur wollen. </w:t>
      </w:r>
      <w:r w:rsidR="00271EFA">
        <w:t>Fakt ist,</w:t>
      </w:r>
      <w:r w:rsidR="00E66F89">
        <w:t xml:space="preserve"> dass</w:t>
      </w:r>
      <w:r w:rsidR="00271EFA">
        <w:t xml:space="preserve"> erneuerbare Energien derzeit genauso teuer</w:t>
      </w:r>
      <w:r w:rsidR="00E66F89">
        <w:t xml:space="preserve"> sind</w:t>
      </w:r>
      <w:r w:rsidR="00271EFA">
        <w:t>, dass sie uns damit ärgern</w:t>
      </w:r>
      <w:r w:rsidR="00E66F89">
        <w:t>:</w:t>
      </w:r>
      <w:r w:rsidR="00271EFA">
        <w:t xml:space="preserve"> </w:t>
      </w:r>
      <w:r w:rsidR="00E66F89">
        <w:t>E</w:t>
      </w:r>
      <w:r w:rsidR="00271EFA">
        <w:t xml:space="preserve">ine Kostensenkung um ca. </w:t>
      </w:r>
      <w:r w:rsidR="00E66F89">
        <w:t>4</w:t>
      </w:r>
      <w:r w:rsidR="00271EFA">
        <w:t xml:space="preserve">0 % würde plötzlich die Finanzierung der </w:t>
      </w:r>
      <w:r w:rsidR="00E66F89">
        <w:t>erneuerbaren Energien P</w:t>
      </w:r>
      <w:r w:rsidR="00271EFA">
        <w:t xml:space="preserve">rojekte viel einfacher machen und die Wasserstoffpreise </w:t>
      </w:r>
      <w:r w:rsidR="00E66F89">
        <w:t xml:space="preserve">zumindest etwas </w:t>
      </w:r>
      <w:r w:rsidR="00271EFA">
        <w:t xml:space="preserve">absinken lassen, siehe die Rechnungen, z.B. </w:t>
      </w:r>
      <w:r w:rsidR="0023400B">
        <w:t xml:space="preserve">siehe </w:t>
      </w:r>
      <w:r w:rsidR="00E66F89">
        <w:t xml:space="preserve">in </w:t>
      </w:r>
      <w:r>
        <w:t xml:space="preserve">Teil 1, </w:t>
      </w:r>
      <w:r w:rsidR="00E66F89">
        <w:t xml:space="preserve">zum </w:t>
      </w:r>
      <w:r w:rsidR="0023400B">
        <w:t xml:space="preserve">Landwindpark </w:t>
      </w:r>
      <w:r>
        <w:t xml:space="preserve">Werder </w:t>
      </w:r>
      <w:proofErr w:type="spellStart"/>
      <w:r>
        <w:t>Kessin</w:t>
      </w:r>
      <w:proofErr w:type="spellEnd"/>
      <w:r w:rsidR="00772FB3">
        <w:t>.</w:t>
      </w:r>
      <w:r>
        <w:t xml:space="preserve"> </w:t>
      </w:r>
      <w:r w:rsidR="00E66F89">
        <w:t>Ein solches vereinfachtes</w:t>
      </w:r>
      <w:r>
        <w:t xml:space="preserve"> Modell </w:t>
      </w:r>
      <w:r w:rsidR="00084B52">
        <w:t xml:space="preserve">der Windkraftanlagen </w:t>
      </w:r>
      <w:r>
        <w:t xml:space="preserve">könnte i.S. von Technologietransfer </w:t>
      </w:r>
      <w:r w:rsidR="00E66F89">
        <w:t xml:space="preserve">auch </w:t>
      </w:r>
      <w:r>
        <w:t>in lateinamerikanischen und afrikanischen Ländern eingeführt werde</w:t>
      </w:r>
      <w:r w:rsidR="00772FB3">
        <w:t>n</w:t>
      </w:r>
      <w:r w:rsidR="00E66F89">
        <w:t xml:space="preserve">, etwa in einem Joint Venture, </w:t>
      </w:r>
      <w:r w:rsidR="00772FB3">
        <w:t xml:space="preserve">bzw. </w:t>
      </w:r>
      <w:r w:rsidR="00E66F89">
        <w:t xml:space="preserve">auch </w:t>
      </w:r>
      <w:r w:rsidR="00772FB3">
        <w:t>in Brasilien und Indien, die eine eigene Windkraftindustrie haben.</w:t>
      </w:r>
    </w:p>
    <w:p w14:paraId="7EFDB338" w14:textId="77777777" w:rsidR="002C057C" w:rsidRDefault="002C057C" w:rsidP="002C057C"/>
    <w:p w14:paraId="65D16759" w14:textId="6E9E9243" w:rsidR="002C057C" w:rsidRDefault="00E9298D" w:rsidP="002C057C">
      <w:r>
        <w:t>15.6.</w:t>
      </w:r>
      <w:r w:rsidR="001C07B8">
        <w:t>3</w:t>
      </w:r>
      <w:r>
        <w:t xml:space="preserve"> </w:t>
      </w:r>
      <w:r w:rsidR="002C057C">
        <w:t>Batterien</w:t>
      </w:r>
    </w:p>
    <w:p w14:paraId="2D76B2DA" w14:textId="77777777" w:rsidR="002C057C" w:rsidRDefault="002C057C" w:rsidP="002C057C"/>
    <w:p w14:paraId="3DB80FCA" w14:textId="4C276BB5" w:rsidR="002C057C" w:rsidRDefault="002C057C" w:rsidP="002C057C">
      <w:r>
        <w:t xml:space="preserve">Bei Batterien ist die Situation völlig anders. Hier sollte man </w:t>
      </w:r>
      <w:r w:rsidRPr="00934667">
        <w:rPr>
          <w:u w:val="single"/>
        </w:rPr>
        <w:t>keine handelspolitischen Schutzmaßnahmen einführen</w:t>
      </w:r>
      <w:r>
        <w:t>. Hier haben einige chinesische Batteriehersteller in Europa investiert, und es ist schon eine Zusammenarbeit unserer Firmen mit chinesischen Batterieherstellern entstanden (</w:t>
      </w:r>
      <w:proofErr w:type="gramStart"/>
      <w:r>
        <w:t>VW Zusammenarbeit</w:t>
      </w:r>
      <w:proofErr w:type="gramEnd"/>
      <w:r>
        <w:t xml:space="preserve"> mit CATL, engere Zusammenarbeit mit </w:t>
      </w:r>
      <w:proofErr w:type="spellStart"/>
      <w:r>
        <w:t>Gotion</w:t>
      </w:r>
      <w:proofErr w:type="spellEnd"/>
      <w:r>
        <w:t xml:space="preserve">). Hier würde eine reine Subventionierung heimischer Firmen, wenn man im eigenen Saft schmort, nichts helfen, weil China technologisch viel zu fortgeschritten ist, siehe das Scheitern von Northvolt. CATL produziert Deutschland und nutzt in Ungarn die niedrigeren Löhne. Bei handelspolitische Schutzbarrieren muss man in diesem Bereich vorsichtig sein, denn man will den chinesischen Produzenten in Europa nicht schaden, die bestimmt auch Vorprodukte aus China einführen. Siehe zu Batterien die Infos im Abschnitt Lithium </w:t>
      </w:r>
      <w:r w:rsidR="00772FB3">
        <w:t>in Teil 4</w:t>
      </w:r>
      <w:r>
        <w:t>.</w:t>
      </w:r>
    </w:p>
    <w:p w14:paraId="594293DE" w14:textId="77777777" w:rsidR="002C057C" w:rsidRDefault="002C057C" w:rsidP="002C057C"/>
    <w:p w14:paraId="6A2FA388" w14:textId="77777777" w:rsidR="002C057C" w:rsidRDefault="002C057C" w:rsidP="002C057C">
      <w:r>
        <w:t>China subventioniert Elektroautos und damit mittelbar auch Batterien. BYD hat zwischen 2018 und 2022 etwa 3,4 Mrd. Euro direkte staatliche Subventionen erhalten, besonders viel im Jahr 2022, 3,5 % des Umsatzes. Kaufprämien sind 2022 ausgelaufen, es gibt aber eine Erwerbssteuerbefreiung. Geschätzt wird, dass die Anreize im Sinne von Kaufprämien für vier Jahre bis 2022 insgesamt auf 68 Mrd. Euro belaufen haben.</w:t>
      </w:r>
      <w:r>
        <w:rPr>
          <w:rStyle w:val="Funotenzeichen"/>
        </w:rPr>
        <w:footnoteReference w:id="2262"/>
      </w:r>
      <w:r>
        <w:t xml:space="preserve">  </w:t>
      </w:r>
    </w:p>
    <w:p w14:paraId="40A18A39" w14:textId="77777777" w:rsidR="002C057C" w:rsidRDefault="002C057C" w:rsidP="002C057C"/>
    <w:p w14:paraId="453324E5" w14:textId="281B7A56" w:rsidR="00772FB3" w:rsidRDefault="00772FB3" w:rsidP="002C057C">
      <w:r>
        <w:t xml:space="preserve">Dieser Situation zum Trotz, hat die EU-Kommission eine Anti-Subventionsuntersuchung gegen E-Autos aus China eingeleitet. </w:t>
      </w:r>
    </w:p>
    <w:p w14:paraId="6C70BD0B" w14:textId="77777777" w:rsidR="00772FB3" w:rsidRDefault="00772FB3" w:rsidP="002C057C"/>
    <w:tbl>
      <w:tblPr>
        <w:tblStyle w:val="Tabellenraster"/>
        <w:tblW w:w="0" w:type="auto"/>
        <w:tblLook w:val="04A0" w:firstRow="1" w:lastRow="0" w:firstColumn="1" w:lastColumn="0" w:noHBand="0" w:noVBand="1"/>
      </w:tblPr>
      <w:tblGrid>
        <w:gridCol w:w="9062"/>
      </w:tblGrid>
      <w:tr w:rsidR="002C057C" w14:paraId="15F5205B" w14:textId="77777777" w:rsidTr="006660FE">
        <w:tc>
          <w:tcPr>
            <w:tcW w:w="9062" w:type="dxa"/>
          </w:tcPr>
          <w:p w14:paraId="2B219AF8" w14:textId="77777777" w:rsidR="002C057C" w:rsidRDefault="002C057C" w:rsidP="006660FE">
            <w:r>
              <w:t xml:space="preserve">Wie oben bereits erwähnt, gibt es hier eine Anti-Subventionsuntersuchung, </w:t>
            </w:r>
            <w:r w:rsidRPr="008A2FF6">
              <w:t xml:space="preserve">New </w:t>
            </w:r>
            <w:proofErr w:type="spellStart"/>
            <w:r w:rsidRPr="008A2FF6">
              <w:t>battery</w:t>
            </w:r>
            <w:proofErr w:type="spellEnd"/>
            <w:r w:rsidRPr="008A2FF6">
              <w:t xml:space="preserve"> </w:t>
            </w:r>
            <w:proofErr w:type="spellStart"/>
            <w:r w:rsidRPr="008A2FF6">
              <w:t>electric</w:t>
            </w:r>
            <w:proofErr w:type="spellEnd"/>
            <w:r w:rsidRPr="008A2FF6">
              <w:t xml:space="preserve"> </w:t>
            </w:r>
            <w:proofErr w:type="spellStart"/>
            <w:r w:rsidRPr="008A2FF6">
              <w:t>vehicles</w:t>
            </w:r>
            <w:proofErr w:type="spellEnd"/>
            <w:r w:rsidRPr="008A2FF6">
              <w:t xml:space="preserve"> </w:t>
            </w:r>
            <w:proofErr w:type="spellStart"/>
            <w:r w:rsidRPr="008A2FF6">
              <w:t>for</w:t>
            </w:r>
            <w:proofErr w:type="spellEnd"/>
            <w:r w:rsidRPr="008A2FF6">
              <w:t xml:space="preserve"> </w:t>
            </w:r>
            <w:proofErr w:type="spellStart"/>
            <w:r w:rsidRPr="008A2FF6">
              <w:t>passengers</w:t>
            </w:r>
            <w:proofErr w:type="spellEnd"/>
            <w:r w:rsidRPr="008A2FF6">
              <w:t xml:space="preserve">, hier die Case </w:t>
            </w:r>
            <w:proofErr w:type="spellStart"/>
            <w:r w:rsidRPr="008A2FF6">
              <w:t>History</w:t>
            </w:r>
            <w:proofErr w:type="spellEnd"/>
            <w:r w:rsidRPr="008A2FF6">
              <w:t>:</w:t>
            </w:r>
            <w:r>
              <w:rPr>
                <w:rStyle w:val="Funotenzeichen"/>
                <w:lang w:val="en-GB"/>
              </w:rPr>
              <w:footnoteReference w:id="2263"/>
            </w:r>
            <w:r w:rsidRPr="008A2FF6">
              <w:t xml:space="preserve"> </w:t>
            </w:r>
            <w:r>
              <w:t>Am 30.10.2024 wurden endgültige Maßnahmen eingeführt.</w:t>
            </w:r>
            <w:r w:rsidRPr="007437B9">
              <w:t xml:space="preserve"> </w:t>
            </w:r>
            <w:r>
              <w:t>Hier wurden Anti-Subventionszölle von 17,0 %, 18,8 % und 35,3 % (Tesla 7,8) bestimmt.</w:t>
            </w:r>
            <w:r>
              <w:rPr>
                <w:rStyle w:val="Funotenzeichen"/>
              </w:rPr>
              <w:footnoteReference w:id="2264"/>
            </w:r>
            <w:r>
              <w:t xml:space="preserve"> Im Bereich der E-Autos wird über </w:t>
            </w:r>
            <w:r w:rsidRPr="00445D9F">
              <w:rPr>
                <w:u w:val="single"/>
              </w:rPr>
              <w:t>Mindestpreise</w:t>
            </w:r>
            <w:r>
              <w:t xml:space="preserve"> verhandelt, Stand 11.04.2025.</w:t>
            </w:r>
            <w:r>
              <w:rPr>
                <w:rStyle w:val="Funotenzeichen"/>
              </w:rPr>
              <w:footnoteReference w:id="2265"/>
            </w:r>
            <w:r>
              <w:t xml:space="preserve"> </w:t>
            </w:r>
          </w:p>
          <w:p w14:paraId="7918980E" w14:textId="77777777" w:rsidR="00FB6AB3" w:rsidRDefault="00FB6AB3" w:rsidP="006660FE"/>
          <w:p w14:paraId="1040832D" w14:textId="5AA3F183" w:rsidR="00FB6AB3" w:rsidRDefault="00FB6AB3" w:rsidP="006660FE">
            <w:r>
              <w:t>BYD verlautbart in diesem FAZ-Artikel, dass es bald selbst in Europa produzieren möchte, im ungarischen Szeged und in Rumänien.</w:t>
            </w:r>
            <w:r>
              <w:rPr>
                <w:rStyle w:val="Funotenzeichen"/>
              </w:rPr>
              <w:footnoteReference w:id="2266"/>
            </w:r>
            <w:r>
              <w:t xml:space="preserve"> Eine erste </w:t>
            </w:r>
            <w:proofErr w:type="gramStart"/>
            <w:r>
              <w:t>BYD Fabrik</w:t>
            </w:r>
            <w:proofErr w:type="gramEnd"/>
            <w:r>
              <w:t xml:space="preserve"> gibt es seit April 2016 in </w:t>
            </w:r>
            <w:proofErr w:type="spellStart"/>
            <w:r>
              <w:t>Komarom</w:t>
            </w:r>
            <w:proofErr w:type="spellEnd"/>
            <w:r>
              <w:t xml:space="preserve"> in Ungarn</w:t>
            </w:r>
            <w:r w:rsidR="006C3EF5">
              <w:t>, die u.a. Elektrobusse herstellt</w:t>
            </w:r>
            <w:r>
              <w:t>.</w:t>
            </w:r>
            <w:r>
              <w:rPr>
                <w:rStyle w:val="Funotenzeichen"/>
              </w:rPr>
              <w:footnoteReference w:id="2267"/>
            </w:r>
          </w:p>
        </w:tc>
      </w:tr>
    </w:tbl>
    <w:p w14:paraId="77E6EFB6" w14:textId="77777777" w:rsidR="002C057C" w:rsidRDefault="002C057C" w:rsidP="002C057C"/>
    <w:p w14:paraId="71872335" w14:textId="4A8DDB56" w:rsidR="002C057C" w:rsidRDefault="00E9298D" w:rsidP="002C057C">
      <w:r>
        <w:t>15.6.</w:t>
      </w:r>
      <w:r w:rsidR="001C07B8">
        <w:t>3</w:t>
      </w:r>
      <w:r>
        <w:t xml:space="preserve"> </w:t>
      </w:r>
      <w:r w:rsidR="002C057C">
        <w:t>Elektrolyseure (und die Chemieindustrie)</w:t>
      </w:r>
    </w:p>
    <w:p w14:paraId="685E9F76" w14:textId="77777777" w:rsidR="002C057C" w:rsidRDefault="002C057C" w:rsidP="002C057C"/>
    <w:p w14:paraId="6312529C" w14:textId="635F4EF7" w:rsidR="009E317F" w:rsidRDefault="002C057C" w:rsidP="009E317F">
      <w:r>
        <w:t xml:space="preserve">Oben wurden im Teil Chemie bereits beschreiben, dass Chlor-Elektrolyseure hunderte Millionen Tonnen Chlor erzeugen, warum sollte man nicht mit Wasserstoff-Elektrolyseuren </w:t>
      </w:r>
      <w:r w:rsidR="00772FB3">
        <w:t xml:space="preserve">mehrere Millionen </w:t>
      </w:r>
      <w:r>
        <w:t>Tonnen Wasserstoff erzeugen</w:t>
      </w:r>
      <w:r w:rsidR="00772FB3">
        <w:t xml:space="preserve"> können</w:t>
      </w:r>
      <w:r>
        <w:t xml:space="preserve">. Auch Elektrolyseure </w:t>
      </w:r>
      <w:r w:rsidR="009E317F">
        <w:t>sollten</w:t>
      </w:r>
      <w:r>
        <w:t xml:space="preserve"> vor der Konkurrenz aus China geschützt werden. </w:t>
      </w:r>
      <w:bookmarkStart w:id="117" w:name="_Hlk194785068"/>
      <w:r w:rsidR="009E317F">
        <w:t>Im Geladen Batteriepodcast wird gemeldet, dass Europa und die USA in der Elektrolyseurtechnologie führend sind und chinesische Anlagen oft nur wenige Jahre durchhalten.</w:t>
      </w:r>
      <w:r w:rsidR="009E317F" w:rsidRPr="0081366C">
        <w:rPr>
          <w:rStyle w:val="Funotenzeichen"/>
        </w:rPr>
        <w:t xml:space="preserve"> </w:t>
      </w:r>
      <w:r w:rsidR="009E317F">
        <w:rPr>
          <w:rStyle w:val="Funotenzeichen"/>
        </w:rPr>
        <w:footnoteReference w:id="2268"/>
      </w:r>
    </w:p>
    <w:p w14:paraId="71D16EBA" w14:textId="5A654C25" w:rsidR="002C057C" w:rsidRPr="000A2390" w:rsidRDefault="009E317F" w:rsidP="002C057C">
      <w:r>
        <w:t xml:space="preserve"> </w:t>
      </w:r>
      <w:bookmarkEnd w:id="117"/>
    </w:p>
    <w:p w14:paraId="0A91BF73" w14:textId="7E170952" w:rsidR="002C057C" w:rsidRDefault="002C057C" w:rsidP="002C057C">
      <w:proofErr w:type="spellStart"/>
      <w:r w:rsidRPr="00F552B5">
        <w:t>Su</w:t>
      </w:r>
      <w:r>
        <w:t>nfire</w:t>
      </w:r>
      <w:proofErr w:type="spellEnd"/>
      <w:r>
        <w:t xml:space="preserve"> hat </w:t>
      </w:r>
      <w:r w:rsidR="00772FB3">
        <w:t xml:space="preserve">derzeit (April 2025) </w:t>
      </w:r>
      <w:r>
        <w:t>Aufträge, nicht nur von der Petrochemie, sondern auch aus Spanien und Finnland.</w:t>
      </w:r>
      <w:r>
        <w:rPr>
          <w:rStyle w:val="Funotenzeichen"/>
        </w:rPr>
        <w:footnoteReference w:id="2269"/>
      </w:r>
      <w:r>
        <w:t xml:space="preserve"> </w:t>
      </w:r>
      <w:proofErr w:type="spellStart"/>
      <w:r>
        <w:t>Sunfire</w:t>
      </w:r>
      <w:proofErr w:type="spellEnd"/>
      <w:r>
        <w:t xml:space="preserve"> hat Hilfe der Politik erhalten, die einen Avalkredit von 200 Mill. Euro absichert, 80 % trägt hier der Bund und das Land Sachsen, 20 % die Banken, der Avalkredit wird von einem Bankenkonsortium gegeben.</w:t>
      </w:r>
      <w:r>
        <w:rPr>
          <w:rStyle w:val="Funotenzeichen"/>
        </w:rPr>
        <w:footnoteReference w:id="2270"/>
      </w:r>
      <w:r>
        <w:t xml:space="preserve"> Quest </w:t>
      </w:r>
      <w:proofErr w:type="spellStart"/>
      <w:r>
        <w:t>One</w:t>
      </w:r>
      <w:proofErr w:type="spellEnd"/>
      <w:r>
        <w:t xml:space="preserve"> / MAN Energy und Siemens und Air Liquide stehen ebenso in den Startlöchern. Das ist frustrierend. Man fragt sich, warum die Elektrolyseure für die Stahlindustrie nicht langsam mal aufgebaut werden, es sind immerhin</w:t>
      </w:r>
      <w:r w:rsidR="00084B52">
        <w:t xml:space="preserve"> </w:t>
      </w:r>
      <w:r>
        <w:t xml:space="preserve">vier große </w:t>
      </w:r>
      <w:proofErr w:type="spellStart"/>
      <w:r>
        <w:t>Midrex</w:t>
      </w:r>
      <w:proofErr w:type="spellEnd"/>
      <w:r>
        <w:t xml:space="preserve">-Direktreduktionsprojekte in Deutschland geplant. BASF hat etwa im Chemiepark Schwarzheide einen Elektrolyseur der Firma </w:t>
      </w:r>
      <w:proofErr w:type="spellStart"/>
      <w:r>
        <w:t>Sunfire</w:t>
      </w:r>
      <w:proofErr w:type="spellEnd"/>
      <w:r>
        <w:t xml:space="preserve"> im Einsatz.</w:t>
      </w:r>
      <w:r>
        <w:rPr>
          <w:rStyle w:val="Funotenzeichen"/>
        </w:rPr>
        <w:footnoteReference w:id="2271"/>
      </w:r>
      <w:r>
        <w:t xml:space="preserve"> </w:t>
      </w:r>
      <w:r w:rsidR="00FA3867">
        <w:t xml:space="preserve">Siehe Teil 2, hier wurde die Elektrolyseurprojekte in Deutschland einzeln aufgezählt, interessant ist, dass ein Teil </w:t>
      </w:r>
      <w:proofErr w:type="gramStart"/>
      <w:r w:rsidR="00FA3867">
        <w:t>des Bedarf</w:t>
      </w:r>
      <w:proofErr w:type="gramEnd"/>
      <w:r w:rsidR="00FA3867">
        <w:t xml:space="preserve"> u.a. aus der Petrochemie für Elektrolyseure besteht, die den Wasserstoff bei der Entschwefelung von Mineralölprodukten einsetzen. In der Chemieindustrie Deutschland gibt es nun </w:t>
      </w:r>
      <w:r w:rsidR="00772FB3">
        <w:t xml:space="preserve">in Ludwigshafen </w:t>
      </w:r>
      <w:r w:rsidR="00FA3867">
        <w:t xml:space="preserve">und Schwarzheide einen </w:t>
      </w:r>
      <w:proofErr w:type="gramStart"/>
      <w:r w:rsidR="00FA3867">
        <w:t>Elektro</w:t>
      </w:r>
      <w:r w:rsidR="009E317F">
        <w:t>l</w:t>
      </w:r>
      <w:r w:rsidR="00FA3867">
        <w:t>y</w:t>
      </w:r>
      <w:r w:rsidR="009E317F">
        <w:t>s</w:t>
      </w:r>
      <w:r w:rsidR="00FA3867">
        <w:t xml:space="preserve">eure </w:t>
      </w:r>
      <w:r w:rsidR="00084B52">
        <w:t xml:space="preserve"> Nummer</w:t>
      </w:r>
      <w:proofErr w:type="gramEnd"/>
      <w:r w:rsidR="00772FB3">
        <w:t xml:space="preserve"> 2 </w:t>
      </w:r>
      <w:r w:rsidR="00084B52">
        <w:t xml:space="preserve">(!) </w:t>
      </w:r>
      <w:r w:rsidR="00772FB3">
        <w:t>bei der Chemieindustrie in Deutschland.</w:t>
      </w:r>
      <w:r w:rsidR="004D0B86" w:rsidRPr="004D0B86">
        <w:rPr>
          <w:rStyle w:val="Funotenzeichen"/>
        </w:rPr>
        <w:t xml:space="preserve"> </w:t>
      </w:r>
      <w:r w:rsidR="004D0B86">
        <w:rPr>
          <w:rStyle w:val="Funotenzeichen"/>
        </w:rPr>
        <w:footnoteReference w:id="2272"/>
      </w:r>
      <w:r w:rsidR="004D0B86">
        <w:t xml:space="preserve"> </w:t>
      </w:r>
      <w:r w:rsidR="00772FB3">
        <w:t xml:space="preserve"> </w:t>
      </w:r>
      <w:r w:rsidR="00084B52">
        <w:t xml:space="preserve">(zum Vergleich, diese die </w:t>
      </w:r>
      <w:r w:rsidR="00084B52">
        <w:lastRenderedPageBreak/>
        <w:t xml:space="preserve">Tabelle in Teil 1, für 10 Mill. Tonnen Wasserstoff brauchen wir </w:t>
      </w:r>
      <w:proofErr w:type="gramStart"/>
      <w:r w:rsidR="00084B52">
        <w:t>178 mal</w:t>
      </w:r>
      <w:proofErr w:type="gramEnd"/>
      <w:r w:rsidR="00084B52">
        <w:t xml:space="preserve"> einen 500 MW Elektrolyseur oder </w:t>
      </w:r>
      <w:proofErr w:type="gramStart"/>
      <w:r w:rsidR="00084B52">
        <w:t>1000 mal</w:t>
      </w:r>
      <w:proofErr w:type="gramEnd"/>
      <w:r w:rsidR="00084B52">
        <w:t xml:space="preserve"> einen 100 MW Elektrolyseur</w:t>
      </w:r>
      <w:r w:rsidR="00FA3867">
        <w:t xml:space="preserve">) </w:t>
      </w:r>
    </w:p>
    <w:p w14:paraId="0BAC25F0" w14:textId="52BE361E" w:rsidR="002C057C" w:rsidRDefault="002C057C" w:rsidP="002C057C">
      <w:r>
        <w:t xml:space="preserve"> </w:t>
      </w:r>
    </w:p>
    <w:p w14:paraId="10FD75D8" w14:textId="6A9D5D58" w:rsidR="000533D3" w:rsidRDefault="000533D3" w:rsidP="002C057C">
      <w:r>
        <w:t xml:space="preserve">Im Bereich Elektrolyseure </w:t>
      </w:r>
      <w:r w:rsidR="00F55258">
        <w:t>ist meines Wissens</w:t>
      </w:r>
      <w:r>
        <w:t xml:space="preserve"> nach kein bundesweites Anreizprogramm</w:t>
      </w:r>
      <w:r w:rsidR="00F55258">
        <w:t xml:space="preserve"> aktiv</w:t>
      </w:r>
      <w:r>
        <w:t>, derzeit werden mögliche Elektrolyseurstandorte erst von der Bundesnetzagentur und der KO NEP geplant. Es gibt allerdings Förderprogramme in den Ländern: Bayern, siehe hier</w:t>
      </w:r>
      <w:r>
        <w:rPr>
          <w:rStyle w:val="Funotenzeichen"/>
        </w:rPr>
        <w:footnoteReference w:id="2273"/>
      </w:r>
      <w:r>
        <w:t xml:space="preserve">; Baden-Württemberg, siehe hier (begrenzt auf 10 Mill. Euro, es geht also um kleinere </w:t>
      </w:r>
      <w:proofErr w:type="spellStart"/>
      <w:r>
        <w:t>Elektroylseure</w:t>
      </w:r>
      <w:proofErr w:type="spellEnd"/>
      <w:r>
        <w:t>)</w:t>
      </w:r>
      <w:r>
        <w:rPr>
          <w:rStyle w:val="Funotenzeichen"/>
        </w:rPr>
        <w:footnoteReference w:id="2274"/>
      </w:r>
      <w:r w:rsidR="00F55258">
        <w:t>; in Berlin, siehe hier.</w:t>
      </w:r>
      <w:r w:rsidR="00F55258">
        <w:rPr>
          <w:rStyle w:val="Funotenzeichen"/>
        </w:rPr>
        <w:footnoteReference w:id="2275"/>
      </w:r>
      <w:r>
        <w:t xml:space="preserve"> </w:t>
      </w:r>
      <w:r w:rsidR="00F55258">
        <w:t>In Teil 2 gibt es weitere Beispiele für Länderprojekte. Im Bund gab es offenbar mal ein Programm, bei dem sind aber keine Anträge mehr möglich.</w:t>
      </w:r>
      <w:r w:rsidR="00F55258">
        <w:rPr>
          <w:rStyle w:val="Funotenzeichen"/>
        </w:rPr>
        <w:footnoteReference w:id="2276"/>
      </w:r>
    </w:p>
    <w:p w14:paraId="138FC7A4" w14:textId="77777777" w:rsidR="000533D3" w:rsidRDefault="000533D3" w:rsidP="002C057C"/>
    <w:p w14:paraId="66381B96" w14:textId="77777777" w:rsidR="002C057C" w:rsidRDefault="002C057C" w:rsidP="002C057C">
      <w:r>
        <w:t xml:space="preserve">Soweit mal: Hier können nicht alle Industriebereich diskutiert werden, die bei beim Netto-Null-Industrie-Akt eine Rolle spielen, diese wurden schon oben in einer Tabelle aufgezählt: siehe die Studie über: Solar, Offshore Wind, </w:t>
      </w:r>
      <w:proofErr w:type="spellStart"/>
      <w:r>
        <w:t>Onshore</w:t>
      </w:r>
      <w:proofErr w:type="spellEnd"/>
      <w:r>
        <w:t xml:space="preserve"> Wind, Batterie/Speicher, Wärmepumpen, Elektrolyseure: weniger detailliert werden Brennstoffzellen, Biomethan, Stromnetze (Smart </w:t>
      </w:r>
      <w:proofErr w:type="spellStart"/>
      <w:r>
        <w:t>Grid</w:t>
      </w:r>
      <w:proofErr w:type="spellEnd"/>
      <w:r>
        <w:t>) und CSS-Technologien einbezogen</w:t>
      </w:r>
      <w:r w:rsidRPr="00806331">
        <w:t>.</w:t>
      </w:r>
      <w:r>
        <w:rPr>
          <w:rStyle w:val="Funotenzeichen"/>
        </w:rPr>
        <w:footnoteReference w:id="2277"/>
      </w:r>
    </w:p>
    <w:p w14:paraId="11873A90" w14:textId="77777777" w:rsidR="002C057C" w:rsidRDefault="002C057C" w:rsidP="002C057C"/>
    <w:p w14:paraId="0BDE5D77" w14:textId="0C314E64" w:rsidR="002C057C" w:rsidRDefault="002C057C" w:rsidP="002C057C">
      <w:r>
        <w:t>Nicht immer ist in der Industriepolitik nötig:</w:t>
      </w:r>
    </w:p>
    <w:p w14:paraId="6CB445B7" w14:textId="77777777" w:rsidR="002C057C" w:rsidRDefault="002C057C" w:rsidP="002C057C"/>
    <w:p w14:paraId="5AE3731E" w14:textId="3E5941F0" w:rsidR="002C057C" w:rsidRDefault="00E9298D" w:rsidP="002C057C">
      <w:r>
        <w:t xml:space="preserve">15.6.4 </w:t>
      </w:r>
      <w:r w:rsidR="002C057C">
        <w:t>Die Industrie reduziert selbst ihre Risiken</w:t>
      </w:r>
    </w:p>
    <w:p w14:paraId="62C426A1" w14:textId="77777777" w:rsidR="002C057C" w:rsidRDefault="002C057C" w:rsidP="002C057C"/>
    <w:p w14:paraId="1A0ADB70" w14:textId="6B8A0BA4" w:rsidR="002C057C" w:rsidRDefault="002C057C" w:rsidP="002C057C">
      <w:r>
        <w:t xml:space="preserve">Manchmal muss man nur einen langfristigen Abnehmervertrag organisieren, um eine Investition anzuschieben und dies ist eigentlich eine ganz normale Sache, die die Firmen </w:t>
      </w:r>
      <w:r w:rsidR="00E033DF">
        <w:t xml:space="preserve">normalerweise </w:t>
      </w:r>
      <w:r>
        <w:t xml:space="preserve">selbst machen. Nach Ronald </w:t>
      </w:r>
      <w:proofErr w:type="spellStart"/>
      <w:r>
        <w:t>Coase</w:t>
      </w:r>
      <w:proofErr w:type="spellEnd"/>
      <w:r>
        <w:t xml:space="preserve"> und Oliver Williamson reduzieren Firmen etwa mit einem langfristigen Abnahmevertrag Unsicherheiten. </w:t>
      </w:r>
    </w:p>
    <w:p w14:paraId="2D910F36" w14:textId="77777777" w:rsidR="002C057C" w:rsidRDefault="002C057C" w:rsidP="002C057C"/>
    <w:p w14:paraId="310154F3" w14:textId="18EA4A35" w:rsidR="002C057C" w:rsidRDefault="002C057C" w:rsidP="002C057C">
      <w:r>
        <w:t xml:space="preserve">Beispiel: </w:t>
      </w:r>
      <w:r w:rsidR="004D0B86">
        <w:t xml:space="preserve">siehe </w:t>
      </w:r>
      <w:r w:rsidR="00271EFA">
        <w:t xml:space="preserve">schon </w:t>
      </w:r>
      <w:r w:rsidR="004D0B86">
        <w:t>oben, Windenergiefirmen und E-Auto-Firmen beginnen in den USA selbst Neodym-Magnete herzustellen bzw. sogar in Minen und die Separierung der Seltenen Erden zu investieren. Beispiel Langzeitabnahmeverträge von Firmen untereinander, die bis zur Weiterverarbeitung und den Minen reichen</w:t>
      </w:r>
      <w:r w:rsidR="004D0B86">
        <w:rPr>
          <w:rStyle w:val="Funotenzeichen"/>
        </w:rPr>
        <w:footnoteReference w:id="2278"/>
      </w:r>
      <w:r w:rsidR="004D0B86">
        <w:t xml:space="preserve">; </w:t>
      </w:r>
      <w:r>
        <w:t>die E-Fuels-Fabrik, die in Norwegen von Norsk e-Fuel</w:t>
      </w:r>
      <w:r>
        <w:rPr>
          <w:rStyle w:val="Funotenzeichen"/>
        </w:rPr>
        <w:footnoteReference w:id="2279"/>
      </w:r>
      <w:r>
        <w:t xml:space="preserve"> gebaut wird und Strom aus Wasserkraft bekommt, hat schon langfristige Abnehmerverträge mit </w:t>
      </w:r>
      <w:proofErr w:type="spellStart"/>
      <w:r>
        <w:t>Norwegian</w:t>
      </w:r>
      <w:proofErr w:type="spellEnd"/>
      <w:r>
        <w:t xml:space="preserve"> Air und Cargolux Airlines International S.A. </w:t>
      </w:r>
      <w:r w:rsidR="002F487C">
        <w:t>-</w:t>
      </w:r>
      <w:r>
        <w:t xml:space="preserve"> die Abnehmerverträge wurden auf nationaler Ebene gemacht, gebaut wird die Anlage von der deutschen SMS-Group.</w:t>
      </w:r>
      <w:r>
        <w:rPr>
          <w:rStyle w:val="Funotenzeichen"/>
        </w:rPr>
        <w:footnoteReference w:id="2280"/>
      </w:r>
      <w:r>
        <w:t xml:space="preserve"> </w:t>
      </w:r>
    </w:p>
    <w:p w14:paraId="1B24A8F3" w14:textId="77777777" w:rsidR="002C057C" w:rsidRDefault="002C057C" w:rsidP="002C057C"/>
    <w:p w14:paraId="68722E5E" w14:textId="2FC83563" w:rsidR="002C057C" w:rsidRDefault="002C057C" w:rsidP="002C057C">
      <w:r>
        <w:t xml:space="preserve">Beispiel: Mit </w:t>
      </w:r>
      <w:r w:rsidR="00271EFA">
        <w:t xml:space="preserve">privatwirtschaftlichen </w:t>
      </w:r>
      <w:r>
        <w:t xml:space="preserve">Verträgen ist es auch möglich, neue Firmen mit neuen Technologien aufzubauen, die in der Energiewende benötigt werden. Oder durch eine </w:t>
      </w:r>
      <w:r>
        <w:lastRenderedPageBreak/>
        <w:t>Zusammenarbeit mit mehreren Firmen wird Wissenstransfer ermöglicht und Risiken reduziert. Beispiel: VW arbeitet immer enger mit dem großen chinesischen Batteriehersteller CATL zusammen</w:t>
      </w:r>
      <w:r>
        <w:rPr>
          <w:rStyle w:val="Funotenzeichen"/>
        </w:rPr>
        <w:footnoteReference w:id="2281"/>
      </w:r>
      <w:r>
        <w:t>, billige Batterien sollen gemeinsam für China entwickelt werden</w:t>
      </w:r>
      <w:r>
        <w:rPr>
          <w:rStyle w:val="Funotenzeichen"/>
        </w:rPr>
        <w:footnoteReference w:id="2282"/>
      </w:r>
      <w:r>
        <w:t xml:space="preserve">, VW hat weiterhin mit dem chinesischen Batteriehersteller </w:t>
      </w:r>
      <w:proofErr w:type="spellStart"/>
      <w:r>
        <w:t>Gotion</w:t>
      </w:r>
      <w:proofErr w:type="spellEnd"/>
      <w:r>
        <w:t xml:space="preserve"> eine Zusammenarbeit aufgebaut, einen Anteil gekauft (2020: 26 %</w:t>
      </w:r>
      <w:r>
        <w:rPr>
          <w:rStyle w:val="Funotenzeichen"/>
        </w:rPr>
        <w:footnoteReference w:id="2283"/>
      </w:r>
      <w:r>
        <w:t>, für 1,1 Mrd.</w:t>
      </w:r>
      <w:r>
        <w:rPr>
          <w:rStyle w:val="Funotenzeichen"/>
        </w:rPr>
        <w:footnoteReference w:id="2284"/>
      </w:r>
      <w:r>
        <w:t xml:space="preserve"> )</w:t>
      </w:r>
      <w:r>
        <w:rPr>
          <w:rStyle w:val="Funotenzeichen"/>
        </w:rPr>
        <w:footnoteReference w:id="2285"/>
      </w:r>
      <w:r>
        <w:t xml:space="preserve"> und war damit nicht nur von Northvolt abhängig, das am 12.03.2025 Insolvenz angemeldet hat.</w:t>
      </w:r>
      <w:r>
        <w:rPr>
          <w:rStyle w:val="Funotenzeichen"/>
        </w:rPr>
        <w:footnoteReference w:id="2286"/>
      </w:r>
      <w:r>
        <w:t xml:space="preserve"> </w:t>
      </w:r>
      <w:proofErr w:type="spellStart"/>
      <w:r>
        <w:t>Gotion</w:t>
      </w:r>
      <w:proofErr w:type="spellEnd"/>
      <w:r>
        <w:t xml:space="preserve"> hat in der Fabrik in Göttingen offenbar begonnen 2023 Batterien zu produzieren</w:t>
      </w:r>
      <w:r>
        <w:rPr>
          <w:rStyle w:val="Funotenzeichen"/>
        </w:rPr>
        <w:footnoteReference w:id="2287"/>
      </w:r>
      <w:r>
        <w:t xml:space="preserve">, </w:t>
      </w:r>
      <w:proofErr w:type="spellStart"/>
      <w:r>
        <w:t>Gotion</w:t>
      </w:r>
      <w:proofErr w:type="spellEnd"/>
      <w:r>
        <w:t xml:space="preserve"> und VW wollen in der Fabrik in Salzgitter Ende 2025 die Produktion starten, zuvor wurde in Dalian eine identische Produktion aufgebaut, dort wird seit Anfang 2024 der Produktionsprozess geprobt und deutsche Mitarbeiter geschult.</w:t>
      </w:r>
      <w:r>
        <w:rPr>
          <w:rStyle w:val="Funotenzeichen"/>
        </w:rPr>
        <w:footnoteReference w:id="2288"/>
      </w:r>
      <w:r>
        <w:t xml:space="preserve"> </w:t>
      </w:r>
    </w:p>
    <w:p w14:paraId="7F69BFE9" w14:textId="77777777" w:rsidR="002C057C" w:rsidRDefault="002C057C" w:rsidP="002C057C"/>
    <w:p w14:paraId="16F43FD7" w14:textId="1D85313E" w:rsidR="002C057C" w:rsidRDefault="00912E2C" w:rsidP="002C057C">
      <w:r>
        <w:t xml:space="preserve">15.6.5 </w:t>
      </w:r>
      <w:r w:rsidR="002C057C">
        <w:t>Öffentliche Auftragsvergabe</w:t>
      </w:r>
    </w:p>
    <w:p w14:paraId="3341C7B0" w14:textId="77777777" w:rsidR="002C057C" w:rsidRDefault="002C057C" w:rsidP="002C057C"/>
    <w:p w14:paraId="7D9687B2" w14:textId="77777777" w:rsidR="002C057C" w:rsidRDefault="002C057C" w:rsidP="002C057C">
      <w:r>
        <w:t xml:space="preserve">Oder die gute alte öffentliche Auftragsvergabe kann mit kleinen Summen helfen: Beispiel: Der norwegische Elektrolyseurhersteller NEL hat zwar einen hohen Auftragsbestand von 1,8 Mrd., aber keine guten Ergebnisse, die Firma hofft, durch die Erhöhung der Produktion in einer neuen Produktionslinie und damit verbundenen Kosteneinsparungen mehr Gewinne machen zu können und hofft auf den europäischen Markt, und dort auch auf subventionierte Programme in den Niederlanden, England und Deutschland. In Norwegen will die Staatsfirma </w:t>
      </w:r>
      <w:proofErr w:type="spellStart"/>
      <w:r>
        <w:t>Enova</w:t>
      </w:r>
      <w:proofErr w:type="spellEnd"/>
      <w:r>
        <w:t xml:space="preserve"> für Wasserstoff-Fähren und LKW die Förderung erhöhen, dies bietet Chancen für die Elektrolyseure, siehe die Präsentation zum 3 </w:t>
      </w:r>
      <w:proofErr w:type="spellStart"/>
      <w:r>
        <w:t>Hj</w:t>
      </w:r>
      <w:proofErr w:type="spellEnd"/>
      <w:r>
        <w:t>.-Bericht für 2024.</w:t>
      </w:r>
      <w:r>
        <w:rPr>
          <w:rStyle w:val="Funotenzeichen"/>
        </w:rPr>
        <w:footnoteReference w:id="2289"/>
      </w:r>
      <w:r>
        <w:t xml:space="preserve"> Siehe auch die Infos der Deutsch Norwegischen Handelskammer, insgesamt werden 540 Mill. Euro verteilt, auf kleinere Projekte, die insgesamt 40 Tonnen Wasserstoff pro Tag, das sind 14.600 Tonnen im Jahr erzeugen.</w:t>
      </w:r>
      <w:r>
        <w:rPr>
          <w:rStyle w:val="Funotenzeichen"/>
        </w:rPr>
        <w:footnoteReference w:id="2290"/>
      </w:r>
      <w:r>
        <w:t xml:space="preserve"> </w:t>
      </w:r>
      <w:proofErr w:type="spellStart"/>
      <w:r>
        <w:t>Hy</w:t>
      </w:r>
      <w:proofErr w:type="spellEnd"/>
      <w:r>
        <w:t xml:space="preserve"> </w:t>
      </w:r>
      <w:proofErr w:type="spellStart"/>
      <w:r>
        <w:t>Stor</w:t>
      </w:r>
      <w:proofErr w:type="spellEnd"/>
      <w:r>
        <w:t xml:space="preserve"> Energy, </w:t>
      </w:r>
      <w:proofErr w:type="spellStart"/>
      <w:r>
        <w:t>Missisippi</w:t>
      </w:r>
      <w:proofErr w:type="spellEnd"/>
      <w:r>
        <w:t>, in den USA hatte eine Reservierung von Produktionskapazität bei NEL gekündigt.</w:t>
      </w:r>
      <w:r>
        <w:rPr>
          <w:rStyle w:val="Funotenzeichen"/>
        </w:rPr>
        <w:footnoteReference w:id="2291"/>
      </w:r>
      <w:r>
        <w:t xml:space="preserve"> Dies zeigt, am Rande, dass in den USA beim Inflation </w:t>
      </w:r>
      <w:proofErr w:type="spellStart"/>
      <w:r>
        <w:t>Reduction</w:t>
      </w:r>
      <w:proofErr w:type="spellEnd"/>
      <w:r>
        <w:t xml:space="preserve"> Act nicht alles rund läuft. </w:t>
      </w:r>
    </w:p>
    <w:p w14:paraId="12E0B2ED" w14:textId="77777777" w:rsidR="002C057C" w:rsidRDefault="002C057C" w:rsidP="002C057C"/>
    <w:p w14:paraId="513CD9EE" w14:textId="766720D1" w:rsidR="002C057C" w:rsidRDefault="00912E2C" w:rsidP="002C057C">
      <w:r>
        <w:t xml:space="preserve">15.6.6 </w:t>
      </w:r>
      <w:r w:rsidR="002C057C">
        <w:t>Produktstandards (und öffentliche Auftragsvergabe)</w:t>
      </w:r>
    </w:p>
    <w:p w14:paraId="26816344" w14:textId="77777777" w:rsidR="002C057C" w:rsidRDefault="002C057C" w:rsidP="002C057C"/>
    <w:p w14:paraId="1194CD13" w14:textId="264EEE91" w:rsidR="002C057C" w:rsidRDefault="002C057C" w:rsidP="002C057C">
      <w:bookmarkStart w:id="118" w:name="_Hlk197977612"/>
      <w:bookmarkStart w:id="119" w:name="_Hlk197977310"/>
      <w:r>
        <w:lastRenderedPageBreak/>
        <w:t xml:space="preserve">In </w:t>
      </w:r>
      <w:proofErr w:type="gramStart"/>
      <w:r>
        <w:t>BMWK Leitmärkte</w:t>
      </w:r>
      <w:proofErr w:type="gramEnd"/>
      <w:r>
        <w:t xml:space="preserve"> für klimafreundliche Rohstoffe, Mai 2024</w:t>
      </w:r>
      <w:r>
        <w:rPr>
          <w:rStyle w:val="Funotenzeichen"/>
        </w:rPr>
        <w:footnoteReference w:id="2292"/>
      </w:r>
      <w:r>
        <w:t xml:space="preserve"> geht es um den Aufbau einer klimafreundlichen Produktion von Stahl, Zement, Ethylen und Ammoniak. </w:t>
      </w:r>
      <w:bookmarkEnd w:id="118"/>
      <w:r w:rsidR="00271EFA">
        <w:t>Vorab</w:t>
      </w:r>
      <w:r w:rsidR="00271EFA" w:rsidRPr="00B36C12">
        <w:rPr>
          <w:b/>
          <w:bCs/>
        </w:rPr>
        <w:t>:</w:t>
      </w:r>
      <w:r w:rsidRPr="00B36C12">
        <w:rPr>
          <w:b/>
          <w:bCs/>
        </w:rPr>
        <w:t xml:space="preserve"> </w:t>
      </w:r>
      <w:r w:rsidR="00271EFA" w:rsidRPr="00B36C12">
        <w:rPr>
          <w:b/>
          <w:bCs/>
        </w:rPr>
        <w:t xml:space="preserve">In </w:t>
      </w:r>
      <w:r w:rsidR="00D45AF6">
        <w:rPr>
          <w:b/>
          <w:bCs/>
        </w:rPr>
        <w:t>einer</w:t>
      </w:r>
      <w:r w:rsidRPr="00B36C12">
        <w:rPr>
          <w:b/>
          <w:bCs/>
        </w:rPr>
        <w:t xml:space="preserve"> Publikation</w:t>
      </w:r>
      <w:r w:rsidR="00D45AF6">
        <w:rPr>
          <w:b/>
          <w:bCs/>
        </w:rPr>
        <w:t xml:space="preserve"> mit diesem Titel könnte man</w:t>
      </w:r>
      <w:r w:rsidRPr="00B36C12">
        <w:rPr>
          <w:b/>
          <w:bCs/>
        </w:rPr>
        <w:t xml:space="preserve"> erwarten</w:t>
      </w:r>
      <w:r w:rsidR="00D45AF6">
        <w:rPr>
          <w:b/>
          <w:bCs/>
        </w:rPr>
        <w:t xml:space="preserve">, dass es auch um direkte Subventionen geht, etwa die im Stahlbereich und darum, </w:t>
      </w:r>
      <w:r w:rsidRPr="00B36C12">
        <w:rPr>
          <w:b/>
          <w:bCs/>
        </w:rPr>
        <w:t>welche Anlagen mit welchen Geldern wann umgerüstet werden</w:t>
      </w:r>
      <w:r>
        <w:t xml:space="preserve">. </w:t>
      </w:r>
      <w:bookmarkStart w:id="120" w:name="_Hlk197977661"/>
    </w:p>
    <w:p w14:paraId="148C15B7" w14:textId="77777777" w:rsidR="002C057C" w:rsidRDefault="002C057C" w:rsidP="002C057C"/>
    <w:p w14:paraId="28AE7507" w14:textId="3CBB9431" w:rsidR="0077087C" w:rsidRDefault="002C057C" w:rsidP="0077087C">
      <w:r>
        <w:t xml:space="preserve">Es geht hier um den Aufbau einer klimafreundlichen Produktion von Stahl, Zement, Ethylen und Ammoniak, </w:t>
      </w:r>
      <w:r w:rsidRPr="004D0B86">
        <w:rPr>
          <w:u w:val="single"/>
        </w:rPr>
        <w:t>die auf dem Konzept beruht, dass man CO2 ‚schrittweise‘ in der Produktion einsparen kann</w:t>
      </w:r>
      <w:r w:rsidRPr="0054349A">
        <w:rPr>
          <w:rStyle w:val="Funotenzeichen"/>
        </w:rPr>
        <w:t xml:space="preserve"> </w:t>
      </w:r>
      <w:bookmarkStart w:id="121" w:name="_Hlk197980190"/>
      <w:r>
        <w:rPr>
          <w:rStyle w:val="Funotenzeichen"/>
        </w:rPr>
        <w:footnoteReference w:id="2293"/>
      </w:r>
      <w:bookmarkEnd w:id="121"/>
      <w:r>
        <w:t xml:space="preserve"> </w:t>
      </w:r>
      <w:r w:rsidR="009E74F6">
        <w:t xml:space="preserve">und es geht in dieser Publikation schwerpunktmäßig um die Entwicklung dazu passender Standards. </w:t>
      </w:r>
      <w:r w:rsidR="0077087C">
        <w:t>Es wird auch damit begründet, dass sonst, wenn sich der Staat nicht um Produktstandards kümmern würde, ein ‚</w:t>
      </w:r>
      <w:proofErr w:type="spellStart"/>
      <w:r w:rsidR="0077087C">
        <w:t>greenwashing</w:t>
      </w:r>
      <w:proofErr w:type="spellEnd"/>
      <w:r w:rsidR="0077087C">
        <w:t>‘ durch intransparente Labels privater Akteure drohen würde.</w:t>
      </w:r>
      <w:r w:rsidR="0077087C">
        <w:rPr>
          <w:rStyle w:val="Funotenzeichen"/>
        </w:rPr>
        <w:footnoteReference w:id="2294"/>
      </w:r>
    </w:p>
    <w:p w14:paraId="47CC5327" w14:textId="77777777" w:rsidR="0077087C" w:rsidRDefault="0077087C" w:rsidP="0077087C"/>
    <w:tbl>
      <w:tblPr>
        <w:tblStyle w:val="Tabellenraster"/>
        <w:tblW w:w="0" w:type="auto"/>
        <w:tblLook w:val="04A0" w:firstRow="1" w:lastRow="0" w:firstColumn="1" w:lastColumn="0" w:noHBand="0" w:noVBand="1"/>
      </w:tblPr>
      <w:tblGrid>
        <w:gridCol w:w="9062"/>
      </w:tblGrid>
      <w:tr w:rsidR="0077087C" w14:paraId="5B7F6457" w14:textId="77777777" w:rsidTr="00FE00D4">
        <w:tc>
          <w:tcPr>
            <w:tcW w:w="9062" w:type="dxa"/>
          </w:tcPr>
          <w:p w14:paraId="049ECF32" w14:textId="77777777" w:rsidR="0077087C" w:rsidRDefault="0077087C" w:rsidP="00FE00D4">
            <w:r>
              <w:t>Tatsächlich werden viele Label von Unternehmen selbst entwickelt und diese staatlichen Initiativen haben u.a. den Sinn dem etwas entgegensetzen, z.B. das Low Emission Steel Standard LESS-Labels von Stahl</w:t>
            </w:r>
            <w:r>
              <w:rPr>
                <w:rStyle w:val="Funotenzeichen"/>
              </w:rPr>
              <w:footnoteReference w:id="2295"/>
            </w:r>
            <w:r>
              <w:t xml:space="preserve"> oder in der Chemieindustrie werden von BASF </w:t>
            </w:r>
            <w:proofErr w:type="spellStart"/>
            <w:r>
              <w:t>LowPCF</w:t>
            </w:r>
            <w:proofErr w:type="spellEnd"/>
            <w:r>
              <w:t xml:space="preserve"> und </w:t>
            </w:r>
            <w:proofErr w:type="spellStart"/>
            <w:r>
              <w:t>ZeroPCF</w:t>
            </w:r>
            <w:proofErr w:type="spellEnd"/>
            <w:r>
              <w:t xml:space="preserve"> Produkte vorgestellt.</w:t>
            </w:r>
            <w:r>
              <w:rPr>
                <w:rStyle w:val="Funotenzeichen"/>
              </w:rPr>
              <w:footnoteReference w:id="2296"/>
            </w:r>
            <w:r>
              <w:t xml:space="preserve"> </w:t>
            </w:r>
          </w:p>
        </w:tc>
      </w:tr>
    </w:tbl>
    <w:p w14:paraId="010A7A44" w14:textId="77777777" w:rsidR="0077087C" w:rsidRDefault="0077087C" w:rsidP="002C057C"/>
    <w:p w14:paraId="5D29CFB7" w14:textId="3DCD1E26" w:rsidR="002C057C" w:rsidRDefault="002C057C" w:rsidP="002C057C">
      <w:r>
        <w:t>Dieses Konzept ist teilweise sinnvoll, teilweise kann man es kritisieren, denn besonders der letzte Schritt, hin zu einer vollständig grünen Produktion</w:t>
      </w:r>
      <w:r w:rsidR="004D0B86">
        <w:t>,</w:t>
      </w:r>
      <w:r>
        <w:t xml:space="preserve"> macht eine neue Produktionstechnik nötigt</w:t>
      </w:r>
      <w:r w:rsidR="004D0B86">
        <w:t xml:space="preserve"> und dahin kann man sich nicht kontinuierlich bewegen</w:t>
      </w:r>
      <w:r>
        <w:t>. Dennoch mag es sinnvoll sein, CO2-Einsparungen z.B. mit Hilfe der öffentlichen Auftragsvergabe und auch durch Nachfrage der Konsumenten zu fördern, indem man ein gestuftes Produktlabel-System entwickelt.</w:t>
      </w:r>
    </w:p>
    <w:p w14:paraId="28128F33" w14:textId="77777777" w:rsidR="002C057C" w:rsidRDefault="002C057C" w:rsidP="002C057C"/>
    <w:p w14:paraId="4666840C" w14:textId="6EBE006F" w:rsidR="002C057C" w:rsidRDefault="002C057C" w:rsidP="0077087C">
      <w:r>
        <w:t>Derzeit wird an Definitionen von grünem Stahl und Zement</w:t>
      </w:r>
      <w:r w:rsidR="0077087C">
        <w:t xml:space="preserve"> auch</w:t>
      </w:r>
      <w:r>
        <w:t xml:space="preserve"> international gearbeite</w:t>
      </w:r>
      <w:r w:rsidR="004D0B86">
        <w:t>t</w:t>
      </w:r>
      <w:r>
        <w:t xml:space="preserve">, z.B. in der IEA WPID Working Party on Industrial </w:t>
      </w:r>
      <w:proofErr w:type="spellStart"/>
      <w:r>
        <w:t>Decarbonization</w:t>
      </w:r>
      <w:proofErr w:type="spellEnd"/>
      <w:r>
        <w:t xml:space="preserve"> (gegründet am 22-23 Februar 2023)</w:t>
      </w:r>
      <w:r>
        <w:rPr>
          <w:rStyle w:val="Funotenzeichen"/>
        </w:rPr>
        <w:footnoteReference w:id="2297"/>
      </w:r>
      <w:r>
        <w:t>, siehe hier die Definitionen für sog. Near-Zero und Low-</w:t>
      </w:r>
      <w:proofErr w:type="spellStart"/>
      <w:r>
        <w:t>Emissions</w:t>
      </w:r>
      <w:proofErr w:type="spellEnd"/>
      <w:r>
        <w:t xml:space="preserve"> Steel and </w:t>
      </w:r>
      <w:proofErr w:type="spellStart"/>
      <w:r>
        <w:t>Cement</w:t>
      </w:r>
      <w:proofErr w:type="spellEnd"/>
      <w:r>
        <w:t xml:space="preserve"> 2024.</w:t>
      </w:r>
      <w:r>
        <w:rPr>
          <w:rStyle w:val="Funotenzeichen"/>
        </w:rPr>
        <w:footnoteReference w:id="2298"/>
      </w:r>
      <w:r>
        <w:t xml:space="preserve"> Auch der Climate Club möchte sich um die internationale Abstimmung von Normen und Standards kümmern. Der unter deutscher Initiative gegründete Klimaclub (Climate Club) hat mittlerweile 46 Mitgliedstaaten.</w:t>
      </w:r>
      <w:r>
        <w:rPr>
          <w:rStyle w:val="Funotenzeichen"/>
        </w:rPr>
        <w:footnoteReference w:id="2299"/>
      </w:r>
      <w:r>
        <w:t xml:space="preserve"> Der Climate Club hat in seinem Arbeitsprogramm auch das Ziel Standards für Zement und Stahl weiterzuverfolgen, aber nun auch für Aluminium, Ammoniak und Ethylen.</w:t>
      </w:r>
      <w:r>
        <w:rPr>
          <w:rStyle w:val="Funotenzeichen"/>
        </w:rPr>
        <w:footnoteReference w:id="2300"/>
      </w:r>
      <w:r>
        <w:t xml:space="preserve"> Ein Mittel zur Steigerung der Nachfrage soll die öffentliche Auftragsvergabe s</w:t>
      </w:r>
      <w:r w:rsidR="004D0B86">
        <w:t>eien</w:t>
      </w:r>
      <w:r>
        <w:t xml:space="preserve">: Die IDDI Industrial Deep </w:t>
      </w:r>
      <w:proofErr w:type="spellStart"/>
      <w:r>
        <w:t>Decarbonization</w:t>
      </w:r>
      <w:proofErr w:type="spellEnd"/>
      <w:r>
        <w:t xml:space="preserve"> Initiative, geleitet von England und Indien, hat den Green Public </w:t>
      </w:r>
      <w:proofErr w:type="spellStart"/>
      <w:r>
        <w:t>Procurement</w:t>
      </w:r>
      <w:proofErr w:type="spellEnd"/>
      <w:r>
        <w:t xml:space="preserve"> GPP Pledge auf der COP28 in Dubai vorgestellt, hier geht es darum i.S. einer freiwilligen Selbstverpflichtung im Bereich Stahl und Zement bei öffentlichen Aufträgen grünen Stahl und Zement zu bevorzugen, beobachtet wird, dass 80 % des Zements und 90 % des Stahls in 10 Ländern </w:t>
      </w:r>
      <w:r>
        <w:lastRenderedPageBreak/>
        <w:t>produziert werden.</w:t>
      </w:r>
      <w:r>
        <w:rPr>
          <w:rStyle w:val="Funotenzeichen"/>
        </w:rPr>
        <w:footnoteReference w:id="2301"/>
      </w:r>
      <w:r>
        <w:t xml:space="preserve"> In einer Stufenfolge wird ab 2030 vorgesehen, dass man dann </w:t>
      </w:r>
      <w:proofErr w:type="spellStart"/>
      <w:r>
        <w:t>low</w:t>
      </w:r>
      <w:proofErr w:type="spellEnd"/>
      <w:r>
        <w:t xml:space="preserve"> </w:t>
      </w:r>
      <w:proofErr w:type="spellStart"/>
      <w:r>
        <w:t>emission</w:t>
      </w:r>
      <w:proofErr w:type="spellEnd"/>
      <w:r>
        <w:t xml:space="preserve"> Zement und Stahl in öffentlichen Bauaufträgen nutzen sollte, je nach nationalen Möglichkeiten.</w:t>
      </w:r>
      <w:r>
        <w:rPr>
          <w:rStyle w:val="Funotenzeichen"/>
        </w:rPr>
        <w:footnoteReference w:id="2302"/>
      </w:r>
      <w:r>
        <w:t xml:space="preserve"> Bei Zement soll es etwa die Stufen A B C D geben, CEM III/A erreicht die Anforderungen für emissionsarmen Zement durch einen reduzierten Klinkeranteil, es handelt sich aber noch um Zement ohne CCS bzw. ohne CO2-Abscheidung an der Punktquelle.</w:t>
      </w:r>
      <w:r>
        <w:rPr>
          <w:rStyle w:val="Funotenzeichen"/>
        </w:rPr>
        <w:footnoteReference w:id="2303"/>
      </w:r>
      <w:r>
        <w:t xml:space="preserve"> </w:t>
      </w:r>
      <w:r w:rsidR="009E74F6">
        <w:t>E</w:t>
      </w:r>
      <w:r w:rsidR="004D0B86">
        <w:t xml:space="preserve">s werden </w:t>
      </w:r>
      <w:r w:rsidR="009E74F6">
        <w:t xml:space="preserve">also auch </w:t>
      </w:r>
      <w:r w:rsidR="004D0B86">
        <w:t>Produktstandards entwickelt</w:t>
      </w:r>
      <w:r w:rsidR="009E74F6">
        <w:t xml:space="preserve"> die auf einer relativ konventionellen Produktionsweise basieren und </w:t>
      </w:r>
      <w:r w:rsidR="004B7AD1">
        <w:t xml:space="preserve">solche die </w:t>
      </w:r>
      <w:r w:rsidR="009E74F6">
        <w:t xml:space="preserve">CCS voraussetzen. </w:t>
      </w:r>
    </w:p>
    <w:p w14:paraId="377F6E2D" w14:textId="77777777" w:rsidR="0077087C" w:rsidRDefault="0077087C" w:rsidP="0077087C"/>
    <w:bookmarkEnd w:id="119"/>
    <w:bookmarkEnd w:id="120"/>
    <w:p w14:paraId="36A276B4" w14:textId="7C8426D4" w:rsidR="00C159E6" w:rsidRDefault="002C057C" w:rsidP="00C159E6">
      <w:r>
        <w:t>Änderungen bei öffentlichen Aufträgen könnten dennoch eine gewissen Wirksamkeit haben, z.B. sind in Deutschland öffentliche Bauten für 28 % der Treibhausemissionen im Baubereich verantwortlich und es gab schonmal 2021 die Idee Mindestquoten für die öffentliche Beschaffung für klimafreundlich produzierte Grundstoffe zu etablieren.</w:t>
      </w:r>
      <w:r>
        <w:rPr>
          <w:rStyle w:val="Funotenzeichen"/>
        </w:rPr>
        <w:footnoteReference w:id="2304"/>
      </w:r>
      <w:r>
        <w:t xml:space="preserve"> Die Allgemeine Verwaltungsvorschrift zur Beschaffung klimafreundlicher Leistungen AVV Klima, sieht vor, dass Vergabestellen auf Bundesebene auch Treibhausemissionen beachten sollen und eine CO2 Schattenpreis einbeziehen sollen, um dann z.B. den Kauf von klimafreundlichen Dingen rechtfertigen zu können.</w:t>
      </w:r>
      <w:r w:rsidRPr="00264305">
        <w:rPr>
          <w:rStyle w:val="Funotenzeichen"/>
        </w:rPr>
        <w:t xml:space="preserve"> </w:t>
      </w:r>
      <w:r>
        <w:rPr>
          <w:rStyle w:val="Funotenzeichen"/>
        </w:rPr>
        <w:footnoteReference w:id="2305"/>
      </w:r>
      <w:r>
        <w:t xml:space="preserve"> Bis 2045 soll die Bundesverwaltung Netto-Treibhausneutral sein.</w:t>
      </w:r>
      <w:r w:rsidRPr="00264305">
        <w:rPr>
          <w:rStyle w:val="Funotenzeichen"/>
        </w:rPr>
        <w:t xml:space="preserve"> </w:t>
      </w:r>
      <w:r>
        <w:rPr>
          <w:rStyle w:val="Funotenzeichen"/>
        </w:rPr>
        <w:footnoteReference w:id="2306"/>
      </w:r>
      <w:r>
        <w:t xml:space="preserve"> Auch in einer EU Bauprodukteverordnung (CPR Construction </w:t>
      </w:r>
      <w:proofErr w:type="spellStart"/>
      <w:r>
        <w:t>Product</w:t>
      </w:r>
      <w:proofErr w:type="spellEnd"/>
      <w:r>
        <w:t xml:space="preserve"> Regulation)</w:t>
      </w:r>
      <w:r>
        <w:rPr>
          <w:rStyle w:val="Funotenzeichen"/>
        </w:rPr>
        <w:footnoteReference w:id="2307"/>
      </w:r>
      <w:r>
        <w:t xml:space="preserve"> gibt es Informationspflichten für den CO2-Fußabdruck von Baustoffen, es werden ökologische Mindestanforderungen an öffentliche Bauaufträge gestellt und es gibt ‚Anforderungen‘ zur Emissionsintensität von Grundstoffen (dies kann hier gerade nicht geklärt werden, was das letztere bedeutet).</w:t>
      </w:r>
      <w:r w:rsidRPr="00B400C3">
        <w:rPr>
          <w:rStyle w:val="Funotenzeichen"/>
        </w:rPr>
        <w:t xml:space="preserve"> </w:t>
      </w:r>
      <w:r>
        <w:rPr>
          <w:rStyle w:val="Funotenzeichen"/>
        </w:rPr>
        <w:footnoteReference w:id="2308"/>
      </w:r>
      <w:r>
        <w:t xml:space="preserve"> Ab 2028 soll die Gesamtenergieeffizienz von Gebäuden offengelegt werden, darunter die ‚</w:t>
      </w:r>
      <w:proofErr w:type="spellStart"/>
      <w:r>
        <w:t>embodied</w:t>
      </w:r>
      <w:proofErr w:type="spellEnd"/>
      <w:r>
        <w:t xml:space="preserve"> CO2 </w:t>
      </w:r>
      <w:proofErr w:type="spellStart"/>
      <w:r>
        <w:t>emissions</w:t>
      </w:r>
      <w:proofErr w:type="spellEnd"/>
      <w:r>
        <w:t>‘.</w:t>
      </w:r>
      <w:r>
        <w:rPr>
          <w:rStyle w:val="Funotenzeichen"/>
        </w:rPr>
        <w:footnoteReference w:id="2309"/>
      </w:r>
      <w:r w:rsidR="00B40BD2">
        <w:t xml:space="preserve"> Im Jahr 2026 soll gemäß </w:t>
      </w:r>
      <w:r w:rsidR="002323D7">
        <w:t xml:space="preserve">EU </w:t>
      </w:r>
      <w:r w:rsidR="00B40BD2">
        <w:t xml:space="preserve">Industrial </w:t>
      </w:r>
      <w:proofErr w:type="spellStart"/>
      <w:r w:rsidR="00B40BD2">
        <w:t>Accelerator</w:t>
      </w:r>
      <w:proofErr w:type="spellEnd"/>
      <w:r w:rsidR="00B40BD2">
        <w:t xml:space="preserve"> Act eine ‚European </w:t>
      </w:r>
      <w:proofErr w:type="spellStart"/>
      <w:r w:rsidR="00B40BD2">
        <w:t>preference</w:t>
      </w:r>
      <w:proofErr w:type="spellEnd"/>
      <w:r w:rsidR="00B40BD2">
        <w:t>‘ Regel in der Öffentlichen Auftragsvergabe etabliert werden, d.h. man kann europäische Firmen bevorzugen</w:t>
      </w:r>
      <w:r w:rsidR="00C159E6">
        <w:t>, siehe Draghi-Plan, S. 7</w:t>
      </w:r>
      <w:r w:rsidR="00B40BD2">
        <w:t>.</w:t>
      </w:r>
      <w:r w:rsidR="00C159E6">
        <w:rPr>
          <w:rStyle w:val="Funotenzeichen"/>
        </w:rPr>
        <w:footnoteReference w:id="2310"/>
      </w:r>
    </w:p>
    <w:p w14:paraId="7DB1162F" w14:textId="11B09C1A" w:rsidR="002C057C" w:rsidRDefault="00B40BD2" w:rsidP="002C057C">
      <w:r>
        <w:t xml:space="preserve"> </w:t>
      </w:r>
    </w:p>
    <w:tbl>
      <w:tblPr>
        <w:tblStyle w:val="Tabellenraster"/>
        <w:tblW w:w="0" w:type="auto"/>
        <w:tblLook w:val="04A0" w:firstRow="1" w:lastRow="0" w:firstColumn="1" w:lastColumn="0" w:noHBand="0" w:noVBand="1"/>
      </w:tblPr>
      <w:tblGrid>
        <w:gridCol w:w="9062"/>
      </w:tblGrid>
      <w:tr w:rsidR="00C159E6" w14:paraId="356BCC3E" w14:textId="77777777">
        <w:tc>
          <w:tcPr>
            <w:tcW w:w="9062" w:type="dxa"/>
          </w:tcPr>
          <w:p w14:paraId="03F0514E" w14:textId="13E6D7B1" w:rsidR="00C159E6" w:rsidRDefault="00C159E6" w:rsidP="002C057C">
            <w:r>
              <w:t xml:space="preserve">Das IPI </w:t>
            </w:r>
            <w:r w:rsidR="002323D7">
              <w:t xml:space="preserve">International </w:t>
            </w:r>
            <w:proofErr w:type="spellStart"/>
            <w:r w:rsidR="002323D7">
              <w:t>Procurement</w:t>
            </w:r>
            <w:proofErr w:type="spellEnd"/>
            <w:r w:rsidR="002323D7">
              <w:t xml:space="preserve"> Instrumente bzw. </w:t>
            </w:r>
            <w:r>
              <w:t>Instrument für das internationale Beschaffungswesen der EU ist dazu da, ggf. den Zugang zum europäischen Beschaffungsmarkt einzuschränken, wenn Dritte Länder (z.B. China) eben</w:t>
            </w:r>
            <w:r w:rsidR="002323D7">
              <w:t xml:space="preserve">falls </w:t>
            </w:r>
            <w:r>
              <w:t xml:space="preserve">solche Einschränkungen </w:t>
            </w:r>
            <w:r w:rsidR="002323D7">
              <w:t xml:space="preserve">für europäische Firmen </w:t>
            </w:r>
            <w:r>
              <w:t>verwenden.</w:t>
            </w:r>
            <w:r>
              <w:rPr>
                <w:rStyle w:val="Funotenzeichen"/>
              </w:rPr>
              <w:footnoteReference w:id="2311"/>
            </w:r>
            <w:r>
              <w:t xml:space="preserve"> Siehe die EU Seite International Public </w:t>
            </w:r>
            <w:proofErr w:type="spellStart"/>
            <w:r>
              <w:t>Procurement</w:t>
            </w:r>
            <w:proofErr w:type="spellEnd"/>
            <w:r>
              <w:t>.</w:t>
            </w:r>
            <w:r>
              <w:rPr>
                <w:rStyle w:val="Funotenzeichen"/>
              </w:rPr>
              <w:footnoteReference w:id="2312"/>
            </w:r>
            <w:r>
              <w:t xml:space="preserve"> China ist nicht Mitglied des </w:t>
            </w:r>
            <w:proofErr w:type="spellStart"/>
            <w:r>
              <w:t>plurilateralen</w:t>
            </w:r>
            <w:proofErr w:type="spellEnd"/>
            <w:r>
              <w:t xml:space="preserve"> Government </w:t>
            </w:r>
            <w:proofErr w:type="spellStart"/>
            <w:r>
              <w:t>Procurement</w:t>
            </w:r>
            <w:proofErr w:type="spellEnd"/>
            <w:r>
              <w:t xml:space="preserve"> Agreements (verwaltet von der WTO), es finden ab</w:t>
            </w:r>
            <w:r w:rsidR="002323D7">
              <w:t>er</w:t>
            </w:r>
            <w:r>
              <w:t xml:space="preserve"> Beitrittsverhandlungen statt, so die EU-Webseite.</w:t>
            </w:r>
            <w:r>
              <w:rPr>
                <w:rStyle w:val="Funotenzeichen"/>
              </w:rPr>
              <w:t xml:space="preserve"> </w:t>
            </w:r>
            <w:r>
              <w:rPr>
                <w:rStyle w:val="Funotenzeichen"/>
              </w:rPr>
              <w:footnoteReference w:id="2313"/>
            </w:r>
            <w:r>
              <w:t xml:space="preserve"> Dennoch wird von den ausschreibenden</w:t>
            </w:r>
            <w:r w:rsidR="002323D7">
              <w:t xml:space="preserve"> staatlichen</w:t>
            </w:r>
            <w:r>
              <w:t xml:space="preserve"> Stellen in</w:t>
            </w:r>
            <w:r w:rsidR="002323D7">
              <w:t xml:space="preserve"> den EU</w:t>
            </w:r>
            <w:r>
              <w:t xml:space="preserve"> </w:t>
            </w:r>
            <w:r w:rsidR="002323D7">
              <w:t xml:space="preserve">Mitgliedsländern </w:t>
            </w:r>
            <w:r>
              <w:t xml:space="preserve">zugelassen, dass sich China an </w:t>
            </w:r>
            <w:r w:rsidR="002323D7">
              <w:lastRenderedPageBreak/>
              <w:t xml:space="preserve">bestimmten </w:t>
            </w:r>
            <w:r>
              <w:t>öffentlichen Aufträgen beteilig</w:t>
            </w:r>
            <w:r w:rsidR="002323D7">
              <w:t>t</w:t>
            </w:r>
            <w:r>
              <w:t xml:space="preserve">, ein Recht auf Beteiligung hat China aber nicht. Am 21.06.2025 meldet die FAZ, dass die EU </w:t>
            </w:r>
            <w:r w:rsidR="00AC4850">
              <w:t xml:space="preserve">zum ersten Mal vom IPI gebraucht gemacht hat: </w:t>
            </w:r>
            <w:r>
              <w:t xml:space="preserve">China mit dem </w:t>
            </w:r>
            <w:proofErr w:type="gramStart"/>
            <w:r>
              <w:t>IPI Instrument</w:t>
            </w:r>
            <w:proofErr w:type="gramEnd"/>
            <w:r>
              <w:t xml:space="preserve"> von der Beteiligung an öffentlichen Aufträgen für Medizinprodukte ausgeschlossen hat</w:t>
            </w:r>
            <w:r w:rsidR="002E36A8">
              <w:t xml:space="preserve"> (dies gilt für alle Produkte, von Röntgengeräten über Rollstühle bis Verbandmaterial, Ausnahme: Produkte, die es in Europa nicht gibt)</w:t>
            </w:r>
            <w:r>
              <w:t xml:space="preserve">, weil in China bei 87 % </w:t>
            </w:r>
            <w:proofErr w:type="gramStart"/>
            <w:r>
              <w:t>der öffentlichen Aufträgen</w:t>
            </w:r>
            <w:proofErr w:type="gramEnd"/>
            <w:r>
              <w:t xml:space="preserve"> in China europäische Firmen ausgeschlossen oder gezielt schlechter gestellt werden.</w:t>
            </w:r>
            <w:r w:rsidR="002E36A8">
              <w:rPr>
                <w:rStyle w:val="Funotenzeichen"/>
              </w:rPr>
              <w:footnoteReference w:id="2314"/>
            </w:r>
            <w:r>
              <w:t xml:space="preserve"> </w:t>
            </w:r>
          </w:p>
        </w:tc>
      </w:tr>
    </w:tbl>
    <w:p w14:paraId="0DACF8A5" w14:textId="77777777" w:rsidR="002C057C" w:rsidRDefault="002C057C" w:rsidP="002C057C"/>
    <w:p w14:paraId="3FCB9740" w14:textId="318D295B" w:rsidR="002C057C" w:rsidRDefault="002C057C" w:rsidP="002C057C">
      <w:r>
        <w:t xml:space="preserve">Eine zentrale Rolle soll </w:t>
      </w:r>
      <w:r w:rsidR="002323D7">
        <w:t xml:space="preserve">weiterhin </w:t>
      </w:r>
      <w:r>
        <w:t xml:space="preserve">die neue EU Ökodesign Verordnung (ESPR </w:t>
      </w:r>
      <w:proofErr w:type="spellStart"/>
      <w:r>
        <w:t>Ecodesign</w:t>
      </w:r>
      <w:proofErr w:type="spellEnd"/>
      <w:r>
        <w:t xml:space="preserve"> </w:t>
      </w:r>
      <w:proofErr w:type="spellStart"/>
      <w:r>
        <w:t>for</w:t>
      </w:r>
      <w:proofErr w:type="spellEnd"/>
      <w:r>
        <w:t xml:space="preserve"> </w:t>
      </w:r>
      <w:proofErr w:type="spellStart"/>
      <w:r>
        <w:t>Sustainable</w:t>
      </w:r>
      <w:proofErr w:type="spellEnd"/>
      <w:r>
        <w:t xml:space="preserve"> Products Regulation</w:t>
      </w:r>
      <w:r>
        <w:rPr>
          <w:rStyle w:val="Funotenzeichen"/>
        </w:rPr>
        <w:footnoteReference w:id="2315"/>
      </w:r>
      <w:r>
        <w:t xml:space="preserve">), diese soll Mindestanforderungen für Haltbarkeit, Wiederverwendbarkeit, Reparierbarkeit, Gefährlichkeit, Energie- und Ressourceneffizienz, CO2-Fußabdruck und </w:t>
      </w:r>
      <w:proofErr w:type="spellStart"/>
      <w:r>
        <w:t>Rezyklatanteil</w:t>
      </w:r>
      <w:proofErr w:type="spellEnd"/>
      <w:r>
        <w:t xml:space="preserve"> festlegen, ab 2026 soll es hier Regeln für alle</w:t>
      </w:r>
      <w:r>
        <w:rPr>
          <w:rStyle w:val="Funotenzeichen"/>
        </w:rPr>
        <w:footnoteReference w:id="2316"/>
      </w:r>
      <w:r>
        <w:t xml:space="preserve"> Produkte bzw. Produktgruppen geben, sogar für digitale Inhalte, es soll Regeln für die öffentliche Beschaffung geben, ein digitaler Produktpass und ein Ökodesign-Label eingeführt werden. Diese Regeln sollen auch für importierte Produkte gelten.</w:t>
      </w:r>
      <w:r>
        <w:rPr>
          <w:rStyle w:val="Funotenzeichen"/>
        </w:rPr>
        <w:footnoteReference w:id="2317"/>
      </w:r>
      <w:r>
        <w:t xml:space="preserve"> Siehe hier für die </w:t>
      </w:r>
      <w:proofErr w:type="gramStart"/>
      <w:r>
        <w:t>EU Webseite</w:t>
      </w:r>
      <w:proofErr w:type="gramEnd"/>
      <w:r>
        <w:t xml:space="preserve"> zum </w:t>
      </w:r>
      <w:proofErr w:type="spellStart"/>
      <w:r>
        <w:t>Ecodesign</w:t>
      </w:r>
      <w:proofErr w:type="spellEnd"/>
      <w:r>
        <w:t xml:space="preserve"> </w:t>
      </w:r>
      <w:proofErr w:type="spellStart"/>
      <w:r>
        <w:t>for</w:t>
      </w:r>
      <w:proofErr w:type="spellEnd"/>
      <w:r>
        <w:t xml:space="preserve"> </w:t>
      </w:r>
      <w:proofErr w:type="spellStart"/>
      <w:r>
        <w:t>Sustainable</w:t>
      </w:r>
      <w:proofErr w:type="spellEnd"/>
      <w:r>
        <w:t xml:space="preserve"> Products, hier wurde im April 2025 ein Arbeitsplan vorgelegt, für welche Produkte zuerst Regeln erarbeitet werden sollen.</w:t>
      </w:r>
      <w:r>
        <w:rPr>
          <w:rStyle w:val="Funotenzeichen"/>
        </w:rPr>
        <w:footnoteReference w:id="2318"/>
      </w:r>
      <w:r>
        <w:t xml:space="preserve"> Nur Produkte, die diesen Ökodesign-Anforderungen entsprechen dürfen in Verkehr gebracht werden, dies gilt auch für importierte Produkte.</w:t>
      </w:r>
      <w:r w:rsidRPr="006A2C25">
        <w:rPr>
          <w:rStyle w:val="Funotenzeichen"/>
        </w:rPr>
        <w:t xml:space="preserve"> </w:t>
      </w:r>
      <w:r>
        <w:rPr>
          <w:rStyle w:val="Funotenzeichen"/>
        </w:rPr>
        <w:footnoteReference w:id="2319"/>
      </w:r>
      <w:r>
        <w:t xml:space="preserve"> Praktisch ist </w:t>
      </w:r>
      <w:r w:rsidR="00F61E70">
        <w:t>die</w:t>
      </w:r>
      <w:r>
        <w:t xml:space="preserve"> Datenbank für energieeffiziente Produkte EPREL.</w:t>
      </w:r>
      <w:r>
        <w:rPr>
          <w:rStyle w:val="Funotenzeichen"/>
        </w:rPr>
        <w:footnoteReference w:id="2320"/>
      </w:r>
    </w:p>
    <w:p w14:paraId="7E1347E2" w14:textId="77777777" w:rsidR="00F61E70" w:rsidRDefault="00F61E70" w:rsidP="002C057C"/>
    <w:p w14:paraId="07781943" w14:textId="7D452F09" w:rsidR="00F61E70" w:rsidRDefault="00F61E70" w:rsidP="00F61E70">
      <w:r>
        <w:t xml:space="preserve">Internationale und EU-weite Standards können somit Nachfrage schaffen, </w:t>
      </w:r>
      <w:r w:rsidRPr="00662B6F">
        <w:rPr>
          <w:u w:val="single"/>
        </w:rPr>
        <w:t xml:space="preserve">aber letztlich </w:t>
      </w:r>
      <w:r>
        <w:rPr>
          <w:u w:val="single"/>
        </w:rPr>
        <w:t>ist dies</w:t>
      </w:r>
      <w:r w:rsidRPr="00662B6F">
        <w:rPr>
          <w:u w:val="single"/>
        </w:rPr>
        <w:t xml:space="preserve"> Idee ‚so mittel‘ bzw. ‚so mittelgut</w:t>
      </w:r>
      <w:r>
        <w:t xml:space="preserve">‘, denn dadurch entstehen viele ‚CO2 armen‘-Produkte und dadurch entstehen Anreize für Firmen, in CO2-arme Technologien (und nicht </w:t>
      </w:r>
      <w:proofErr w:type="spellStart"/>
      <w:r>
        <w:t>near</w:t>
      </w:r>
      <w:proofErr w:type="spellEnd"/>
      <w:r>
        <w:t xml:space="preserve">-zero-Technologien) sogar noch zu investieren. Es entsteht weiterhin der Anreiz mehr CCS zu nutzen, um Produkte als CO2-arm bezeichnen zu können, wobei damit CCS-Kapazitäten gefüllt werden, die man nach 2050 bzw. für andere </w:t>
      </w:r>
      <w:proofErr w:type="spellStart"/>
      <w:r>
        <w:t>hard</w:t>
      </w:r>
      <w:proofErr w:type="spellEnd"/>
      <w:r>
        <w:t>-</w:t>
      </w:r>
      <w:proofErr w:type="spellStart"/>
      <w:r>
        <w:t>to</w:t>
      </w:r>
      <w:proofErr w:type="spellEnd"/>
      <w:r>
        <w:t>-</w:t>
      </w:r>
      <w:proofErr w:type="spellStart"/>
      <w:r>
        <w:t>abate</w:t>
      </w:r>
      <w:proofErr w:type="spellEnd"/>
      <w:r>
        <w:t>-Bereiche, noch gut gebrauchen könnte. Ich bin keine NGO, aber mir erscheint es trotzdem als naheliegend zu fordern:</w:t>
      </w:r>
      <w:r>
        <w:rPr>
          <w:b/>
          <w:bCs/>
        </w:rPr>
        <w:t xml:space="preserve"> CCS sollte nicht erlaubt werden, um einen Standard für CO2-arme Produkte zu erfüllen</w:t>
      </w:r>
      <w:r>
        <w:t xml:space="preserve">. Selbst die Zementindustrie könnte eigenständig organisiert Alternativen zum CSS anbieten, etwa eine Zwischenlagerung von aufgefangenen CO2 in Druckspeicher, bis die Chemieindustrie sie braucht, warum sollte man dies nicht als CO2-arm </w:t>
      </w:r>
      <w:proofErr w:type="spellStart"/>
      <w:r>
        <w:t>defininieren</w:t>
      </w:r>
      <w:proofErr w:type="spellEnd"/>
      <w:r>
        <w:t xml:space="preserve">? Eindeutig sinnvoll ist es dagegen die öffentliche Auftragsvergabe so einzusetzen, dass möglichst genuin grüne Produkte gefördert werden, aber der Umbau eines Industriesektors kann man damit nicht finanzieren. Schließlich mag die EU Ökodesign Verordnung nicht so unmöglich sein, wie sie zuerst scheint.  </w:t>
      </w:r>
    </w:p>
    <w:p w14:paraId="256DCD93" w14:textId="77777777" w:rsidR="00F61E70" w:rsidRDefault="00F61E70" w:rsidP="00F61E70"/>
    <w:p w14:paraId="007436A8" w14:textId="77777777" w:rsidR="00F61E70" w:rsidRDefault="00F61E70" w:rsidP="00F61E70">
      <w:r>
        <w:t xml:space="preserve">Auf internationaler Ebene kann man feststellen, dass China im IDDI-Pledge für die Einbeziehung CO2-armer bzw. grüner Produkte in die öffentliche Auftragsvergabe nicht Mitglied ist, Indien schon. Freiwillige </w:t>
      </w:r>
      <w:proofErr w:type="spellStart"/>
      <w:r>
        <w:t>Pledges</w:t>
      </w:r>
      <w:proofErr w:type="spellEnd"/>
      <w:r>
        <w:t xml:space="preserve"> zur öffentlichen Auftragsvergabe, die erst ab 2030 bedeutsam sind, und internationale grünen Standards, sind sinnvoll, aber nicht sonderlich wirksam, um die Umrüstung z.B. </w:t>
      </w:r>
      <w:r>
        <w:lastRenderedPageBreak/>
        <w:t>der Stahl und Zementindustrie voranzubringen. Problem ist schließlich, dass die Industrie besonders auf der Ebene internationaler Verhandlungen traditionell viel Einfluss hat und die Gefahr besteht, dass es zu einer Proliferation von ‚</w:t>
      </w:r>
      <w:proofErr w:type="spellStart"/>
      <w:r>
        <w:t>low</w:t>
      </w:r>
      <w:proofErr w:type="spellEnd"/>
      <w:r>
        <w:t xml:space="preserve"> </w:t>
      </w:r>
      <w:proofErr w:type="spellStart"/>
      <w:r>
        <w:t>emission</w:t>
      </w:r>
      <w:proofErr w:type="spellEnd"/>
      <w:r>
        <w:t>‘-Standards kommt, die mit wenigen Produktionsumstellungen erreichbar sind, also letztlich ein ‚</w:t>
      </w:r>
      <w:proofErr w:type="spellStart"/>
      <w:r>
        <w:t>greenwashing</w:t>
      </w:r>
      <w:proofErr w:type="spellEnd"/>
      <w:r>
        <w:t>‘ auf einer höheren Ebene, wobei immerhin eine riesige Wucherung von Firmeneigenen ‚</w:t>
      </w:r>
      <w:proofErr w:type="spellStart"/>
      <w:r>
        <w:t>greenwashing</w:t>
      </w:r>
      <w:proofErr w:type="spellEnd"/>
      <w:r>
        <w:t xml:space="preserve">‘-Labels verhindert wurde. </w:t>
      </w:r>
    </w:p>
    <w:p w14:paraId="00764CC5" w14:textId="77777777" w:rsidR="002C057C" w:rsidRDefault="002C057C" w:rsidP="002C057C"/>
    <w:tbl>
      <w:tblPr>
        <w:tblStyle w:val="Tabellenraster"/>
        <w:tblW w:w="0" w:type="auto"/>
        <w:tblLook w:val="04A0" w:firstRow="1" w:lastRow="0" w:firstColumn="1" w:lastColumn="0" w:noHBand="0" w:noVBand="1"/>
      </w:tblPr>
      <w:tblGrid>
        <w:gridCol w:w="9062"/>
      </w:tblGrid>
      <w:tr w:rsidR="002C057C" w14:paraId="2185FEF4" w14:textId="77777777" w:rsidTr="006660FE">
        <w:tc>
          <w:tcPr>
            <w:tcW w:w="9062" w:type="dxa"/>
          </w:tcPr>
          <w:p w14:paraId="7FA141E2" w14:textId="55DEDDB1" w:rsidR="002C057C" w:rsidRDefault="00693944" w:rsidP="006660FE">
            <w:r>
              <w:t xml:space="preserve">Quoten. </w:t>
            </w:r>
            <w:r w:rsidR="002C057C">
              <w:t xml:space="preserve">Es wird </w:t>
            </w:r>
            <w:r w:rsidR="00B36C12">
              <w:t xml:space="preserve">weiterhin </w:t>
            </w:r>
            <w:r w:rsidR="002C057C">
              <w:t xml:space="preserve">vorgeschlagen </w:t>
            </w:r>
            <w:r w:rsidR="00B36C12">
              <w:t>bzw. zur Diskussion gestellt</w:t>
            </w:r>
            <w:r w:rsidR="002C057C">
              <w:t xml:space="preserve">, </w:t>
            </w:r>
            <w:r w:rsidR="004D0B86" w:rsidRPr="00F61E70">
              <w:rPr>
                <w:u w:val="single"/>
              </w:rPr>
              <w:t xml:space="preserve">dass </w:t>
            </w:r>
            <w:r w:rsidR="002C057C" w:rsidRPr="00F61E70">
              <w:rPr>
                <w:u w:val="single"/>
              </w:rPr>
              <w:t>die Ökodesign Verordnung mit ansteigenden Quoten versehen w</w:t>
            </w:r>
            <w:r w:rsidR="004D0B86" w:rsidRPr="00F61E70">
              <w:rPr>
                <w:u w:val="single"/>
              </w:rPr>
              <w:t>ird</w:t>
            </w:r>
            <w:r w:rsidR="002C057C">
              <w:t xml:space="preserve">, dass steigende Anteile klimafreundlicher Grundstoffe und steigende Anteile von Rezyklaten in den Produkten genutzt werden müssen. Dies würde auch für importierte Produkte gelten, sodass auch Hersteller außerhalb der EU </w:t>
            </w:r>
            <w:r w:rsidR="002323D7">
              <w:t xml:space="preserve">u.a. </w:t>
            </w:r>
            <w:r w:rsidR="002C057C">
              <w:t>zu Produktionsumstellungen gezwungen würden.</w:t>
            </w:r>
            <w:r w:rsidR="002C057C">
              <w:rPr>
                <w:rStyle w:val="Funotenzeichen"/>
              </w:rPr>
              <w:footnoteReference w:id="2321"/>
            </w:r>
            <w:r w:rsidR="002C057C">
              <w:t xml:space="preserve"> Ausdrücklich sind hiermit keine </w:t>
            </w:r>
            <w:r w:rsidR="004D0B86">
              <w:t xml:space="preserve">nationale </w:t>
            </w:r>
            <w:r w:rsidR="002C057C">
              <w:t>Produktionsquoten gemeint, mit denen man die Chemie etwa zwingen könnte, mehr klimafreundliche Grundstoffe zu produzieren.</w:t>
            </w:r>
            <w:r w:rsidR="002C057C" w:rsidRPr="004C779D">
              <w:rPr>
                <w:rStyle w:val="Funotenzeichen"/>
              </w:rPr>
              <w:t xml:space="preserve"> </w:t>
            </w:r>
            <w:r w:rsidR="002C057C">
              <w:rPr>
                <w:rStyle w:val="Funotenzeichen"/>
              </w:rPr>
              <w:footnoteReference w:id="2322"/>
            </w:r>
            <w:r w:rsidR="002C057C">
              <w:t xml:space="preserve"> </w:t>
            </w:r>
            <w:r w:rsidR="00B36C12">
              <w:t xml:space="preserve">Die Einsparung von CO2 durch immer strengere Standards in der Ökodesign-Richtlinie zu erzwingen, ist </w:t>
            </w:r>
            <w:r w:rsidR="002323D7">
              <w:t xml:space="preserve">eine recht drastisch Maßnahmen, Es ist zudem kaum denkbar, dass man ansteigende Anteile erzwingt, </w:t>
            </w:r>
            <w:r w:rsidR="00B36C12">
              <w:t xml:space="preserve">solange es noch </w:t>
            </w:r>
            <w:r w:rsidR="002323D7">
              <w:t xml:space="preserve">gar </w:t>
            </w:r>
            <w:r w:rsidR="00B36C12">
              <w:t>keinen grünen Stahl, Zement, Naphtha und Ethylen gibt, weil die Umrüstung der Werke im bestmöglichen, grünen ‚</w:t>
            </w:r>
            <w:proofErr w:type="spellStart"/>
            <w:r w:rsidR="00B36C12">
              <w:t>near</w:t>
            </w:r>
            <w:proofErr w:type="spellEnd"/>
            <w:r w:rsidR="00B36C12">
              <w:t xml:space="preserve"> </w:t>
            </w:r>
            <w:proofErr w:type="spellStart"/>
            <w:r w:rsidR="00B36C12">
              <w:t>zero</w:t>
            </w:r>
            <w:proofErr w:type="spellEnd"/>
            <w:r w:rsidR="00B36C12">
              <w:t>‘ Sinn noch nicht passiert ist</w:t>
            </w:r>
            <w:r w:rsidR="002323D7">
              <w:t>. Dann</w:t>
            </w:r>
            <w:r w:rsidR="00B36C12">
              <w:t xml:space="preserve"> </w:t>
            </w:r>
            <w:r w:rsidR="002323D7">
              <w:t xml:space="preserve">gäbe es in </w:t>
            </w:r>
            <w:r w:rsidR="00B36C12">
              <w:t>alle</w:t>
            </w:r>
            <w:r w:rsidR="002323D7">
              <w:t>n</w:t>
            </w:r>
            <w:r w:rsidR="00B36C12">
              <w:t xml:space="preserve"> Supermärkte</w:t>
            </w:r>
            <w:r w:rsidR="002323D7">
              <w:t>n</w:t>
            </w:r>
            <w:r w:rsidR="00B36C12">
              <w:t>, Baumärkte</w:t>
            </w:r>
            <w:r w:rsidR="002323D7">
              <w:t>n</w:t>
            </w:r>
            <w:r w:rsidR="00B36C12">
              <w:t>, Fachmärkte</w:t>
            </w:r>
            <w:r w:rsidR="002323D7">
              <w:t>n</w:t>
            </w:r>
            <w:r w:rsidR="00B36C12">
              <w:t>, Großmärkte</w:t>
            </w:r>
            <w:r w:rsidR="002323D7">
              <w:t>n</w:t>
            </w:r>
            <w:r w:rsidR="00B36C12">
              <w:t xml:space="preserve"> etc. vom einem auf den anderen Tag</w:t>
            </w:r>
            <w:r w:rsidR="002323D7">
              <w:t xml:space="preserve"> keine Produkte mehr </w:t>
            </w:r>
            <w:proofErr w:type="gramStart"/>
            <w:r w:rsidR="002323D7">
              <w:t>im Regel</w:t>
            </w:r>
            <w:proofErr w:type="gramEnd"/>
            <w:r w:rsidR="002323D7">
              <w:t xml:space="preserve"> und die internationalen Lieferketten wären unterbrochen. </w:t>
            </w:r>
          </w:p>
          <w:p w14:paraId="32FC81E1" w14:textId="77777777" w:rsidR="00300DB8" w:rsidRDefault="00300DB8" w:rsidP="006660FE"/>
          <w:p w14:paraId="09D0F732" w14:textId="259956BC" w:rsidR="005330F1" w:rsidRDefault="002323D7" w:rsidP="006660FE">
            <w:r>
              <w:t xml:space="preserve">Am 18.06.2025 meldet die FAZ, dass die EU-Umweltminister im Bereich Autos einen Kompromiss gefunden haben, in 6 Jahren soll mindestens 15 % recyceltes Plastik in Autos verbaut sein, </w:t>
            </w:r>
            <w:r w:rsidR="005330F1">
              <w:t>dies steigt dann in weiteren 4 Jahren auf 25 %. Später einmal seien Mindestanteile für weitere Rohstoffe denkbar, etwa recycelten Stahl, Aluminium oder Teile von Batterien. Auch bei der Verschrottung solle es zusätzliche Pflichten geben.</w:t>
            </w:r>
            <w:r w:rsidR="005330F1">
              <w:rPr>
                <w:rStyle w:val="Funotenzeichen"/>
              </w:rPr>
              <w:footnoteReference w:id="2323"/>
            </w:r>
            <w:r w:rsidR="005330F1">
              <w:t xml:space="preserve"> Man sieht daran, dass wenn man es gut vorbereitet, eine längere Übergangsfrist besteht, und ein homogener Industriebereich mit wenigen Herstellern die Abstimmung erleichtert, ansteigende Quoten doch denkbar sind (ich gehe davon aus, dass dies dann auch für Hersteller in Japan, Korea, USA, China etc. gilt, dass sie sich also auch anpassen müssen). </w:t>
            </w:r>
          </w:p>
          <w:p w14:paraId="346D89EA" w14:textId="77777777" w:rsidR="005330F1" w:rsidRDefault="005330F1" w:rsidP="006660FE"/>
          <w:p w14:paraId="0352F145" w14:textId="7D791220" w:rsidR="00A26E63" w:rsidRDefault="00300DB8" w:rsidP="006660FE">
            <w:r>
              <w:t>Quoten</w:t>
            </w:r>
            <w:r w:rsidR="004B7AD1">
              <w:t xml:space="preserve"> </w:t>
            </w:r>
            <w:r w:rsidR="005330F1">
              <w:t xml:space="preserve">werden auch in einem anderen Zusammenhang </w:t>
            </w:r>
            <w:r>
              <w:t>diskutiert bzw. schon einge</w:t>
            </w:r>
            <w:r w:rsidR="004B7AD1">
              <w:t>s</w:t>
            </w:r>
            <w:r>
              <w:t xml:space="preserve">etzt. </w:t>
            </w:r>
          </w:p>
          <w:p w14:paraId="02C6BB2B" w14:textId="77777777" w:rsidR="00A26E63" w:rsidRDefault="00A26E63" w:rsidP="006660FE"/>
          <w:p w14:paraId="5E7E730A" w14:textId="48AF57BA" w:rsidR="00A26E63" w:rsidRDefault="00A26E63" w:rsidP="006660FE">
            <w:r>
              <w:t xml:space="preserve">Die Stahlindustrie fordert </w:t>
            </w:r>
            <w:proofErr w:type="gramStart"/>
            <w:r>
              <w:t xml:space="preserve">EU </w:t>
            </w:r>
            <w:r w:rsidRPr="00EC16AA">
              <w:rPr>
                <w:u w:val="single"/>
              </w:rPr>
              <w:t>Quoten</w:t>
            </w:r>
            <w:proofErr w:type="gramEnd"/>
            <w:r w:rsidRPr="00EC16AA">
              <w:rPr>
                <w:u w:val="single"/>
              </w:rPr>
              <w:t xml:space="preserve"> für grünen Stahl im Automobilsektor</w:t>
            </w:r>
            <w:r>
              <w:t xml:space="preserve">, dies meldet </w:t>
            </w:r>
            <w:proofErr w:type="spellStart"/>
            <w:r>
              <w:t>Euraktiv</w:t>
            </w:r>
            <w:proofErr w:type="spellEnd"/>
            <w:r>
              <w:t xml:space="preserve"> am 02.12.2024. Dies wurde in einem Brief an die kommende </w:t>
            </w:r>
            <w:proofErr w:type="gramStart"/>
            <w:r>
              <w:t>EU Kom</w:t>
            </w:r>
            <w:r w:rsidR="005B380E">
              <w:t>m</w:t>
            </w:r>
            <w:r>
              <w:t>ission</w:t>
            </w:r>
            <w:proofErr w:type="gramEnd"/>
            <w:r>
              <w:t xml:space="preserve"> von France Hydrogene, der Stahlherstellervereinigung </w:t>
            </w:r>
            <w:proofErr w:type="spellStart"/>
            <w:r w:rsidR="005B380E">
              <w:t>E</w:t>
            </w:r>
            <w:r>
              <w:t>urofer</w:t>
            </w:r>
            <w:proofErr w:type="spellEnd"/>
            <w:r>
              <w:t xml:space="preserve">, </w:t>
            </w:r>
            <w:proofErr w:type="spellStart"/>
            <w:r>
              <w:t>Acerlor</w:t>
            </w:r>
            <w:proofErr w:type="spellEnd"/>
            <w:r>
              <w:t xml:space="preserve"> Mittal, Thyssenkrupp und weiteren Organisationen gefordert, um die grünen Leitmärkte für Stahl und für Wasserstoff besser zu aktivieren. Der Automobilbereich sei für 17 % des Stahlverbrauchs in der EU verantwortlich. Bereits im September 2024 hatte sich die Automobilindustrie dagegen ausgesprochen. Simon Pujau, der Politikdirektor des französischen Wasserstoffverbandes sagte, dass Quoten verbindlich sein müssen und hohe Strafen bei Nichteinhaltung nach sich ziehen müssten.</w:t>
            </w:r>
            <w:r>
              <w:rPr>
                <w:rStyle w:val="Funotenzeichen"/>
              </w:rPr>
              <w:footnoteReference w:id="2324"/>
            </w:r>
          </w:p>
          <w:p w14:paraId="34A348DC" w14:textId="77777777" w:rsidR="00A26E63" w:rsidRDefault="00A26E63" w:rsidP="006660FE"/>
          <w:p w14:paraId="68BB9058" w14:textId="073122C5" w:rsidR="001B3780" w:rsidRDefault="00785432" w:rsidP="001B3780">
            <w:r>
              <w:t xml:space="preserve">Aus meiner Sicht ist </w:t>
            </w:r>
            <w:r w:rsidR="001B3780">
              <w:t xml:space="preserve">statt einer Quote eine </w:t>
            </w:r>
            <w:r w:rsidR="001D51C3" w:rsidRPr="001D51C3">
              <w:rPr>
                <w:u w:val="single"/>
              </w:rPr>
              <w:t>unlimitierte Abnahmev</w:t>
            </w:r>
            <w:r w:rsidR="001B3780" w:rsidRPr="001D51C3">
              <w:rPr>
                <w:u w:val="single"/>
              </w:rPr>
              <w:t>erpflichtung</w:t>
            </w:r>
            <w:r w:rsidR="001B3780">
              <w:t xml:space="preserve"> besser, z.B. beim Umbau der Chemieindustrie, </w:t>
            </w:r>
            <w:r w:rsidR="001D51C3">
              <w:t xml:space="preserve">dass </w:t>
            </w:r>
            <w:r w:rsidR="001B3780">
              <w:t xml:space="preserve">alles grüne Plastik, das produziert wird, auch </w:t>
            </w:r>
            <w:r w:rsidR="001D51C3">
              <w:t>ge</w:t>
            </w:r>
            <w:r w:rsidR="001B3780">
              <w:t>nutz</w:t>
            </w:r>
            <w:r w:rsidR="001D51C3">
              <w:t xml:space="preserve">t werden </w:t>
            </w:r>
            <w:r w:rsidR="001D51C3">
              <w:lastRenderedPageBreak/>
              <w:t>muss</w:t>
            </w:r>
            <w:r w:rsidR="001B3780">
              <w:t xml:space="preserve"> … und dann wird die Industrie festgelegt, die dies tun muss, etwa die Automobilindustrie, die Plastikröhrenindustrie</w:t>
            </w:r>
            <w:r w:rsidR="001D51C3">
              <w:t>, die Hersteller großer Plastikplanen für die Landwirtschaft</w:t>
            </w:r>
            <w:r w:rsidR="001B3780">
              <w:t xml:space="preserve">, am Anfang </w:t>
            </w:r>
            <w:r w:rsidR="001D51C3">
              <w:t>sind dies kleine Volumina</w:t>
            </w:r>
            <w:r w:rsidR="001B3780">
              <w:t xml:space="preserve">, </w:t>
            </w:r>
            <w:r w:rsidR="001D51C3">
              <w:t xml:space="preserve">und es kommt insgesamt gesehen </w:t>
            </w:r>
            <w:r w:rsidR="001B3780">
              <w:t>nur zu einer geringen Preissteigerung – Vorteil eines solchen ‚Allesfresser auf Tour‘-Verpflichtung wäre, dass sich die Industrie keine Sorgen machen müsste, wohin mit dem Zeug, dass nicht mehr in die Quote passt</w:t>
            </w:r>
            <w:r w:rsidR="001D51C3">
              <w:t xml:space="preserve"> … und eine erste, umgebaute große Anlage könnten sofort laufen, und auch ausgiebig, bei Volllast getestet werden, ohne dass der Staat etwas heruntersubventionieren muss</w:t>
            </w:r>
            <w:r w:rsidR="002323D7">
              <w:t>.</w:t>
            </w:r>
            <w:r w:rsidR="001B3780">
              <w:t xml:space="preserve"> </w:t>
            </w:r>
          </w:p>
          <w:p w14:paraId="19D703DA" w14:textId="77777777" w:rsidR="001B3780" w:rsidRDefault="001B3780" w:rsidP="006660FE"/>
          <w:p w14:paraId="556BBEDD" w14:textId="375F8F2F" w:rsidR="00300DB8" w:rsidRDefault="00300DB8" w:rsidP="006660FE">
            <w:r>
              <w:t xml:space="preserve">Man könnte den Einsatz von Wasserstoff in der Produktion etwa mit anfangs sehr niedrigen, langsam ansteigenden Prozentsätzen bzw. vorgegebenen Mengen bzw. Quoten gesetzlich erzwingen. Beispiel ist die Vorgabe bei Kerosin erst 1,2 % synthetische Treibstoffe und 2 % </w:t>
            </w:r>
            <w:proofErr w:type="spellStart"/>
            <w:r>
              <w:t>Sustainable</w:t>
            </w:r>
            <w:proofErr w:type="spellEnd"/>
            <w:r>
              <w:t xml:space="preserve"> Aviation Fuel beizumischen und dies wird dann Schritt-für-Schritt erhöht.</w:t>
            </w:r>
            <w:r>
              <w:rPr>
                <w:rStyle w:val="Funotenzeichen"/>
              </w:rPr>
              <w:footnoteReference w:id="2325"/>
            </w:r>
            <w:r>
              <w:t xml:space="preserve"> Im derzeit neu geplanten sog. Clean Industrial Act der EU wird darüber nachgedacht, ob man nicht in Bauordnungen die Verwendung von grünem Stahl erzwingen kann oder über das öffentliche Beschaffungswesen solche Regeln durchsetzen kann.</w:t>
            </w:r>
            <w:r>
              <w:rPr>
                <w:rStyle w:val="Funotenzeichen"/>
              </w:rPr>
              <w:footnoteReference w:id="2326"/>
            </w:r>
            <w:r>
              <w:t xml:space="preserve"> Problem daran ist</w:t>
            </w:r>
            <w:r w:rsidR="004B7AD1">
              <w:t xml:space="preserve"> wieder</w:t>
            </w:r>
            <w:r>
              <w:t>, dass man in der Realität keine ‚</w:t>
            </w:r>
            <w:proofErr w:type="spellStart"/>
            <w:r>
              <w:t>Sliding</w:t>
            </w:r>
            <w:proofErr w:type="spellEnd"/>
            <w:r>
              <w:t xml:space="preserve"> </w:t>
            </w:r>
            <w:proofErr w:type="spellStart"/>
            <w:r>
              <w:t>scale</w:t>
            </w:r>
            <w:proofErr w:type="spellEnd"/>
            <w:r>
              <w:t>‘ hat</w:t>
            </w:r>
            <w:r w:rsidR="004B7AD1">
              <w:t>.</w:t>
            </w:r>
            <w:r>
              <w:t xml:space="preserve"> </w:t>
            </w:r>
            <w:r w:rsidR="001D51C3">
              <w:t xml:space="preserve">Klar, es gibt besonders bei der Chemie gibt es so einige Möglichkeiten: z.B. CO2 aus Biomasse, Wasserstoff aus der Chlorgasproduktion, dann erst </w:t>
            </w:r>
            <w:proofErr w:type="gramStart"/>
            <w:r w:rsidR="001D51C3">
              <w:t>eine genuin grüne Anlagen</w:t>
            </w:r>
            <w:proofErr w:type="gramEnd"/>
            <w:r w:rsidR="001D51C3">
              <w:t xml:space="preserve"> etc. die Chemie ist flexibel, aber letztendlich muss man Farbe bekennen: </w:t>
            </w:r>
            <w:r w:rsidR="004B7AD1">
              <w:t>M</w:t>
            </w:r>
            <w:r>
              <w:t>an muss, wenn es um grüne Produktion geht, in der Chemieindustrie in eine ganz neue grüne Konfiguration investieren, die produziert dann aber auch 500.000 Tonnen im Jahr, vielleicht zu viel für eine niedrige Quote.</w:t>
            </w:r>
          </w:p>
        </w:tc>
      </w:tr>
    </w:tbl>
    <w:p w14:paraId="416D8D7C" w14:textId="77777777" w:rsidR="005330F1" w:rsidRDefault="005330F1" w:rsidP="002C057C"/>
    <w:p w14:paraId="2F824E93" w14:textId="77777777" w:rsidR="00FA3867" w:rsidRDefault="00FA3867" w:rsidP="004B2396"/>
    <w:p w14:paraId="7F6341DE" w14:textId="50452319" w:rsidR="004B2396" w:rsidRDefault="007157EF" w:rsidP="004B2396">
      <w:r>
        <w:t>1</w:t>
      </w:r>
      <w:r w:rsidR="00912E2C">
        <w:t>6</w:t>
      </w:r>
      <w:r>
        <w:t>. Fazit</w:t>
      </w:r>
      <w:r w:rsidR="00846726">
        <w:t xml:space="preserve"> Energiewende</w:t>
      </w:r>
      <w:r w:rsidR="00B12B0E">
        <w:t>:</w:t>
      </w:r>
      <w:r>
        <w:t xml:space="preserve"> </w:t>
      </w:r>
      <w:r w:rsidR="00846726">
        <w:t>Industrie</w:t>
      </w:r>
      <w:r w:rsidR="00B12B0E">
        <w:t xml:space="preserve">, </w:t>
      </w:r>
      <w:r w:rsidR="00846726">
        <w:t>Handelspolitik</w:t>
      </w:r>
      <w:r w:rsidR="00B12B0E">
        <w:t xml:space="preserve"> und Maßnahmen zur Erhöhung der Nachfrage</w:t>
      </w:r>
    </w:p>
    <w:p w14:paraId="532DDCFE" w14:textId="77777777" w:rsidR="00564398" w:rsidRDefault="00564398" w:rsidP="004B2396"/>
    <w:p w14:paraId="741E864C" w14:textId="2EEC57E8" w:rsidR="001F4723" w:rsidRDefault="001F4723" w:rsidP="004B2396">
      <w:r>
        <w:t xml:space="preserve">Hier wird </w:t>
      </w:r>
      <w:r w:rsidR="00846726">
        <w:t xml:space="preserve">werden die zentralen Erkenntnisse </w:t>
      </w:r>
      <w:r w:rsidR="00B17644">
        <w:t xml:space="preserve">von Teil 1, 2 und 3 </w:t>
      </w:r>
      <w:r w:rsidR="00846726">
        <w:t>zusammengefa</w:t>
      </w:r>
      <w:r w:rsidR="00912E2C">
        <w:t>ss</w:t>
      </w:r>
      <w:r w:rsidR="00846726">
        <w:t>t</w:t>
      </w:r>
      <w:r>
        <w:t xml:space="preserve">: </w:t>
      </w:r>
    </w:p>
    <w:p w14:paraId="60A56C21" w14:textId="77777777" w:rsidR="00D82270" w:rsidRDefault="00D82270" w:rsidP="004B2396"/>
    <w:p w14:paraId="4555CA54" w14:textId="3BD1151D" w:rsidR="006E5843" w:rsidRDefault="006E5843" w:rsidP="004B2396">
      <w:r>
        <w:t>16.1</w:t>
      </w:r>
      <w:r w:rsidR="00223EC9">
        <w:t xml:space="preserve"> Steigerung der Produktionskapazitäten und des Ausbaus erneuerbarer Energien</w:t>
      </w:r>
    </w:p>
    <w:p w14:paraId="37057844" w14:textId="77777777" w:rsidR="006E5843" w:rsidRDefault="006E5843" w:rsidP="004B2396"/>
    <w:p w14:paraId="74DEC714" w14:textId="2AEB640D" w:rsidR="00535C32" w:rsidRDefault="00564398" w:rsidP="004B2396">
      <w:r>
        <w:t xml:space="preserve">In Teil 1 wurde herausgefunden, </w:t>
      </w:r>
      <w:r w:rsidRPr="00693944">
        <w:rPr>
          <w:u w:val="single"/>
        </w:rPr>
        <w:t xml:space="preserve">dass </w:t>
      </w:r>
      <w:r w:rsidR="00535C32" w:rsidRPr="00693944">
        <w:rPr>
          <w:u w:val="single"/>
        </w:rPr>
        <w:t xml:space="preserve">der Ausbau erneuerbarer Energien bis 2050 </w:t>
      </w:r>
      <w:r w:rsidR="00693944" w:rsidRPr="00693944">
        <w:rPr>
          <w:u w:val="single"/>
        </w:rPr>
        <w:t xml:space="preserve">stark gesteigert werden muss </w:t>
      </w:r>
      <w:r w:rsidR="00535C32" w:rsidRPr="00693944">
        <w:rPr>
          <w:u w:val="single"/>
        </w:rPr>
        <w:t xml:space="preserve">und dazu </w:t>
      </w:r>
      <w:r w:rsidRPr="00693944">
        <w:rPr>
          <w:u w:val="single"/>
        </w:rPr>
        <w:t xml:space="preserve">dringend </w:t>
      </w:r>
      <w:r w:rsidR="00BA52BF" w:rsidRPr="00693944">
        <w:rPr>
          <w:u w:val="single"/>
        </w:rPr>
        <w:t xml:space="preserve">weltweit </w:t>
      </w:r>
      <w:r w:rsidRPr="00693944">
        <w:rPr>
          <w:u w:val="single"/>
        </w:rPr>
        <w:t>Solarenergie</w:t>
      </w:r>
      <w:r w:rsidR="00535C32" w:rsidRPr="00693944">
        <w:rPr>
          <w:u w:val="single"/>
        </w:rPr>
        <w:t>-</w:t>
      </w:r>
      <w:r w:rsidRPr="00693944">
        <w:rPr>
          <w:u w:val="single"/>
        </w:rPr>
        <w:t xml:space="preserve"> und Windkraft</w:t>
      </w:r>
      <w:r w:rsidR="00535C32" w:rsidRPr="00693944">
        <w:rPr>
          <w:u w:val="single"/>
        </w:rPr>
        <w:t>produktionskapazitäten erhöht werde</w:t>
      </w:r>
      <w:r w:rsidR="00BA52BF" w:rsidRPr="00693944">
        <w:rPr>
          <w:u w:val="single"/>
        </w:rPr>
        <w:t>n</w:t>
      </w:r>
      <w:r w:rsidR="00535C32" w:rsidRPr="00693944">
        <w:rPr>
          <w:u w:val="single"/>
        </w:rPr>
        <w:t xml:space="preserve"> müssen</w:t>
      </w:r>
      <w:r w:rsidR="00535C32">
        <w:t>.</w:t>
      </w:r>
      <w:r>
        <w:t xml:space="preserve"> </w:t>
      </w:r>
    </w:p>
    <w:p w14:paraId="32D1590A" w14:textId="77777777" w:rsidR="00E10B92" w:rsidRDefault="00E10B92" w:rsidP="004B2396"/>
    <w:tbl>
      <w:tblPr>
        <w:tblStyle w:val="Tabellenraster"/>
        <w:tblW w:w="0" w:type="auto"/>
        <w:tblLook w:val="04A0" w:firstRow="1" w:lastRow="0" w:firstColumn="1" w:lastColumn="0" w:noHBand="0" w:noVBand="1"/>
      </w:tblPr>
      <w:tblGrid>
        <w:gridCol w:w="9062"/>
      </w:tblGrid>
      <w:tr w:rsidR="00E10B92" w14:paraId="4292A45F" w14:textId="77777777" w:rsidTr="00E10B92">
        <w:tc>
          <w:tcPr>
            <w:tcW w:w="9062" w:type="dxa"/>
          </w:tcPr>
          <w:p w14:paraId="65A9C9B0" w14:textId="65843841" w:rsidR="00566D5F" w:rsidRDefault="00566D5F" w:rsidP="00566D5F">
            <w:r w:rsidRPr="00B11813">
              <w:rPr>
                <w:b/>
                <w:bCs/>
              </w:rPr>
              <w:t>150.000 Terawattstunden</w:t>
            </w:r>
            <w:r>
              <w:t xml:space="preserve"> geteilt durch Solar und Wind</w:t>
            </w:r>
            <w:r w:rsidR="001F4723">
              <w:rPr>
                <w:rStyle w:val="Funotenzeichen"/>
              </w:rPr>
              <w:footnoteReference w:id="2327"/>
            </w:r>
            <w:r>
              <w:t>:</w:t>
            </w:r>
          </w:p>
          <w:p w14:paraId="3DAB5255" w14:textId="77777777" w:rsidR="00566D5F" w:rsidRDefault="00566D5F" w:rsidP="00566D5F">
            <w:r>
              <w:t xml:space="preserve"> </w:t>
            </w:r>
          </w:p>
          <w:p w14:paraId="594B93ED" w14:textId="7545B120" w:rsidR="009568A9" w:rsidRDefault="00E10B92" w:rsidP="00BF20D7">
            <w:r>
              <w:t>Solar: aus Teil 1</w:t>
            </w:r>
            <w:r w:rsidR="001F4723">
              <w:t xml:space="preserve">. </w:t>
            </w:r>
            <w:r w:rsidR="00BF20D7">
              <w:t xml:space="preserve">Im Solarbereich gibt es im Jahr 2023 weltweit </w:t>
            </w:r>
            <w:r w:rsidR="00BF20D7" w:rsidRPr="00CC77EB">
              <w:rPr>
                <w:b/>
                <w:bCs/>
              </w:rPr>
              <w:t>1400 GW</w:t>
            </w:r>
            <w:r w:rsidR="00BF20D7">
              <w:t xml:space="preserve"> installierter Solarenergie, dies hat zu </w:t>
            </w:r>
            <w:r w:rsidR="00BF20D7" w:rsidRPr="00AA4676">
              <w:rPr>
                <w:b/>
                <w:bCs/>
              </w:rPr>
              <w:t>1700 Terawattstunden</w:t>
            </w:r>
            <w:r w:rsidR="00BF20D7">
              <w:t xml:space="preserve"> jährlicher Leistung geführt, der Kapazitätsfaktor wird hier </w:t>
            </w:r>
            <w:r w:rsidR="00BF20D7">
              <w:lastRenderedPageBreak/>
              <w:t>vorsichtig mit 14 % bzw. * 0,14 angenommen.</w:t>
            </w:r>
            <w:r w:rsidR="00BF20D7">
              <w:rPr>
                <w:rStyle w:val="Funotenzeichen"/>
              </w:rPr>
              <w:footnoteReference w:id="2328"/>
            </w:r>
            <w:r w:rsidR="00BF20D7">
              <w:t xml:space="preserve"> Für China wird berichtet, dass 2023 217 GW angeschlossen wurden, 2 ½ mal mehr als im Vorjahr.</w:t>
            </w:r>
            <w:r w:rsidR="00BF20D7">
              <w:rPr>
                <w:rStyle w:val="Funotenzeichen"/>
              </w:rPr>
              <w:footnoteReference w:id="2329"/>
            </w:r>
            <w:r w:rsidR="00BF20D7">
              <w:t xml:space="preserve"> In Deutschland wurden 14,3 GW zugebaut.</w:t>
            </w:r>
            <w:r w:rsidR="00BF20D7">
              <w:rPr>
                <w:rStyle w:val="Funotenzeichen"/>
              </w:rPr>
              <w:footnoteReference w:id="2330"/>
            </w:r>
            <w:r w:rsidR="00BF20D7">
              <w:t xml:space="preserve"> Das heißt, </w:t>
            </w:r>
            <w:r w:rsidR="00BF20D7" w:rsidRPr="00C74230">
              <w:rPr>
                <w:u w:val="single"/>
              </w:rPr>
              <w:t xml:space="preserve">dass ‚nur‘ 850 </w:t>
            </w:r>
            <w:proofErr w:type="spellStart"/>
            <w:r w:rsidR="00BF20D7" w:rsidRPr="00C74230">
              <w:rPr>
                <w:u w:val="single"/>
              </w:rPr>
              <w:t>Benban</w:t>
            </w:r>
            <w:proofErr w:type="spellEnd"/>
            <w:r w:rsidR="00BF20D7" w:rsidRPr="00C74230">
              <w:rPr>
                <w:u w:val="single"/>
              </w:rPr>
              <w:t xml:space="preserve"> Solarparks </w:t>
            </w:r>
            <w:r w:rsidR="00BF20D7">
              <w:rPr>
                <w:u w:val="single"/>
              </w:rPr>
              <w:t xml:space="preserve">oder 28.333 Flughafen Barth Solarparks </w:t>
            </w:r>
            <w:r w:rsidR="00BF20D7" w:rsidRPr="00C74230">
              <w:rPr>
                <w:u w:val="single"/>
              </w:rPr>
              <w:t>weltweit schon bestehen</w:t>
            </w:r>
            <w:r w:rsidR="00BF20D7">
              <w:t>, wir brauchen aber 50.000 Benbans oder 1,6 Mill. Solarparks Flughafen Barth, für 100.000 Terawattstunden, den Rest muss die Windenergie schaffen.</w:t>
            </w:r>
            <w:r w:rsidR="001F4723">
              <w:t xml:space="preserve"> </w:t>
            </w:r>
          </w:p>
          <w:p w14:paraId="3F904FCC" w14:textId="77777777" w:rsidR="009568A9" w:rsidRDefault="009568A9" w:rsidP="00BF20D7"/>
          <w:p w14:paraId="22C47D1E" w14:textId="4376CC81" w:rsidR="00BF20D7" w:rsidRDefault="00BF20D7" w:rsidP="00BF20D7">
            <w:r>
              <w:t>Man könnte aber jedes Jahr im Solarbereich einen Zubau von 1100 GW schaffen. Denn 1100 GW sei im Jahr 2024 die weltweite Solar-Produktionskapazität, fast gänzlich in China, siehe diesen FAZ-Artikel.</w:t>
            </w:r>
            <w:r>
              <w:rPr>
                <w:rStyle w:val="Funotenzeichen"/>
              </w:rPr>
              <w:footnoteReference w:id="2331"/>
            </w:r>
            <w:r>
              <w:t xml:space="preserve"> </w:t>
            </w:r>
          </w:p>
          <w:p w14:paraId="501161E4" w14:textId="77777777" w:rsidR="00BF20D7" w:rsidRDefault="00BF20D7" w:rsidP="00E10B92"/>
          <w:p w14:paraId="1166FA68" w14:textId="51B4E2D9" w:rsidR="00E10B92" w:rsidRDefault="00E10B92" w:rsidP="00E10B92">
            <w:r>
              <w:t xml:space="preserve">1000 GW * 8760 = 8.760.000 GWh * 0,1 = 876.000 GW, das sind </w:t>
            </w:r>
            <w:r w:rsidRPr="00924763">
              <w:rPr>
                <w:b/>
                <w:bCs/>
              </w:rPr>
              <w:t>876 Terawatt</w:t>
            </w:r>
            <w:r>
              <w:rPr>
                <w:b/>
                <w:bCs/>
              </w:rPr>
              <w:t xml:space="preserve">stunden </w:t>
            </w:r>
            <w:r w:rsidRPr="00E23B2B">
              <w:t>im Jahr</w:t>
            </w:r>
            <w:r>
              <w:t>.</w:t>
            </w:r>
          </w:p>
          <w:p w14:paraId="36A13256" w14:textId="57552FF8" w:rsidR="00E10B92" w:rsidRDefault="00E10B92" w:rsidP="00E10B92">
            <w:r>
              <w:t>In 25 Jahren wären dies 21.900 Terawattstunden. Oben wurden schon gezeigt, dass man bei einem Kapazitätsfaktor von 0,26 auch auf 56.925 kommen würde. Dieser Kapazitätsfaktor von 0,1 ist aber für die ganze Welt unrealistisch. Und: es reicht nicht.</w:t>
            </w:r>
          </w:p>
          <w:p w14:paraId="624F1348" w14:textId="77777777" w:rsidR="009568A9" w:rsidRDefault="009568A9" w:rsidP="00E10B92"/>
          <w:p w14:paraId="78681404" w14:textId="79D855C7" w:rsidR="00E10B92" w:rsidRDefault="00E10B92" w:rsidP="00E10B92">
            <w:r w:rsidRPr="00B101B9">
              <w:t>2000 GW * 8760 = 17.520.000 GWh * 0,14 = 2.452.800 GWh, das sin</w:t>
            </w:r>
            <w:r>
              <w:t xml:space="preserve">d </w:t>
            </w:r>
            <w:r w:rsidRPr="00B101B9">
              <w:rPr>
                <w:b/>
                <w:bCs/>
              </w:rPr>
              <w:t>2452 Terawattstunden</w:t>
            </w:r>
            <w:r>
              <w:rPr>
                <w:b/>
                <w:bCs/>
              </w:rPr>
              <w:t xml:space="preserve"> </w:t>
            </w:r>
            <w:r w:rsidRPr="00E23B2B">
              <w:t>im Jahr</w:t>
            </w:r>
            <w:r>
              <w:t xml:space="preserve">. In 25 Jahren wären dies </w:t>
            </w:r>
            <w:r>
              <w:rPr>
                <w:b/>
                <w:bCs/>
              </w:rPr>
              <w:t>61.320</w:t>
            </w:r>
            <w:r w:rsidRPr="001751AB">
              <w:rPr>
                <w:b/>
                <w:bCs/>
              </w:rPr>
              <w:t xml:space="preserve"> Terawattstunden</w:t>
            </w:r>
            <w:r>
              <w:t xml:space="preserve">. Das ist schonmal gut. </w:t>
            </w:r>
          </w:p>
          <w:p w14:paraId="3E963B3B" w14:textId="2178C0AE" w:rsidR="00E10B92" w:rsidRDefault="00E10B92" w:rsidP="00E10B92">
            <w:r w:rsidRPr="00420FAE">
              <w:t>3000 GW * 8760 = 26.280.000 GWh * 0</w:t>
            </w:r>
            <w:r>
              <w:t>,</w:t>
            </w:r>
            <w:r w:rsidRPr="00420FAE">
              <w:t>14 = 3.679.200 GWh, das sin</w:t>
            </w:r>
            <w:r>
              <w:t xml:space="preserve">d </w:t>
            </w:r>
            <w:r w:rsidRPr="00420FAE">
              <w:rPr>
                <w:b/>
                <w:bCs/>
              </w:rPr>
              <w:t>3679 Terawattstunden</w:t>
            </w:r>
            <w:r>
              <w:rPr>
                <w:b/>
                <w:bCs/>
              </w:rPr>
              <w:t xml:space="preserve"> </w:t>
            </w:r>
            <w:r w:rsidRPr="00E23B2B">
              <w:t>im Jahr</w:t>
            </w:r>
            <w:r>
              <w:t>.</w:t>
            </w:r>
            <w:r w:rsidR="001F4723">
              <w:t xml:space="preserve"> </w:t>
            </w:r>
            <w:r w:rsidRPr="00420FAE">
              <w:t xml:space="preserve">In 25 Jahren wären dies </w:t>
            </w:r>
            <w:r w:rsidRPr="00420FAE">
              <w:rPr>
                <w:b/>
                <w:bCs/>
              </w:rPr>
              <w:t>91.980 Terawattstunden</w:t>
            </w:r>
            <w:r w:rsidRPr="00420FAE">
              <w:t>. Das wäre eine Hausnummer</w:t>
            </w:r>
            <w:r>
              <w:t>, das Ziel von 100.000 Terawattstunden ist beinahe erreicht</w:t>
            </w:r>
            <w:r w:rsidRPr="00420FAE">
              <w:t>.</w:t>
            </w:r>
          </w:p>
          <w:p w14:paraId="1E131F02" w14:textId="77777777" w:rsidR="00E10B92" w:rsidRDefault="00E10B92" w:rsidP="004B2396"/>
          <w:p w14:paraId="563E6F15" w14:textId="2C25F60F" w:rsidR="009568A9" w:rsidRDefault="009568A9" w:rsidP="009568A9">
            <w:r w:rsidRPr="00846726">
              <w:rPr>
                <w:b/>
                <w:bCs/>
              </w:rPr>
              <w:t xml:space="preserve">Die Solarproduktionskapazität muss </w:t>
            </w:r>
            <w:r>
              <w:rPr>
                <w:b/>
                <w:bCs/>
              </w:rPr>
              <w:t xml:space="preserve">also </w:t>
            </w:r>
            <w:r w:rsidRPr="00846726">
              <w:rPr>
                <w:b/>
                <w:bCs/>
                <w:u w:val="single"/>
              </w:rPr>
              <w:t>verdreifacht</w:t>
            </w:r>
            <w:r w:rsidRPr="00846726">
              <w:rPr>
                <w:b/>
                <w:bCs/>
              </w:rPr>
              <w:t xml:space="preserve"> werden</w:t>
            </w:r>
            <w:r>
              <w:t xml:space="preserve">: China 1500 GW, USA 500 GW, EU 500 GW, Indien 100 GW, Malaysia 100 </w:t>
            </w:r>
            <w:proofErr w:type="gramStart"/>
            <w:r>
              <w:t>GW,  Vietnam</w:t>
            </w:r>
            <w:proofErr w:type="gramEnd"/>
            <w:r>
              <w:t xml:space="preserve"> 100 GW, Brasilien 100 GW, Indonesien 100 GW wäre z.B. vorstellbar, dann hätte man weltweit 3000 GW weltweite Solarproduktionskapazität. Weil aber die Windenergie wahrscheinlich ihre Kapazität nicht verzehnfachen kann, wäre bei Solar auch </w:t>
            </w:r>
            <w:r w:rsidRPr="00846726">
              <w:rPr>
                <w:b/>
                <w:bCs/>
              </w:rPr>
              <w:t>eine Vervierfachung der Produktionskapazität auf 4000 GW sinnvoll</w:t>
            </w:r>
            <w:r>
              <w:t>.</w:t>
            </w:r>
          </w:p>
          <w:p w14:paraId="3B0BFEE5" w14:textId="77777777" w:rsidR="009568A9" w:rsidRDefault="009568A9" w:rsidP="004B2396"/>
          <w:p w14:paraId="5C669B46" w14:textId="0A25749C" w:rsidR="00BF20D7" w:rsidRDefault="00BF20D7" w:rsidP="00BF20D7">
            <w:r>
              <w:t>Wind</w:t>
            </w:r>
            <w:r w:rsidR="001F4723">
              <w:t xml:space="preserve">: aus Teil 1. </w:t>
            </w:r>
            <w:r>
              <w:t xml:space="preserve">Insgesamt wurde weltweit ungefähr </w:t>
            </w:r>
            <w:r w:rsidRPr="00CC77EB">
              <w:rPr>
                <w:b/>
                <w:bCs/>
              </w:rPr>
              <w:t xml:space="preserve">1000 GW Windenergie installiert (Offshore und </w:t>
            </w:r>
            <w:proofErr w:type="spellStart"/>
            <w:r w:rsidRPr="00CC77EB">
              <w:rPr>
                <w:b/>
                <w:bCs/>
              </w:rPr>
              <w:t>Onshore</w:t>
            </w:r>
            <w:proofErr w:type="spellEnd"/>
            <w:r w:rsidRPr="00CC77EB">
              <w:rPr>
                <w:b/>
                <w:bCs/>
              </w:rPr>
              <w:t>)</w:t>
            </w:r>
            <w:r>
              <w:t xml:space="preserve">, dies hat zu </w:t>
            </w:r>
            <w:r w:rsidRPr="00AA4676">
              <w:rPr>
                <w:b/>
                <w:bCs/>
              </w:rPr>
              <w:t>2400 Terawattstunden</w:t>
            </w:r>
            <w:r>
              <w:t xml:space="preserve"> jährlicher Stromerzeugung geführt, in einem Bericht wird ein </w:t>
            </w:r>
            <w:r w:rsidRPr="00CC77EB">
              <w:rPr>
                <w:u w:val="single"/>
              </w:rPr>
              <w:t>insgesamter Kapazitätsfaktor von 26 %</w:t>
            </w:r>
            <w:r>
              <w:t xml:space="preserve"> angegeben, für Offshore </w:t>
            </w:r>
            <w:r w:rsidR="005B380E">
              <w:t xml:space="preserve">und </w:t>
            </w:r>
            <w:proofErr w:type="spellStart"/>
            <w:r w:rsidR="005B380E">
              <w:t>Onshore</w:t>
            </w:r>
            <w:proofErr w:type="spellEnd"/>
            <w:r w:rsidR="005B380E">
              <w:t xml:space="preserve"> </w:t>
            </w:r>
            <w:r>
              <w:t>gemeinsam, wobei Offshore höhere Werte hat.</w:t>
            </w:r>
            <w:r>
              <w:rPr>
                <w:rStyle w:val="Funotenzeichen"/>
              </w:rPr>
              <w:footnoteReference w:id="2332"/>
            </w:r>
            <w:r>
              <w:t xml:space="preserve"> Im Bereich erneuerbarer Energien erzeugt Offshore- und </w:t>
            </w:r>
            <w:proofErr w:type="spellStart"/>
            <w:r>
              <w:t>Onshore</w:t>
            </w:r>
            <w:proofErr w:type="spellEnd"/>
            <w:r>
              <w:t>-Windkraft im Moment zusammen mehr Strom als Solar (Solar: 1700 TWh, Wind: 2400 TWh).</w:t>
            </w:r>
          </w:p>
          <w:p w14:paraId="675FB002" w14:textId="77777777" w:rsidR="00BF20D7" w:rsidRDefault="00BF20D7" w:rsidP="00BF20D7">
            <w:r>
              <w:t xml:space="preserve"> </w:t>
            </w:r>
          </w:p>
          <w:p w14:paraId="5CF025ED" w14:textId="77777777" w:rsidR="00BF20D7" w:rsidRDefault="00BF20D7" w:rsidP="00BF20D7">
            <w:r w:rsidRPr="00CC77EB">
              <w:rPr>
                <w:b/>
                <w:bCs/>
              </w:rPr>
              <w:t>2400 Terawattstunden</w:t>
            </w:r>
            <w:r>
              <w:t xml:space="preserve"> umgerechnet sind ‚nur‘ </w:t>
            </w:r>
            <w:r w:rsidRPr="0001329F">
              <w:rPr>
                <w:u w:val="single"/>
              </w:rPr>
              <w:t>400</w:t>
            </w:r>
            <w:r>
              <w:t xml:space="preserve"> Hohe See / Albatros Offshore Windparks (mit 34.800 Windkraftanlagen) </w:t>
            </w:r>
            <w:r w:rsidRPr="0001329F">
              <w:rPr>
                <w:u w:val="single"/>
              </w:rPr>
              <w:t>oder</w:t>
            </w:r>
            <w:r>
              <w:t xml:space="preserve"> </w:t>
            </w:r>
            <w:r w:rsidRPr="0001329F">
              <w:rPr>
                <w:u w:val="single"/>
              </w:rPr>
              <w:t>4000</w:t>
            </w:r>
            <w:r>
              <w:t xml:space="preserve"> </w:t>
            </w:r>
            <w:proofErr w:type="spellStart"/>
            <w:r>
              <w:t>Tarfaya</w:t>
            </w:r>
            <w:proofErr w:type="spellEnd"/>
            <w:r>
              <w:t xml:space="preserve"> Landwindparks (mit 524.000 Windkraftanlagen) oder 8000 Werder Kessen Landwindparks (224.000 Windkraftanalagen, 15 mal 7,5 MW und 13 mal 2,3 MW), das ist das, was wir im Moment weltweit an Windenergie haben.</w:t>
            </w:r>
          </w:p>
          <w:p w14:paraId="6BDB92A7" w14:textId="77777777" w:rsidR="00BF20D7" w:rsidRDefault="00BF20D7" w:rsidP="004B2396"/>
          <w:p w14:paraId="70B28696" w14:textId="2C6B3372" w:rsidR="00BF20D7" w:rsidRDefault="00BF20D7" w:rsidP="004B2396">
            <w:pPr>
              <w:rPr>
                <w:b/>
                <w:bCs/>
              </w:rPr>
            </w:pPr>
            <w:r>
              <w:t>Derzeit haben wird eine</w:t>
            </w:r>
            <w:r w:rsidR="009568A9">
              <w:t>n</w:t>
            </w:r>
            <w:r>
              <w:t xml:space="preserve"> Zubau von 120 GW</w:t>
            </w:r>
            <w:r w:rsidR="009568A9">
              <w:t xml:space="preserve"> (dies nehme ich auch ungefähr als die derzeitige Produktionskapazität an)</w:t>
            </w:r>
            <w:r>
              <w:t>. Wie viele Terawattstunden schafft man mit 120 GW</w:t>
            </w:r>
            <w:r w:rsidR="009568A9">
              <w:t xml:space="preserve"> pro Jahr</w:t>
            </w:r>
            <w:r>
              <w:t xml:space="preserve">? 120 GW * 8760 = 1.051.200 * 0,26 (Kapazitätsfaktor, als Zwischenwert zwischen Landwind und Offshore, siehe oben) = 273.312 GW, das sind pro Jahr </w:t>
            </w:r>
            <w:r w:rsidRPr="00465163">
              <w:rPr>
                <w:b/>
                <w:bCs/>
              </w:rPr>
              <w:t>273 Terawattstunden</w:t>
            </w:r>
            <w:r>
              <w:rPr>
                <w:b/>
                <w:bCs/>
              </w:rPr>
              <w:t>.</w:t>
            </w:r>
          </w:p>
          <w:p w14:paraId="4A78388A" w14:textId="77777777" w:rsidR="00BF20D7" w:rsidRDefault="00BF20D7" w:rsidP="004B2396">
            <w:pPr>
              <w:rPr>
                <w:b/>
                <w:bCs/>
              </w:rPr>
            </w:pPr>
          </w:p>
          <w:p w14:paraId="1955677C" w14:textId="0E25002E" w:rsidR="00BF20D7" w:rsidRDefault="00BF20D7" w:rsidP="00BF20D7">
            <w:r>
              <w:lastRenderedPageBreak/>
              <w:t xml:space="preserve">Zum Vergleich: Wie viele Terawattstunden schafft man mit 1000 GW Solar, das sind, siehe oben, pro Jahr </w:t>
            </w:r>
            <w:r>
              <w:rPr>
                <w:b/>
                <w:bCs/>
              </w:rPr>
              <w:t xml:space="preserve">1226 </w:t>
            </w:r>
            <w:r w:rsidRPr="00DE6A07">
              <w:rPr>
                <w:b/>
                <w:bCs/>
              </w:rPr>
              <w:t>Terawattstunden</w:t>
            </w:r>
            <w:r>
              <w:t xml:space="preserve">. </w:t>
            </w:r>
            <w:r w:rsidR="009568A9">
              <w:t>W</w:t>
            </w:r>
            <w:r>
              <w:t>as schaffen wir mit der jetzt vorhandenen Produktionskapazität mit Solar und mit Wind</w:t>
            </w:r>
            <w:r w:rsidR="009568A9">
              <w:t xml:space="preserve"> in 25 </w:t>
            </w:r>
            <w:proofErr w:type="gramStart"/>
            <w:r w:rsidR="009568A9">
              <w:t>Jahren</w:t>
            </w:r>
            <w:r>
              <w:t>?:</w:t>
            </w:r>
            <w:proofErr w:type="gramEnd"/>
          </w:p>
          <w:p w14:paraId="7C6FB7DD" w14:textId="77777777" w:rsidR="00BF20D7" w:rsidRDefault="00BF20D7" w:rsidP="00BF20D7"/>
          <w:p w14:paraId="64EDA5D9" w14:textId="77777777" w:rsidR="00BF20D7" w:rsidRDefault="00BF20D7" w:rsidP="00BF20D7">
            <w:r>
              <w:t xml:space="preserve">Dies sind für Solar gerechnet in 25 Jahren Zubau: </w:t>
            </w:r>
            <w:r w:rsidRPr="0039771C">
              <w:rPr>
                <w:b/>
                <w:bCs/>
              </w:rPr>
              <w:t>30.650 Terawatt</w:t>
            </w:r>
            <w:r>
              <w:t xml:space="preserve">. </w:t>
            </w:r>
          </w:p>
          <w:p w14:paraId="0C006CBF" w14:textId="77777777" w:rsidR="00BF20D7" w:rsidRDefault="00BF20D7" w:rsidP="00BF20D7">
            <w:pPr>
              <w:rPr>
                <w:b/>
                <w:bCs/>
              </w:rPr>
            </w:pPr>
            <w:r>
              <w:t xml:space="preserve">Dies sind für Wind gerechnet für 25 Jahre Zubau: </w:t>
            </w:r>
            <w:r w:rsidRPr="0028021C">
              <w:rPr>
                <w:u w:val="single"/>
              </w:rPr>
              <w:t>nur</w:t>
            </w:r>
            <w:r>
              <w:t xml:space="preserve"> </w:t>
            </w:r>
            <w:r w:rsidRPr="00465163">
              <w:rPr>
                <w:b/>
                <w:bCs/>
              </w:rPr>
              <w:t>6825 Terawattstunden</w:t>
            </w:r>
            <w:r>
              <w:rPr>
                <w:b/>
                <w:bCs/>
              </w:rPr>
              <w:t xml:space="preserve">. </w:t>
            </w:r>
          </w:p>
          <w:p w14:paraId="6FFB5E16" w14:textId="77777777" w:rsidR="00BF20D7" w:rsidRDefault="00BF20D7" w:rsidP="004B2396"/>
          <w:p w14:paraId="6B680D5D" w14:textId="453EF08F" w:rsidR="00BF20D7" w:rsidRDefault="00BF20D7" w:rsidP="00BF20D7">
            <w:r>
              <w:t>Wie weit würde man mit einer ungefähr verzehnfachten Produktion (</w:t>
            </w:r>
            <w:proofErr w:type="spellStart"/>
            <w:r>
              <w:t>Onshore</w:t>
            </w:r>
            <w:proofErr w:type="spellEnd"/>
            <w:r>
              <w:t xml:space="preserve"> und Offshore zusammen) kommen, </w:t>
            </w:r>
            <w:r w:rsidR="009568A9">
              <w:t xml:space="preserve">also 100 GW im Jahr, </w:t>
            </w:r>
            <w:r>
              <w:t>mit dem Kapazitätsfaktor 0,26 (</w:t>
            </w:r>
            <w:proofErr w:type="spellStart"/>
            <w:r>
              <w:t>Onshore</w:t>
            </w:r>
            <w:proofErr w:type="spellEnd"/>
            <w:r>
              <w:t xml:space="preserve"> und </w:t>
            </w:r>
            <w:proofErr w:type="spellStart"/>
            <w:r>
              <w:t>Offhore</w:t>
            </w:r>
            <w:proofErr w:type="spellEnd"/>
            <w:r>
              <w:t xml:space="preserve"> zusammen) gerechnet? </w:t>
            </w:r>
          </w:p>
          <w:p w14:paraId="11D59D74" w14:textId="77777777" w:rsidR="00BF20D7" w:rsidRDefault="00BF20D7" w:rsidP="00BF20D7"/>
          <w:p w14:paraId="63EAD24C" w14:textId="69894423" w:rsidR="00BF20D7" w:rsidRDefault="00BF20D7" w:rsidP="004B2396">
            <w:r>
              <w:t xml:space="preserve">1000 GW * 8760 = 8.760.000 * 0,26 = 2.227.600 GWh, das sind </w:t>
            </w:r>
            <w:r w:rsidRPr="00096949">
              <w:rPr>
                <w:b/>
                <w:bCs/>
              </w:rPr>
              <w:t>2227 Terawattstunden</w:t>
            </w:r>
            <w:r>
              <w:t xml:space="preserve">. Dies sind in 25 Jahren </w:t>
            </w:r>
            <w:r w:rsidRPr="00096949">
              <w:rPr>
                <w:b/>
                <w:bCs/>
              </w:rPr>
              <w:t>56.940 Terawattstunden</w:t>
            </w:r>
            <w:r>
              <w:t xml:space="preserve">. </w:t>
            </w:r>
            <w:r w:rsidR="001F4723" w:rsidRPr="001F4723">
              <w:rPr>
                <w:u w:val="single"/>
              </w:rPr>
              <w:t xml:space="preserve">Damit würde Solar und Wind zusammen auf 150.000 Terawattstunden kommen. </w:t>
            </w:r>
            <w:r w:rsidR="009568A9">
              <w:t xml:space="preserve">Die Produktionskapazität von Windenergie muss also muss ungefähr </w:t>
            </w:r>
            <w:r w:rsidR="009568A9" w:rsidRPr="001F4723">
              <w:rPr>
                <w:u w:val="single"/>
              </w:rPr>
              <w:t>verzehnfacht</w:t>
            </w:r>
            <w:r w:rsidR="009568A9">
              <w:t xml:space="preserve"> werden. </w:t>
            </w:r>
          </w:p>
        </w:tc>
      </w:tr>
    </w:tbl>
    <w:p w14:paraId="23A88243" w14:textId="77777777" w:rsidR="00E10B92" w:rsidRDefault="00E10B92" w:rsidP="004B2396"/>
    <w:p w14:paraId="6CF46485" w14:textId="34B6B74D" w:rsidR="00C37AD4" w:rsidRDefault="00873CE0" w:rsidP="00C37AD4">
      <w:r w:rsidRPr="00A8181E">
        <w:t xml:space="preserve">Wir brauchen also </w:t>
      </w:r>
      <w:proofErr w:type="gramStart"/>
      <w:r w:rsidRPr="007759CA">
        <w:rPr>
          <w:b/>
          <w:bCs/>
          <w:u w:val="single"/>
        </w:rPr>
        <w:t>4 mal</w:t>
      </w:r>
      <w:proofErr w:type="gramEnd"/>
      <w:r w:rsidRPr="007759CA">
        <w:rPr>
          <w:b/>
          <w:bCs/>
          <w:u w:val="single"/>
        </w:rPr>
        <w:t xml:space="preserve"> so viel Solar</w:t>
      </w:r>
      <w:r w:rsidR="00A8181E" w:rsidRPr="007759CA">
        <w:rPr>
          <w:b/>
          <w:bCs/>
          <w:u w:val="single"/>
        </w:rPr>
        <w:t>produktions</w:t>
      </w:r>
      <w:r w:rsidRPr="007759CA">
        <w:rPr>
          <w:b/>
          <w:bCs/>
          <w:u w:val="single"/>
        </w:rPr>
        <w:t>kapazität</w:t>
      </w:r>
      <w:r w:rsidRPr="00A8181E">
        <w:t xml:space="preserve"> und </w:t>
      </w:r>
      <w:proofErr w:type="gramStart"/>
      <w:r w:rsidRPr="007759CA">
        <w:rPr>
          <w:b/>
          <w:bCs/>
          <w:u w:val="single"/>
        </w:rPr>
        <w:t>10 mal</w:t>
      </w:r>
      <w:proofErr w:type="gramEnd"/>
      <w:r w:rsidRPr="007759CA">
        <w:rPr>
          <w:b/>
          <w:bCs/>
          <w:u w:val="single"/>
        </w:rPr>
        <w:t xml:space="preserve"> so viel Windenergie</w:t>
      </w:r>
      <w:r w:rsidR="00A8181E" w:rsidRPr="007759CA">
        <w:rPr>
          <w:b/>
          <w:bCs/>
          <w:u w:val="single"/>
        </w:rPr>
        <w:t>produktions</w:t>
      </w:r>
      <w:r w:rsidRPr="007759CA">
        <w:rPr>
          <w:b/>
          <w:bCs/>
          <w:u w:val="single"/>
        </w:rPr>
        <w:t>kapazität</w:t>
      </w:r>
      <w:r w:rsidR="0045222A">
        <w:rPr>
          <w:b/>
          <w:bCs/>
        </w:rPr>
        <w:t xml:space="preserve"> um bis 2050 den Energieverbrauch der Welt abdecken zu können</w:t>
      </w:r>
      <w:r>
        <w:t>.</w:t>
      </w:r>
      <w:r w:rsidRPr="00D45B39">
        <w:rPr>
          <w:u w:val="single"/>
        </w:rPr>
        <w:t xml:space="preserve"> </w:t>
      </w:r>
      <w:r w:rsidR="00C37AD4" w:rsidRPr="00D45B39">
        <w:rPr>
          <w:u w:val="single"/>
        </w:rPr>
        <w:t xml:space="preserve">Alle großen Länder der Welt </w:t>
      </w:r>
      <w:r w:rsidR="00E66F89">
        <w:rPr>
          <w:u w:val="single"/>
        </w:rPr>
        <w:t>müssen</w:t>
      </w:r>
      <w:r w:rsidR="00D45B39" w:rsidRPr="00D45B39">
        <w:rPr>
          <w:u w:val="single"/>
        </w:rPr>
        <w:t xml:space="preserve"> </w:t>
      </w:r>
      <w:r w:rsidR="00C37AD4" w:rsidRPr="00D45B39">
        <w:rPr>
          <w:u w:val="single"/>
        </w:rPr>
        <w:t xml:space="preserve">Kapazitäten im Bereich Solar- und Windkraftanlagen </w:t>
      </w:r>
      <w:r w:rsidR="007759CA" w:rsidRPr="007759CA">
        <w:rPr>
          <w:b/>
          <w:bCs/>
          <w:u w:val="single"/>
        </w:rPr>
        <w:t xml:space="preserve">aber auch </w:t>
      </w:r>
      <w:r w:rsidR="00C37AD4" w:rsidRPr="007759CA">
        <w:rPr>
          <w:b/>
          <w:bCs/>
          <w:u w:val="single"/>
        </w:rPr>
        <w:t>im Bereich gesicherter Leistung</w:t>
      </w:r>
      <w:r w:rsidR="00C37AD4" w:rsidRPr="00D45B39">
        <w:rPr>
          <w:u w:val="single"/>
        </w:rPr>
        <w:t xml:space="preserve"> aufbauen, </w:t>
      </w:r>
      <w:r w:rsidR="00D45B39" w:rsidRPr="00D45B39">
        <w:rPr>
          <w:u w:val="single"/>
        </w:rPr>
        <w:t>um die Energiewende zu schaffen</w:t>
      </w:r>
      <w:r w:rsidR="00D45B39">
        <w:t xml:space="preserve">, </w:t>
      </w:r>
      <w:r w:rsidR="00C37AD4">
        <w:t xml:space="preserve">auch deshalb, um technologische Fähigkeiten auf diesem Gebiet zu erwerben. Realistischerweise werden dennoch viele Länder rein von Importen abhängig </w:t>
      </w:r>
      <w:r w:rsidR="001F6143">
        <w:t>bleiben</w:t>
      </w:r>
      <w:r w:rsidR="00C37AD4">
        <w:t>.</w:t>
      </w:r>
    </w:p>
    <w:p w14:paraId="2F910C4B" w14:textId="77777777" w:rsidR="00E66F89" w:rsidRDefault="00E66F89" w:rsidP="00C37AD4"/>
    <w:p w14:paraId="113BFAC7" w14:textId="65C18BD9" w:rsidR="00846726" w:rsidRDefault="00873CE0" w:rsidP="004B2396">
      <w:r>
        <w:t>W</w:t>
      </w:r>
      <w:r w:rsidR="00D03325">
        <w:t xml:space="preserve">ir brauchen </w:t>
      </w:r>
      <w:r w:rsidR="007759CA">
        <w:t xml:space="preserve">also </w:t>
      </w:r>
      <w:r w:rsidR="007759CA">
        <w:rPr>
          <w:u w:val="single"/>
        </w:rPr>
        <w:t xml:space="preserve">bei allen diesen </w:t>
      </w:r>
      <w:r w:rsidR="006E5843" w:rsidRPr="0045222A">
        <w:rPr>
          <w:u w:val="single"/>
        </w:rPr>
        <w:t xml:space="preserve">Technologien </w:t>
      </w:r>
      <w:r w:rsidR="00846726" w:rsidRPr="0045222A">
        <w:rPr>
          <w:u w:val="single"/>
        </w:rPr>
        <w:t>eine Erhöhung der Produktionskapazität</w:t>
      </w:r>
      <w:r w:rsidR="002C4998">
        <w:t xml:space="preserve">: </w:t>
      </w:r>
      <w:r w:rsidR="00BA52BF">
        <w:t>Solar-, Windkraft, Atom</w:t>
      </w:r>
      <w:r w:rsidR="00146752">
        <w:t>kraft</w:t>
      </w:r>
      <w:r w:rsidR="009568A9">
        <w:t xml:space="preserve"> (aber Uran</w:t>
      </w:r>
      <w:r w:rsidR="00146752">
        <w:t xml:space="preserve"> ist</w:t>
      </w:r>
      <w:r w:rsidR="009568A9">
        <w:t xml:space="preserve"> endlich)</w:t>
      </w:r>
      <w:r w:rsidR="00BA52BF">
        <w:t xml:space="preserve">, Wasserkraft, Biogas, Geothermie, Großwärmepumpen, Wärmepumpen, </w:t>
      </w:r>
      <w:r w:rsidR="002C4998">
        <w:t xml:space="preserve">Wasserspeicherkraftwerke, Großbatterien, </w:t>
      </w:r>
      <w:r w:rsidR="00BA52BF">
        <w:t>Batteriespeicher</w:t>
      </w:r>
      <w:r w:rsidR="002C4998">
        <w:t xml:space="preserve"> für E-Autos und Lkw</w:t>
      </w:r>
      <w:r w:rsidR="00BA52BF">
        <w:t xml:space="preserve">, </w:t>
      </w:r>
      <w:r w:rsidR="002C4998">
        <w:t xml:space="preserve">Brennstoffzellen, </w:t>
      </w:r>
      <w:r w:rsidR="00D51FF5">
        <w:t xml:space="preserve">Elektrolyseure, die Wasserstoff herstellen, </w:t>
      </w:r>
      <w:r w:rsidR="00BA52BF">
        <w:t>wasserstoffbetriebenen Gaskraftwerke,</w:t>
      </w:r>
      <w:r w:rsidR="00846726">
        <w:t xml:space="preserve"> Produktionsanlagen für</w:t>
      </w:r>
      <w:r w:rsidR="00BA52BF">
        <w:t xml:space="preserve"> </w:t>
      </w:r>
      <w:r w:rsidR="00D51FF5">
        <w:t>grüne</w:t>
      </w:r>
      <w:r w:rsidR="002C4998">
        <w:t>r</w:t>
      </w:r>
      <w:r w:rsidR="00D51FF5">
        <w:t xml:space="preserve"> Ammoniak, über einen grünen Haber-Bosch-Prozess hergestellt wird,</w:t>
      </w:r>
      <w:r w:rsidR="00846726">
        <w:t xml:space="preserve"> Produktionsanalagen für grünes Napht</w:t>
      </w:r>
      <w:r w:rsidR="009568A9">
        <w:t>h</w:t>
      </w:r>
      <w:r w:rsidR="00846726">
        <w:t>a und grünes Ethylen, über Fischer-Tropsch oder über Methanol zu Olefinen</w:t>
      </w:r>
      <w:r w:rsidR="00146752">
        <w:t>. Dies sind die</w:t>
      </w:r>
      <w:r w:rsidR="00D51FF5">
        <w:t xml:space="preserve"> </w:t>
      </w:r>
      <w:r w:rsidR="00BA52BF">
        <w:t xml:space="preserve">prägenden Energiequellen </w:t>
      </w:r>
      <w:r w:rsidR="002C4998">
        <w:t>und Technologien der</w:t>
      </w:r>
      <w:r w:rsidR="00BA52BF">
        <w:t xml:space="preserve"> Zukunft</w:t>
      </w:r>
      <w:r w:rsidR="00846726">
        <w:t>.</w:t>
      </w:r>
    </w:p>
    <w:p w14:paraId="1AD1EDF7" w14:textId="77777777" w:rsidR="00146752" w:rsidRDefault="00146752" w:rsidP="004B2396">
      <w:r>
        <w:t xml:space="preserve"> </w:t>
      </w:r>
    </w:p>
    <w:p w14:paraId="5CF98AAE" w14:textId="035C3E40" w:rsidR="00E66F89" w:rsidRDefault="00873CE0" w:rsidP="004B2396">
      <w:r>
        <w:t>Hier wurde</w:t>
      </w:r>
      <w:r w:rsidR="00E66F89">
        <w:t xml:space="preserve"> festgestellt, dass</w:t>
      </w:r>
      <w:r w:rsidR="007759CA">
        <w:t xml:space="preserve"> </w:t>
      </w:r>
      <w:r w:rsidR="00200C92">
        <w:t xml:space="preserve">die </w:t>
      </w:r>
      <w:r w:rsidR="00E66F89" w:rsidRPr="00E66F89">
        <w:rPr>
          <w:u w:val="single"/>
        </w:rPr>
        <w:t>Dimension</w:t>
      </w:r>
      <w:r w:rsidR="00E66F89">
        <w:t xml:space="preserve"> der Energiewende in Deutschland in den Ausbauzielen im EEG-Gesetz richtig getroffen wurde.</w:t>
      </w:r>
      <w:r>
        <w:t xml:space="preserve"> Wenn man allerdings von einen höheren Wasserstoffausbau ausgeht, kann es auch sein, dass </w:t>
      </w:r>
      <w:r w:rsidR="00200C92" w:rsidRPr="0045222A">
        <w:rPr>
          <w:b/>
          <w:bCs/>
        </w:rPr>
        <w:t xml:space="preserve">doch </w:t>
      </w:r>
      <w:r w:rsidRPr="00FA3867">
        <w:rPr>
          <w:b/>
          <w:bCs/>
          <w:u w:val="single"/>
        </w:rPr>
        <w:t>mehr</w:t>
      </w:r>
      <w:r w:rsidRPr="0045222A">
        <w:rPr>
          <w:b/>
          <w:bCs/>
        </w:rPr>
        <w:t xml:space="preserve"> erneuerbare Energien </w:t>
      </w:r>
      <w:r w:rsidR="00200C92" w:rsidRPr="0045222A">
        <w:rPr>
          <w:b/>
          <w:bCs/>
        </w:rPr>
        <w:t xml:space="preserve">in Deutschland </w:t>
      </w:r>
      <w:r w:rsidRPr="0045222A">
        <w:rPr>
          <w:b/>
          <w:bCs/>
        </w:rPr>
        <w:t>benötigt werden</w:t>
      </w:r>
      <w:r>
        <w:t xml:space="preserve">, deshalb </w:t>
      </w:r>
      <w:r w:rsidR="001E43A4">
        <w:t xml:space="preserve">macht </w:t>
      </w:r>
      <w:r w:rsidR="0045222A">
        <w:t xml:space="preserve">auch </w:t>
      </w:r>
      <w:r w:rsidR="001E43A4">
        <w:t>in Deutschland</w:t>
      </w:r>
      <w:r>
        <w:t xml:space="preserve"> die Erhöhung der </w:t>
      </w:r>
      <w:r w:rsidR="001E43A4">
        <w:t xml:space="preserve">des Ausbaus und der </w:t>
      </w:r>
      <w:r>
        <w:t>Kapazität bei Solar und Wind Sinn</w:t>
      </w:r>
      <w:r w:rsidR="007759CA">
        <w:t>.</w:t>
      </w:r>
      <w:r>
        <w:t xml:space="preserve"> </w:t>
      </w:r>
    </w:p>
    <w:p w14:paraId="70D41005" w14:textId="77777777" w:rsidR="00E66F89" w:rsidRDefault="00E66F89" w:rsidP="004B2396"/>
    <w:p w14:paraId="7A44B61D" w14:textId="15EDEE44" w:rsidR="00200C92" w:rsidRDefault="00200C92" w:rsidP="004B2396">
      <w:r>
        <w:t>Der Anteil erneuerbarer Energien am Bruttostromverbrauch Deutschland von 549 Terawattstunden (2022) beträgt 2023 51,8 %</w:t>
      </w:r>
      <w:r>
        <w:rPr>
          <w:rStyle w:val="Funotenzeichen"/>
        </w:rPr>
        <w:footnoteReference w:id="2333"/>
      </w:r>
      <w:r>
        <w:t xml:space="preserve">, davon sind vereinfacht gerechnet 50 % 275 Terawattstunden. </w:t>
      </w:r>
      <w:r w:rsidR="002C18D7" w:rsidRPr="00200C92">
        <w:t>Bis 2030 sollen 600 Terawattstunden erneuerbare Energien vorhanden sein (EEG 2023 § 4a Strommengenpfad), es gibt auch das Ziel, dass bis 2030 80 % des Bruttostromverbrauchs durch erneuerbare Energien gedeckt sein soll (EEG 2023 § 1 Ziel des Gesetzes Abs. 2).</w:t>
      </w:r>
      <w:r w:rsidR="002C18D7" w:rsidRPr="00200C92">
        <w:rPr>
          <w:rStyle w:val="Funotenzeichen"/>
        </w:rPr>
        <w:footnoteReference w:id="2334"/>
      </w:r>
      <w:r w:rsidR="002C18D7" w:rsidRPr="00200C92">
        <w:t xml:space="preserve"> (Bierdeckelrechnung: beim derzeitigen Stromverbrauch von 549 TWh * 0,8 = wären dies 439,2 Terawattstunden erneuerbare Energien). </w:t>
      </w:r>
      <w:r w:rsidR="00873CE0" w:rsidRPr="00200C92">
        <w:t xml:space="preserve">In EEG 2023 § 4 Ausbaupfad gibt es die Ausbauziele, Solar bis 2030 215 Gigawatt, bis 2040 400 Gigawatt, Windenergie an Land bis 2030 115 Gigawatt, bis 2040 </w:t>
      </w:r>
      <w:r w:rsidR="00086C22" w:rsidRPr="00200C92">
        <w:lastRenderedPageBreak/>
        <w:t xml:space="preserve">160 Gigawatt. Im Jahr 2023 gab es gab es 82,2 GW installierte Leistung Solar und 61 GW installierte Leistung bei Windenergie an Land. Damit muss bis 2030 noch bei Solar 215 – 82,2 = 132,8 GW hinzugebaut werden und bei Windenergie an Land 115 – 61 = 54 GW. </w:t>
      </w:r>
      <w:r w:rsidR="002C18D7" w:rsidRPr="00200C92">
        <w:t xml:space="preserve">Rechnet man die Ausbauziele in TWh um, werden nach dem EEG 2023 in </w:t>
      </w:r>
      <w:r w:rsidR="00124F7A" w:rsidRPr="00200C92">
        <w:t>6</w:t>
      </w:r>
      <w:r w:rsidR="002C18D7" w:rsidRPr="00200C92">
        <w:t xml:space="preserve"> Jahren bis 2030</w:t>
      </w:r>
      <w:r w:rsidR="00873CE0" w:rsidRPr="00200C92">
        <w:t xml:space="preserve"> in </w:t>
      </w:r>
      <w:r w:rsidR="002C18D7" w:rsidRPr="00200C92">
        <w:t xml:space="preserve">Solar </w:t>
      </w:r>
      <w:r w:rsidR="00124F7A" w:rsidRPr="00200C92">
        <w:t xml:space="preserve">132,8 * 8760 *0,10 = </w:t>
      </w:r>
      <w:r w:rsidR="002C18D7" w:rsidRPr="00200C92">
        <w:t>11</w:t>
      </w:r>
      <w:r w:rsidR="00124F7A" w:rsidRPr="00200C92">
        <w:t>6</w:t>
      </w:r>
      <w:r w:rsidR="002C18D7" w:rsidRPr="00200C92">
        <w:t xml:space="preserve"> Terawattstunden mehr</w:t>
      </w:r>
      <w:r w:rsidR="00124F7A" w:rsidRPr="00200C92">
        <w:t xml:space="preserve"> vorhanden sein</w:t>
      </w:r>
      <w:r w:rsidR="002C18D7" w:rsidRPr="00200C92">
        <w:t xml:space="preserve"> und </w:t>
      </w:r>
      <w:r w:rsidR="00124F7A" w:rsidRPr="00200C92">
        <w:t>bei Landwind 54 * 8760 * 0,25 = 118</w:t>
      </w:r>
      <w:r w:rsidR="002C18D7" w:rsidRPr="00200C92">
        <w:t xml:space="preserve"> Terawattstunden </w:t>
      </w:r>
      <w:r w:rsidR="00873CE0" w:rsidRPr="00200C92">
        <w:t>dazu</w:t>
      </w:r>
      <w:r w:rsidR="00124F7A" w:rsidRPr="00200C92">
        <w:t xml:space="preserve"> </w:t>
      </w:r>
      <w:r w:rsidR="00873CE0" w:rsidRPr="00200C92">
        <w:t xml:space="preserve">gebaut </w:t>
      </w:r>
      <w:r w:rsidR="002C18D7" w:rsidRPr="00200C92">
        <w:t>(</w:t>
      </w:r>
      <w:r w:rsidR="00873CE0" w:rsidRPr="00200C92">
        <w:t>mit</w:t>
      </w:r>
      <w:r w:rsidR="002C18D7" w:rsidRPr="00200C92">
        <w:t xml:space="preserve"> meinen Kapazitätsfaktoren</w:t>
      </w:r>
      <w:r w:rsidR="00873CE0" w:rsidRPr="00200C92">
        <w:t xml:space="preserve"> gerechnet, Solar 0,10, Wind: 0,25, Volllast, </w:t>
      </w:r>
      <w:r w:rsidR="007759CA">
        <w:t xml:space="preserve">mit </w:t>
      </w:r>
      <w:r w:rsidR="00873CE0" w:rsidRPr="00200C92">
        <w:t>alle</w:t>
      </w:r>
      <w:r w:rsidR="007759CA">
        <w:t>n</w:t>
      </w:r>
      <w:r w:rsidR="00873CE0" w:rsidRPr="00200C92">
        <w:t xml:space="preserve"> 8760 Stunden des Jahres</w:t>
      </w:r>
      <w:r w:rsidR="002C18D7" w:rsidRPr="00200C92">
        <w:t>)</w:t>
      </w:r>
      <w:r w:rsidR="00124F7A" w:rsidRPr="00200C92">
        <w:t xml:space="preserve">. </w:t>
      </w:r>
      <w:r w:rsidRPr="001E43A4">
        <w:rPr>
          <w:u w:val="single"/>
        </w:rPr>
        <w:t xml:space="preserve">Das </w:t>
      </w:r>
      <w:r w:rsidR="001E43A4" w:rsidRPr="001E43A4">
        <w:rPr>
          <w:u w:val="single"/>
        </w:rPr>
        <w:t>sind 2030 dann</w:t>
      </w:r>
      <w:r w:rsidRPr="001E43A4">
        <w:rPr>
          <w:u w:val="single"/>
        </w:rPr>
        <w:t xml:space="preserve"> 275 plus 116 + 118 TWh = 509 TWh erneuerbare Energien</w:t>
      </w:r>
      <w:r w:rsidRPr="00200C92">
        <w:t>. Somit wäre 2030 der heutige Strom ganz auf erneuerbare Energien umgestellt</w:t>
      </w:r>
      <w:r w:rsidR="001E43A4">
        <w:t>.</w:t>
      </w:r>
      <w:r w:rsidR="002C18D7">
        <w:t xml:space="preserve"> </w:t>
      </w:r>
      <w:r w:rsidR="002050D3">
        <w:t xml:space="preserve">Wie viel TWh sollen bis 2040 vorhanden sein: </w:t>
      </w:r>
      <w:r>
        <w:t>Bis 2040 400 GW Solar sind 400 * 8760 * 0,10 = 350 TWh</w:t>
      </w:r>
      <w:r w:rsidR="002050D3">
        <w:t>;</w:t>
      </w:r>
      <w:r>
        <w:t xml:space="preserve"> 160 GW Landwind sind 160 * 8760 * 0,25 = 350 TWh, insgesamt 700 TWh plus 275 TWh = 975 TWh. </w:t>
      </w:r>
      <w:r w:rsidR="002050D3">
        <w:t>Wenn man einen höheren Kapazitätsfaktor bei Landwind nehmen würde, etwa 0,335, dann wären es mehr</w:t>
      </w:r>
      <w:r w:rsidR="001E43A4">
        <w:t>, Landwind läge bei 469 TWh</w:t>
      </w:r>
      <w:r w:rsidR="002050D3">
        <w:t xml:space="preserve">: </w:t>
      </w:r>
      <w:r w:rsidR="001E43A4" w:rsidRPr="001E43A4">
        <w:rPr>
          <w:u w:val="single"/>
        </w:rPr>
        <w:t xml:space="preserve">Im Jahr 2040 wären es </w:t>
      </w:r>
      <w:r w:rsidR="002050D3" w:rsidRPr="001E43A4">
        <w:rPr>
          <w:u w:val="single"/>
        </w:rPr>
        <w:t>insgesamt 1094 TWh</w:t>
      </w:r>
      <w:r w:rsidR="002050D3">
        <w:t>.</w:t>
      </w:r>
    </w:p>
    <w:p w14:paraId="6E9D137F" w14:textId="77777777" w:rsidR="001E43A4" w:rsidRDefault="001E43A4" w:rsidP="004B2396"/>
    <w:p w14:paraId="47E9EDCC" w14:textId="77777777" w:rsidR="007759CA" w:rsidRDefault="007759CA" w:rsidP="001E43A4">
      <w:r>
        <w:t>Vo</w:t>
      </w:r>
      <w:r w:rsidR="001E43A4">
        <w:t xml:space="preserve">n 2024 bis 2030 </w:t>
      </w:r>
      <w:r>
        <w:t xml:space="preserve">müssen </w:t>
      </w:r>
      <w:r w:rsidR="001E43A4">
        <w:t>in 6 Jahren</w:t>
      </w:r>
      <w:r>
        <w:t xml:space="preserve"> also</w:t>
      </w:r>
      <w:r w:rsidR="001E43A4">
        <w:t xml:space="preserve"> </w:t>
      </w:r>
      <w:r w:rsidR="001E43A4" w:rsidRPr="00124F7A">
        <w:t>234 Terawattstunden erneuerbare Energien mehr</w:t>
      </w:r>
      <w:r w:rsidR="001E43A4">
        <w:t xml:space="preserve"> ausgebaut werden, </w:t>
      </w:r>
      <w:r w:rsidR="001E43A4" w:rsidRPr="007759CA">
        <w:rPr>
          <w:b/>
          <w:bCs/>
          <w:u w:val="single"/>
        </w:rPr>
        <w:t>das ist ein jährlicher Ausbau von 39 Terawattstunden</w:t>
      </w:r>
      <w:r>
        <w:rPr>
          <w:b/>
          <w:bCs/>
          <w:u w:val="single"/>
        </w:rPr>
        <w:t>.</w:t>
      </w:r>
      <w:r w:rsidR="001E43A4">
        <w:t xml:space="preserve"> </w:t>
      </w:r>
    </w:p>
    <w:p w14:paraId="6960713E" w14:textId="77777777" w:rsidR="007759CA" w:rsidRDefault="007759CA" w:rsidP="001E43A4"/>
    <w:p w14:paraId="5B338782" w14:textId="671A2E1B" w:rsidR="001E43A4" w:rsidRDefault="008F666F" w:rsidP="001E43A4">
      <w:r>
        <w:t xml:space="preserve">2024 </w:t>
      </w:r>
      <w:r w:rsidR="007759CA">
        <w:t xml:space="preserve">waren ist bei </w:t>
      </w:r>
      <w:r>
        <w:t>Solar: 16,2</w:t>
      </w:r>
      <w:r w:rsidR="007759CA">
        <w:t xml:space="preserve"> GW</w:t>
      </w:r>
      <w:r>
        <w:t>, Landwind 2,5</w:t>
      </w:r>
      <w:r w:rsidR="007759CA">
        <w:t xml:space="preserve"> GW</w:t>
      </w:r>
      <w:r>
        <w:t>, Offshore 0,7</w:t>
      </w:r>
      <w:r w:rsidR="007759CA">
        <w:t xml:space="preserve"> GW</w:t>
      </w:r>
      <w:r>
        <w:t xml:space="preserve"> = 19,4 GW … 16,2 * 8760 * 0,10 = 14,1 TWh; bei Landwind * 25 = 5,9; bei Offshore * 0,35 = 2,1 TWh,</w:t>
      </w:r>
      <w:r w:rsidR="007759CA">
        <w:t xml:space="preserve"> das</w:t>
      </w:r>
      <w:r>
        <w:t xml:space="preserve"> sind </w:t>
      </w:r>
      <w:r w:rsidR="007759CA">
        <w:t>2024 trotz der schwachen Leistungen bei Landwind und Offshore</w:t>
      </w:r>
      <w:r>
        <w:t xml:space="preserve"> </w:t>
      </w:r>
      <w:r w:rsidRPr="008F666F">
        <w:rPr>
          <w:b/>
          <w:bCs/>
          <w:u w:val="single"/>
        </w:rPr>
        <w:t>immerhin 22,1 TWh</w:t>
      </w:r>
      <w:r>
        <w:t>)</w:t>
      </w:r>
      <w:r w:rsidR="001E43A4">
        <w:t xml:space="preserve">. Macht man </w:t>
      </w:r>
      <w:r>
        <w:t xml:space="preserve">mit 39 TWh </w:t>
      </w:r>
      <w:r w:rsidR="001E43A4">
        <w:t xml:space="preserve">so bis 2050 weiter würde man 25 Jahre * 39 = 975 </w:t>
      </w:r>
      <w:proofErr w:type="gramStart"/>
      <w:r w:rsidR="001E43A4">
        <w:t xml:space="preserve">… </w:t>
      </w:r>
      <w:r>
        <w:t>,</w:t>
      </w:r>
      <w:proofErr w:type="gramEnd"/>
      <w:r>
        <w:t xml:space="preserve"> </w:t>
      </w:r>
      <w:r w:rsidR="001E43A4">
        <w:t>plus 275 TWh schon bestehende</w:t>
      </w:r>
      <w:r w:rsidR="007759CA">
        <w:t xml:space="preserve"> erneuerbare Energien</w:t>
      </w:r>
      <w:r>
        <w:t>,</w:t>
      </w:r>
      <w:r w:rsidR="001E43A4">
        <w:t xml:space="preserve"> 1250 TWh</w:t>
      </w:r>
      <w:r>
        <w:t xml:space="preserve"> erreichen</w:t>
      </w:r>
      <w:r w:rsidR="001E43A4">
        <w:t xml:space="preserve">, </w:t>
      </w:r>
      <w:r w:rsidR="001E43A4" w:rsidRPr="001E43A4">
        <w:rPr>
          <w:u w:val="single"/>
        </w:rPr>
        <w:t xml:space="preserve">das heißt mit dem heutigen </w:t>
      </w:r>
      <w:r>
        <w:rPr>
          <w:u w:val="single"/>
        </w:rPr>
        <w:t>Ausbaut</w:t>
      </w:r>
      <w:r w:rsidR="001E43A4" w:rsidRPr="001E43A4">
        <w:rPr>
          <w:u w:val="single"/>
        </w:rPr>
        <w:t>empo würde man im Jahr 2050 1250 Terawattstunden erneuerbare Energien erreichen</w:t>
      </w:r>
      <w:r w:rsidR="001E43A4">
        <w:t xml:space="preserve">. </w:t>
      </w:r>
    </w:p>
    <w:p w14:paraId="54AA5826" w14:textId="77777777" w:rsidR="00200C92" w:rsidRDefault="00200C92" w:rsidP="004B2396"/>
    <w:p w14:paraId="65B53F9D" w14:textId="0BB0783D" w:rsidR="00084063" w:rsidRDefault="00CB38BD" w:rsidP="004B2396">
      <w:r>
        <w:t xml:space="preserve">Die Bundesnetzagentur gibt als höchsten Wert für 2045 aktuell 1275 TWh Bruttostromverbrauch an, die Industrie </w:t>
      </w:r>
      <w:r w:rsidR="007759CA">
        <w:t xml:space="preserve">bracht </w:t>
      </w:r>
      <w:r>
        <w:t>davon 354,5 TWh</w:t>
      </w:r>
      <w:r w:rsidR="002050D3">
        <w:t>, jedenfalls wird hier auch Wasserstoff beachtet</w:t>
      </w:r>
      <w:r>
        <w:t>.</w:t>
      </w:r>
      <w:r>
        <w:rPr>
          <w:rStyle w:val="Funotenzeichen"/>
        </w:rPr>
        <w:footnoteReference w:id="2335"/>
      </w:r>
      <w:r>
        <w:t xml:space="preserve"> </w:t>
      </w:r>
    </w:p>
    <w:p w14:paraId="0B3FC57D" w14:textId="77777777" w:rsidR="00084063" w:rsidRDefault="00084063" w:rsidP="004B2396"/>
    <w:p w14:paraId="5EB6C313" w14:textId="4ABDFEF5" w:rsidR="00E76880" w:rsidRDefault="00E76880" w:rsidP="004B2396">
      <w:r>
        <w:t>Ich glaub</w:t>
      </w:r>
      <w:r w:rsidR="00CD6253">
        <w:t>e</w:t>
      </w:r>
      <w:r>
        <w:t xml:space="preserve"> nicht, dass</w:t>
      </w:r>
      <w:r w:rsidR="00084063">
        <w:t xml:space="preserve"> die Verbrauchsschätzungen </w:t>
      </w:r>
      <w:r>
        <w:t xml:space="preserve">der Bundesnetzagentur </w:t>
      </w:r>
      <w:r w:rsidR="00084063">
        <w:t>zu hoch sind</w:t>
      </w:r>
      <w:r w:rsidR="007759CA">
        <w:t xml:space="preserve">. In der </w:t>
      </w:r>
      <w:r>
        <w:t xml:space="preserve">Diskussion </w:t>
      </w:r>
      <w:r w:rsidR="007759CA">
        <w:t>wird dies teils behauptet</w:t>
      </w:r>
      <w:r w:rsidR="00FA3867">
        <w:t xml:space="preserve">: </w:t>
      </w:r>
      <w:r>
        <w:t xml:space="preserve">Man könne </w:t>
      </w:r>
      <w:r w:rsidR="000D7ABA">
        <w:t>für</w:t>
      </w:r>
      <w:r w:rsidR="00084063">
        <w:t xml:space="preserve"> 2030 </w:t>
      </w:r>
      <w:r w:rsidR="00FA3867">
        <w:t xml:space="preserve">auch </w:t>
      </w:r>
      <w:r w:rsidR="00084063">
        <w:t>von 600 bis 660 TWh Stromverbrauch in Deutschland ausgehen (und für die Zukunft sei alles unsicher)</w:t>
      </w:r>
      <w:r w:rsidR="00084063" w:rsidRPr="00084063">
        <w:rPr>
          <w:rStyle w:val="Funotenzeichen"/>
        </w:rPr>
        <w:t xml:space="preserve"> </w:t>
      </w:r>
      <w:r>
        <w:t xml:space="preserve">wie der Bochumer Ökonom Andreas Löschel behauptet, unterstützt von Leon Hirth, Hanns </w:t>
      </w:r>
      <w:proofErr w:type="spellStart"/>
      <w:r>
        <w:t>Koenig</w:t>
      </w:r>
      <w:proofErr w:type="spellEnd"/>
      <w:r>
        <w:t xml:space="preserve"> und Christoph Maurer.</w:t>
      </w:r>
      <w:r w:rsidR="00084063">
        <w:rPr>
          <w:rStyle w:val="Funotenzeichen"/>
        </w:rPr>
        <w:footnoteReference w:id="2336"/>
      </w:r>
      <w:r w:rsidR="00084063">
        <w:t xml:space="preserve"> </w:t>
      </w:r>
      <w:r w:rsidR="006F3BD3">
        <w:t xml:space="preserve">Mit anderen Schwerpunkten gehen </w:t>
      </w:r>
      <w:r w:rsidR="007759CA">
        <w:t xml:space="preserve">ebenfalls </w:t>
      </w:r>
      <w:r w:rsidR="006F3BD3">
        <w:t xml:space="preserve">von weniger Verbrauch 2030 aus: </w:t>
      </w:r>
      <w:r w:rsidR="006F3BD3" w:rsidRPr="00EA4CA3">
        <w:t>RWE Vorstandvorsitzender Markus Krebber und Eon-Vorstandsvorsitzender Leo Birnbaum</w:t>
      </w:r>
      <w:r w:rsidR="006F3BD3">
        <w:t xml:space="preserve"> in einem Interview am 16.03.2025</w:t>
      </w:r>
      <w:r w:rsidR="006F3BD3">
        <w:rPr>
          <w:rStyle w:val="Funotenzeichen"/>
        </w:rPr>
        <w:footnoteReference w:id="2337"/>
      </w:r>
      <w:r w:rsidR="006F3BD3">
        <w:t xml:space="preserve"> und Georg Stamatelopoulos von ENBW.</w:t>
      </w:r>
      <w:r w:rsidR="006F3BD3">
        <w:rPr>
          <w:rStyle w:val="Funotenzeichen"/>
        </w:rPr>
        <w:footnoteReference w:id="2338"/>
      </w:r>
      <w:r w:rsidR="006F3BD3">
        <w:t xml:space="preserve"> </w:t>
      </w:r>
      <w:r w:rsidR="007759CA">
        <w:t xml:space="preserve">Auch die Studie </w:t>
      </w:r>
      <w:r>
        <w:t>de</w:t>
      </w:r>
      <w:r w:rsidR="007759CA">
        <w:t>s</w:t>
      </w:r>
      <w:r>
        <w:t xml:space="preserve"> BDI Energiewende auf Kurs bringen 2025 nimm</w:t>
      </w:r>
      <w:r w:rsidR="007759CA">
        <w:t>t dies an.</w:t>
      </w:r>
      <w:r w:rsidR="007759CA">
        <w:rPr>
          <w:rStyle w:val="Funotenzeichen"/>
        </w:rPr>
        <w:footnoteReference w:id="2339"/>
      </w:r>
      <w:r>
        <w:t xml:space="preserve"> </w:t>
      </w:r>
    </w:p>
    <w:p w14:paraId="0EBBD8CF" w14:textId="77777777" w:rsidR="00E76880" w:rsidRDefault="00E76880" w:rsidP="004B2396"/>
    <w:p w14:paraId="4D916A85" w14:textId="77777777" w:rsidR="00CD6253" w:rsidRDefault="00104741" w:rsidP="004B2396">
      <w:r>
        <w:t xml:space="preserve">In Teil 2 am Schluss habe ich anhand von meinen konkreten Zahlen </w:t>
      </w:r>
      <w:r w:rsidR="00084063">
        <w:t xml:space="preserve">gezeigt, </w:t>
      </w:r>
      <w:r w:rsidR="00084063" w:rsidRPr="000D7ABA">
        <w:rPr>
          <w:u w:val="single"/>
        </w:rPr>
        <w:t xml:space="preserve">dass </w:t>
      </w:r>
      <w:r w:rsidR="00E76880" w:rsidRPr="000D7ABA">
        <w:rPr>
          <w:u w:val="single"/>
        </w:rPr>
        <w:t>dies zwar so sein k</w:t>
      </w:r>
      <w:r w:rsidR="000D7ABA" w:rsidRPr="000D7ABA">
        <w:rPr>
          <w:u w:val="single"/>
        </w:rPr>
        <w:t>ann</w:t>
      </w:r>
      <w:r w:rsidR="00E76880" w:rsidRPr="000D7ABA">
        <w:rPr>
          <w:u w:val="single"/>
        </w:rPr>
        <w:t>, aber nur, wenn man ein Szenario mit ganz</w:t>
      </w:r>
      <w:r w:rsidR="00084063" w:rsidRPr="000D7ABA">
        <w:rPr>
          <w:u w:val="single"/>
        </w:rPr>
        <w:t xml:space="preserve"> wenigen Steigerungen </w:t>
      </w:r>
      <w:r w:rsidR="00E76880" w:rsidRPr="000D7ABA">
        <w:rPr>
          <w:u w:val="single"/>
        </w:rPr>
        <w:t>annimmt</w:t>
      </w:r>
      <w:r w:rsidR="00E76880">
        <w:t xml:space="preserve">, wie folgt: nur </w:t>
      </w:r>
      <w:r w:rsidR="00084063">
        <w:t xml:space="preserve">1/3 der Autos </w:t>
      </w:r>
      <w:r w:rsidR="00E76880">
        <w:t xml:space="preserve">sind </w:t>
      </w:r>
      <w:r w:rsidR="00084063">
        <w:t>E-Autos</w:t>
      </w:r>
      <w:r w:rsidR="00E76880">
        <w:t xml:space="preserve"> 60 TWh Stromverbrauch (statt 180)</w:t>
      </w:r>
      <w:r w:rsidR="00084063">
        <w:t xml:space="preserve">, </w:t>
      </w:r>
      <w:r w:rsidR="00E76880">
        <w:t xml:space="preserve">nur </w:t>
      </w:r>
      <w:r w:rsidR="00084063">
        <w:t>wenige E-Lkw</w:t>
      </w:r>
      <w:r w:rsidR="00E76880">
        <w:t xml:space="preserve"> 10 TWh (statt 61,2)</w:t>
      </w:r>
      <w:r w:rsidR="00084063">
        <w:t>, kaum Wärmepumpen</w:t>
      </w:r>
      <w:r w:rsidR="00E76880">
        <w:t>, nur 10 TWh (statt 73,6)</w:t>
      </w:r>
      <w:r w:rsidR="00084063">
        <w:t>, nur 8 mal 500 MW Elektrolyseure für die 4 umgebauten Direktreduktionsanalgen der Stahlindustrie mit 35,2 TWh</w:t>
      </w:r>
      <w:r w:rsidR="00E76880">
        <w:t xml:space="preserve"> (statt 800 TWh für 10 Mill. Tonnen Wasserstoff für Stahl und Chemie)</w:t>
      </w:r>
      <w:r w:rsidR="00084063">
        <w:t xml:space="preserve">, Rechenzentren nur die Hälfte mehr Strom als </w:t>
      </w:r>
      <w:r w:rsidR="00084063">
        <w:lastRenderedPageBreak/>
        <w:t xml:space="preserve">vorhergesagt: </w:t>
      </w:r>
      <w:r w:rsidR="00E76880">
        <w:t>9</w:t>
      </w:r>
      <w:r w:rsidR="00084063">
        <w:t xml:space="preserve"> TWh</w:t>
      </w:r>
      <w:r w:rsidR="00E76880">
        <w:t xml:space="preserve"> (statt 18)</w:t>
      </w:r>
      <w:r w:rsidR="00084063">
        <w:t>, keine grünen wasserstofffähigen Gaskraftwerke in Betrieb</w:t>
      </w:r>
      <w:r w:rsidR="00E76880">
        <w:t xml:space="preserve">: </w:t>
      </w:r>
      <w:r w:rsidR="00E76880" w:rsidRPr="00CD6253">
        <w:rPr>
          <w:b/>
          <w:bCs/>
        </w:rPr>
        <w:t xml:space="preserve">Dann kommt man </w:t>
      </w:r>
      <w:r w:rsidR="00084063" w:rsidRPr="00CD6253">
        <w:rPr>
          <w:b/>
          <w:bCs/>
        </w:rPr>
        <w:t xml:space="preserve">auf 673,3 TWh Stromverbrauch </w:t>
      </w:r>
      <w:r w:rsidR="00E76880" w:rsidRPr="00CD6253">
        <w:rPr>
          <w:b/>
          <w:bCs/>
        </w:rPr>
        <w:t xml:space="preserve">2030 </w:t>
      </w:r>
      <w:r w:rsidR="00084063" w:rsidRPr="00CD6253">
        <w:rPr>
          <w:b/>
          <w:bCs/>
        </w:rPr>
        <w:t>in Deutschland</w:t>
      </w:r>
      <w:r w:rsidR="00084063">
        <w:t>.</w:t>
      </w:r>
      <w:r w:rsidR="00084063">
        <w:rPr>
          <w:rStyle w:val="Funotenzeichen"/>
        </w:rPr>
        <w:footnoteReference w:id="2340"/>
      </w:r>
      <w:r w:rsidR="00084063">
        <w:t xml:space="preserve"> </w:t>
      </w:r>
    </w:p>
    <w:p w14:paraId="2C02B33D" w14:textId="77777777" w:rsidR="00CD6253" w:rsidRDefault="00CD6253" w:rsidP="004B2396"/>
    <w:p w14:paraId="119A395C" w14:textId="76BDCEAC" w:rsidR="00CD6253" w:rsidRDefault="00E76880" w:rsidP="004B2396">
      <w:r>
        <w:t xml:space="preserve">Andreas Löschel </w:t>
      </w:r>
      <w:r w:rsidR="004E78C0">
        <w:t xml:space="preserve">weist </w:t>
      </w:r>
      <w:r w:rsidR="000D7ABA">
        <w:t xml:space="preserve">allerdings auch </w:t>
      </w:r>
      <w:r w:rsidR="004E78C0">
        <w:t xml:space="preserve">darauf hin, dass der Stromverbrauch </w:t>
      </w:r>
      <w:r w:rsidR="000D7ABA">
        <w:t xml:space="preserve">in Deutschland generell </w:t>
      </w:r>
      <w:r w:rsidR="004E78C0">
        <w:t xml:space="preserve">zurückgegangen sei, 2024 </w:t>
      </w:r>
      <w:r w:rsidR="000D7ABA">
        <w:t xml:space="preserve">auf </w:t>
      </w:r>
      <w:r w:rsidR="004E78C0">
        <w:t>512 TWh</w:t>
      </w:r>
      <w:r w:rsidR="009E7E6A">
        <w:rPr>
          <w:rStyle w:val="Funotenzeichen"/>
        </w:rPr>
        <w:footnoteReference w:id="2341"/>
      </w:r>
      <w:r w:rsidR="004E78C0">
        <w:t xml:space="preserve"> … </w:t>
      </w:r>
      <w:r w:rsidR="000D7ABA">
        <w:t xml:space="preserve">und … </w:t>
      </w:r>
      <w:r w:rsidR="004E78C0">
        <w:t xml:space="preserve">oft </w:t>
      </w:r>
      <w:r w:rsidR="000D7ABA">
        <w:t xml:space="preserve">wird </w:t>
      </w:r>
      <w:r w:rsidR="004E78C0">
        <w:t xml:space="preserve">in Modellen angenommen, dass </w:t>
      </w:r>
      <w:r>
        <w:t>Energie eingespart w</w:t>
      </w:r>
      <w:r w:rsidR="004E78C0">
        <w:t>erden wird</w:t>
      </w:r>
      <w:r w:rsidR="000D7ABA">
        <w:t xml:space="preserve"> und alles effizienter wird</w:t>
      </w:r>
      <w:r w:rsidR="004E78C0">
        <w:t>. Klar, man kann bis 2030 den</w:t>
      </w:r>
      <w:r>
        <w:t xml:space="preserve"> derzeitigen Stromverbrauch von 549 TWh einfach auf 400 TWh </w:t>
      </w:r>
      <w:r w:rsidR="004E78C0">
        <w:t xml:space="preserve">in einem Modell </w:t>
      </w:r>
      <w:r>
        <w:t xml:space="preserve">heruntersetzen, dann kann </w:t>
      </w:r>
      <w:r w:rsidR="00F61E70">
        <w:t>man</w:t>
      </w:r>
      <w:r>
        <w:t xml:space="preserve"> behaupten, </w:t>
      </w:r>
      <w:proofErr w:type="gramStart"/>
      <w:r>
        <w:t>das</w:t>
      </w:r>
      <w:proofErr w:type="gramEnd"/>
      <w:r>
        <w:t xml:space="preserve"> 2030 nicht so viel Strom benötigt wird … in den fünf (sechs) großen Studien zur Energiewende finde</w:t>
      </w:r>
      <w:r w:rsidR="00F61E70">
        <w:t>n</w:t>
      </w:r>
      <w:r>
        <w:t xml:space="preserve"> </w:t>
      </w:r>
      <w:r w:rsidR="000D7ABA">
        <w:t xml:space="preserve">sich solche </w:t>
      </w:r>
      <w:r>
        <w:t>Annahme</w:t>
      </w:r>
      <w:r w:rsidR="000D7ABA">
        <w:t>n</w:t>
      </w:r>
      <w:r w:rsidR="000D7ABA">
        <w:rPr>
          <w:rStyle w:val="Funotenzeichen"/>
        </w:rPr>
        <w:footnoteReference w:id="2342"/>
      </w:r>
      <w:r>
        <w:t xml:space="preserve"> … </w:t>
      </w:r>
      <w:r w:rsidR="004411FC" w:rsidRPr="00CD6253">
        <w:rPr>
          <w:i/>
          <w:iCs/>
        </w:rPr>
        <w:t>das geht allerdings gegen meine Intuition, wollen wir in</w:t>
      </w:r>
      <w:r w:rsidRPr="00CD6253">
        <w:rPr>
          <w:i/>
          <w:iCs/>
        </w:rPr>
        <w:t xml:space="preserve"> Deutschland Energie sparen? Nein: Wir lassen lieber die Birnen brennen</w:t>
      </w:r>
      <w:r w:rsidR="004411FC" w:rsidRPr="00CD6253">
        <w:rPr>
          <w:i/>
          <w:iCs/>
        </w:rPr>
        <w:t xml:space="preserve"> und die Gaming Computer laufen!!!!!</w:t>
      </w:r>
      <w:r w:rsidR="004411FC">
        <w:t xml:space="preserve"> </w:t>
      </w:r>
    </w:p>
    <w:p w14:paraId="1A561437" w14:textId="77777777" w:rsidR="00CD6253" w:rsidRDefault="00CD6253" w:rsidP="004B2396"/>
    <w:p w14:paraId="0F772470" w14:textId="585E7082" w:rsidR="00CB38BD" w:rsidRDefault="00CD6253" w:rsidP="004B2396">
      <w:r>
        <w:t>M</w:t>
      </w:r>
      <w:r w:rsidR="004E78C0">
        <w:t>it</w:t>
      </w:r>
      <w:r w:rsidR="00A46C46">
        <w:t xml:space="preserve"> </w:t>
      </w:r>
      <w:r w:rsidR="004E78C0">
        <w:t>meine</w:t>
      </w:r>
      <w:r>
        <w:t>n</w:t>
      </w:r>
      <w:r w:rsidR="004E78C0">
        <w:t xml:space="preserve"> </w:t>
      </w:r>
      <w:r w:rsidR="00A46C46">
        <w:t>vollen Zahlen</w:t>
      </w:r>
      <w:r w:rsidR="004411FC">
        <w:t>, also 100 %</w:t>
      </w:r>
      <w:r w:rsidR="00A46C46">
        <w:t xml:space="preserve"> E-Autos, </w:t>
      </w:r>
      <w:r w:rsidR="004411FC">
        <w:t xml:space="preserve">100 % </w:t>
      </w:r>
      <w:r w:rsidR="00A46C46">
        <w:t>E-Lkw</w:t>
      </w:r>
      <w:r w:rsidR="004411FC">
        <w:t>,</w:t>
      </w:r>
      <w:r w:rsidR="00A46C46">
        <w:t xml:space="preserve"> </w:t>
      </w:r>
      <w:r w:rsidR="004411FC">
        <w:t xml:space="preserve">100 % </w:t>
      </w:r>
      <w:r w:rsidR="00A46C46">
        <w:t>Wärmepumpen</w:t>
      </w:r>
      <w:r w:rsidR="004E78C0">
        <w:t xml:space="preserve"> bei allen Haushalten</w:t>
      </w:r>
      <w:r w:rsidR="004411FC">
        <w:t xml:space="preserve"> und die</w:t>
      </w:r>
      <w:r w:rsidR="00A46C46">
        <w:t xml:space="preserve"> Rechenzentren, kommt man auf 549 + 180 + 61,3 + 73,6 + 18 = </w:t>
      </w:r>
      <w:r w:rsidR="00A46C46" w:rsidRPr="001B6976">
        <w:rPr>
          <w:b/>
          <w:bCs/>
        </w:rPr>
        <w:t>881,9 TWh</w:t>
      </w:r>
      <w:r w:rsidR="00A46C46">
        <w:t xml:space="preserve"> (ohne die 800 TWh für grünen Wasserstoff für </w:t>
      </w:r>
      <w:r w:rsidR="004411FC">
        <w:t xml:space="preserve">eine ganz umgebaute </w:t>
      </w:r>
      <w:r w:rsidR="00A46C46">
        <w:t>Stahl</w:t>
      </w:r>
      <w:r w:rsidR="004411FC">
        <w:t>-</w:t>
      </w:r>
      <w:r w:rsidR="00A46C46">
        <w:t xml:space="preserve"> und Chemieindustrie … ) </w:t>
      </w:r>
      <w:r w:rsidR="004E78C0">
        <w:t xml:space="preserve">… </w:t>
      </w:r>
      <w:r w:rsidR="00F61E70">
        <w:t xml:space="preserve">ich denke, dass man </w:t>
      </w:r>
      <w:r w:rsidR="001B6976">
        <w:t xml:space="preserve">jedenfalls bis 2030 mit einen Strombedarf </w:t>
      </w:r>
      <w:r w:rsidR="00F61E70">
        <w:t xml:space="preserve">bzw. auch Netzausbau </w:t>
      </w:r>
      <w:r w:rsidR="001B6976">
        <w:t>planen</w:t>
      </w:r>
      <w:r w:rsidR="00F61E70">
        <w:t xml:space="preserve"> sollte</w:t>
      </w:r>
      <w:r w:rsidR="001B6976">
        <w:t>, de</w:t>
      </w:r>
      <w:r w:rsidR="00F61E70">
        <w:t>r</w:t>
      </w:r>
      <w:r w:rsidR="001B6976">
        <w:t xml:space="preserve"> </w:t>
      </w:r>
      <w:r w:rsidR="00F61E70">
        <w:t>einen</w:t>
      </w:r>
      <w:r w:rsidR="001B6976">
        <w:t xml:space="preserve"> Umbau im Bereich Verkehr und Hauswärme </w:t>
      </w:r>
      <w:r w:rsidR="00F61E70">
        <w:t>aushält</w:t>
      </w:r>
      <w:r w:rsidR="001B6976">
        <w:t xml:space="preserve"> </w:t>
      </w:r>
      <w:r w:rsidR="00F61E70">
        <w:t>und es sollte möglich sein bis 2030</w:t>
      </w:r>
      <w:r w:rsidR="001B6976">
        <w:t xml:space="preserve"> </w:t>
      </w:r>
      <w:r w:rsidR="00F61E70">
        <w:t xml:space="preserve">die </w:t>
      </w:r>
      <w:r w:rsidR="001B6976">
        <w:t>ersten</w:t>
      </w:r>
      <w:r w:rsidR="004411FC">
        <w:t xml:space="preserve"> </w:t>
      </w:r>
      <w:r>
        <w:t xml:space="preserve">4 (ohne </w:t>
      </w:r>
      <w:proofErr w:type="spellStart"/>
      <w:r>
        <w:t>Acelor</w:t>
      </w:r>
      <w:proofErr w:type="spellEnd"/>
      <w:r>
        <w:t xml:space="preserve"> Mittal in Bremen sind es nur noch 3) </w:t>
      </w:r>
      <w:r w:rsidR="004411FC">
        <w:t>grünen Werke der</w:t>
      </w:r>
      <w:r w:rsidR="00A46C46">
        <w:t xml:space="preserve"> Stahlindustrie</w:t>
      </w:r>
      <w:r w:rsidR="001B6976">
        <w:t xml:space="preserve"> </w:t>
      </w:r>
      <w:r w:rsidR="00F61E70">
        <w:t xml:space="preserve">mit Wasserstoff zu versorgen </w:t>
      </w:r>
      <w:r w:rsidR="00A46C46">
        <w:t>und für die</w:t>
      </w:r>
      <w:r w:rsidR="001B6976">
        <w:t xml:space="preserve"> ersten</w:t>
      </w:r>
      <w:r w:rsidR="00A46C46">
        <w:t xml:space="preserve"> Wasserstoffgaskraftwerke</w:t>
      </w:r>
      <w:r w:rsidR="00F61E70">
        <w:t>,</w:t>
      </w:r>
      <w:r w:rsidR="00A46C46">
        <w:t xml:space="preserve"> </w:t>
      </w:r>
      <w:r w:rsidR="001B6976">
        <w:t>die im</w:t>
      </w:r>
      <w:r w:rsidR="00A46C46">
        <w:t xml:space="preserve"> Winter</w:t>
      </w:r>
      <w:r w:rsidR="001B6976">
        <w:t xml:space="preserve"> laufen</w:t>
      </w:r>
      <w:r w:rsidR="00F61E70">
        <w:t>, sollte</w:t>
      </w:r>
      <w:r w:rsidR="001B6976">
        <w:t xml:space="preserve"> </w:t>
      </w:r>
      <w:r w:rsidR="004411FC">
        <w:t>Wasserstoff</w:t>
      </w:r>
      <w:r w:rsidR="00F61E70">
        <w:t xml:space="preserve"> verfügbar sein</w:t>
      </w:r>
      <w:r w:rsidR="004411FC">
        <w:t xml:space="preserve">, </w:t>
      </w:r>
      <w:r w:rsidR="001B6976">
        <w:t xml:space="preserve">das sind </w:t>
      </w:r>
      <w:r w:rsidR="00F61E70">
        <w:t xml:space="preserve">noch </w:t>
      </w:r>
      <w:r w:rsidR="001B6976" w:rsidRPr="00F61E70">
        <w:rPr>
          <w:b/>
          <w:bCs/>
        </w:rPr>
        <w:t>80 TWh</w:t>
      </w:r>
      <w:r w:rsidR="001B6976">
        <w:t xml:space="preserve"> </w:t>
      </w:r>
      <w:r w:rsidR="00F61E70">
        <w:t xml:space="preserve">mehr </w:t>
      </w:r>
      <w:r w:rsidR="001B6976">
        <w:t xml:space="preserve">für </w:t>
      </w:r>
      <w:r w:rsidR="001B6976" w:rsidRPr="00F61E70">
        <w:rPr>
          <w:u w:val="single"/>
        </w:rPr>
        <w:t>1.000.000 Wasserstoff (pro Hochofen ca. 180.000 Tonnen</w:t>
      </w:r>
      <w:r w:rsidR="001B6976">
        <w:t>:</w:t>
      </w:r>
      <w:r w:rsidR="004E78C0">
        <w:t xml:space="preserve"> </w:t>
      </w:r>
      <w:r w:rsidR="001B6976">
        <w:t xml:space="preserve">4 * 180.000 = 720.000 und dann wären noch 280.000 Tonnen für weitere Anwendungen übrig, </w:t>
      </w:r>
      <w:r w:rsidRPr="00CD6253">
        <w:rPr>
          <w:b/>
          <w:bCs/>
        </w:rPr>
        <w:t xml:space="preserve">insgesamt </w:t>
      </w:r>
      <w:r w:rsidR="004411FC" w:rsidRPr="00CD6253">
        <w:rPr>
          <w:b/>
          <w:bCs/>
        </w:rPr>
        <w:t>wären</w:t>
      </w:r>
      <w:r w:rsidR="00A46C46" w:rsidRPr="00CD6253">
        <w:rPr>
          <w:b/>
          <w:bCs/>
        </w:rPr>
        <w:t xml:space="preserve"> </w:t>
      </w:r>
      <w:r w:rsidRPr="00CD6253">
        <w:rPr>
          <w:b/>
          <w:bCs/>
        </w:rPr>
        <w:t xml:space="preserve">das </w:t>
      </w:r>
      <w:r w:rsidR="001B6976">
        <w:rPr>
          <w:b/>
          <w:bCs/>
        </w:rPr>
        <w:t>961</w:t>
      </w:r>
      <w:r w:rsidR="00A46C46" w:rsidRPr="00CD6253">
        <w:rPr>
          <w:b/>
          <w:bCs/>
        </w:rPr>
        <w:t>,9 TWh</w:t>
      </w:r>
      <w:r w:rsidR="00A46C46">
        <w:t xml:space="preserve">!!!!! </w:t>
      </w:r>
    </w:p>
    <w:p w14:paraId="4AFA30CF" w14:textId="77777777" w:rsidR="00CB38BD" w:rsidRDefault="00CB38BD" w:rsidP="004B2396"/>
    <w:p w14:paraId="2F862095" w14:textId="20AED8DB" w:rsidR="001B6976" w:rsidRDefault="004E78C0" w:rsidP="004B2396">
      <w:r>
        <w:t xml:space="preserve">Wenn man behauptet, dass man bis 2030 nur 600 bis 650 TWh Strom braucht, dann kann man nicht </w:t>
      </w:r>
      <w:r w:rsidR="00CD6253">
        <w:t xml:space="preserve">für </w:t>
      </w:r>
      <w:r w:rsidR="0033754D">
        <w:t>den</w:t>
      </w:r>
      <w:r>
        <w:t xml:space="preserve"> Umbau von 4 Hochöfen in Direktreduktionsanlagen der Stahlindustrie</w:t>
      </w:r>
      <w:r w:rsidR="0033754D">
        <w:t xml:space="preserve"> den nötigen Wasserstoff bereithalten</w:t>
      </w:r>
      <w:r>
        <w:t xml:space="preserve"> und erste Wasserstoffgaskraftwerke im Winter betreiben. </w:t>
      </w:r>
      <w:r w:rsidRPr="004411FC">
        <w:rPr>
          <w:u w:val="single"/>
        </w:rPr>
        <w:t>Das wäre ein</w:t>
      </w:r>
      <w:r w:rsidR="00F61E70">
        <w:rPr>
          <w:u w:val="single"/>
        </w:rPr>
        <w:t xml:space="preserve"> </w:t>
      </w:r>
      <w:r w:rsidRPr="004411FC">
        <w:rPr>
          <w:u w:val="single"/>
        </w:rPr>
        <w:t>frustrierende</w:t>
      </w:r>
      <w:r w:rsidR="00AF611E">
        <w:rPr>
          <w:u w:val="single"/>
        </w:rPr>
        <w:t>s</w:t>
      </w:r>
      <w:r w:rsidRPr="004411FC">
        <w:rPr>
          <w:u w:val="single"/>
        </w:rPr>
        <w:t xml:space="preserve"> Ergebnis der Energiewende bis 2030</w:t>
      </w:r>
      <w:r>
        <w:t xml:space="preserve"> … vor dem Hintergrund dieser Zahlen zu fordern, dass man den Ausbau erneuerbarer Energien und Netze „an realistischere Annahmen für den Stromverbrauch</w:t>
      </w:r>
      <w:r w:rsidR="009E7E6A">
        <w:t>“</w:t>
      </w:r>
      <w:r w:rsidR="009E7E6A" w:rsidRPr="009E7E6A">
        <w:rPr>
          <w:rStyle w:val="Funotenzeichen"/>
        </w:rPr>
        <w:t xml:space="preserve"> </w:t>
      </w:r>
      <w:r w:rsidR="009E7E6A">
        <w:rPr>
          <w:rStyle w:val="Funotenzeichen"/>
        </w:rPr>
        <w:footnoteReference w:id="2343"/>
      </w:r>
      <w:r w:rsidR="009E7E6A">
        <w:t xml:space="preserve"> anpasst, </w:t>
      </w:r>
      <w:r w:rsidR="001B6976">
        <w:t xml:space="preserve">ist zudem nicht zukunftssicher, </w:t>
      </w:r>
      <w:r w:rsidR="00AF611E">
        <w:t xml:space="preserve">denn </w:t>
      </w:r>
      <w:r w:rsidR="00A902EA">
        <w:t xml:space="preserve">nach 2030 muss die Chemieindustrie vermehrt mit Wasserstoff versorgt werden. </w:t>
      </w:r>
    </w:p>
    <w:p w14:paraId="64A21FC2" w14:textId="77777777" w:rsidR="001B6976" w:rsidRDefault="001B6976" w:rsidP="004B2396"/>
    <w:p w14:paraId="3FCA1532" w14:textId="5DA89946" w:rsidR="004E78C0" w:rsidRDefault="00A902EA" w:rsidP="004B2396">
      <w:r>
        <w:t xml:space="preserve">Was </w:t>
      </w:r>
      <w:r w:rsidR="001B6976">
        <w:t xml:space="preserve">allerdings </w:t>
      </w:r>
      <w:r>
        <w:t>stimmt ist</w:t>
      </w:r>
      <w:r w:rsidR="00F61E70">
        <w:t xml:space="preserve"> und was man unbedingt tun sollte</w:t>
      </w:r>
      <w:r>
        <w:t xml:space="preserve">, </w:t>
      </w:r>
      <w:r w:rsidR="00F61E70">
        <w:t>ist</w:t>
      </w:r>
      <w:r w:rsidR="00AF611E">
        <w:t xml:space="preserve"> Netzausbau </w:t>
      </w:r>
      <w:r w:rsidR="00F61E70">
        <w:t xml:space="preserve">zu </w:t>
      </w:r>
      <w:r w:rsidR="00AF611E">
        <w:t>sparen</w:t>
      </w:r>
      <w:r w:rsidR="001B6976">
        <w:t xml:space="preserve">, indem man an den richtigen Plätzen </w:t>
      </w:r>
      <w:r w:rsidR="00F61E70">
        <w:t>erneuerbare Energien auf</w:t>
      </w:r>
      <w:r w:rsidR="001B6976">
        <w:t xml:space="preserve">baut, an denen bereits genügend große Leitungen liegen, indem weniger Offshore-Windkraft gebaut wird, </w:t>
      </w:r>
      <w:r w:rsidR="00F61E70">
        <w:t>weil die</w:t>
      </w:r>
      <w:r w:rsidR="001B6976">
        <w:t xml:space="preserve"> teuren </w:t>
      </w:r>
      <w:r w:rsidR="00564116">
        <w:t>Offshore-</w:t>
      </w:r>
      <w:proofErr w:type="spellStart"/>
      <w:r w:rsidR="001B6976">
        <w:t>Konverterstationen</w:t>
      </w:r>
      <w:proofErr w:type="spellEnd"/>
      <w:r w:rsidR="001B6976">
        <w:t xml:space="preserve"> auf die Netzbetreiber bzw. die Netzumlage umgelegt werden</w:t>
      </w:r>
      <w:r w:rsidR="001E4008">
        <w:t xml:space="preserve"> und wenn das Wasserstoffpipelinenetz etwas langsamer gebaut wird, siehe </w:t>
      </w:r>
      <w:r w:rsidR="00F61E70">
        <w:t xml:space="preserve">dazu </w:t>
      </w:r>
      <w:r w:rsidR="001E4008">
        <w:t>das gute Interview mit Markus Krebber und Leo Birnbaum, 16.03.2025 in der FAS</w:t>
      </w:r>
      <w:r w:rsidR="00F61E70">
        <w:t>, auch hier verfügbar</w:t>
      </w:r>
      <w:r w:rsidR="001E4008">
        <w:rPr>
          <w:rStyle w:val="Funotenzeichen"/>
        </w:rPr>
        <w:footnoteReference w:id="2344"/>
      </w:r>
      <w:r w:rsidR="00F61E70">
        <w:t>, schließlich sparen</w:t>
      </w:r>
      <w:r w:rsidR="001E4008">
        <w:t xml:space="preserve"> </w:t>
      </w:r>
      <w:r w:rsidR="00AF611E">
        <w:t xml:space="preserve">kurze Verbindungen </w:t>
      </w:r>
      <w:r>
        <w:t>zwischen</w:t>
      </w:r>
      <w:r w:rsidR="00AF611E">
        <w:t xml:space="preserve"> Windparks und Elektrolyseuren</w:t>
      </w:r>
      <w:r>
        <w:t xml:space="preserve"> </w:t>
      </w:r>
      <w:r w:rsidR="001E4008">
        <w:t>sparen Netzausbau</w:t>
      </w:r>
      <w:r w:rsidR="00F61E70">
        <w:t xml:space="preserve">, dafür muss aber regional die Akzeptanz für den Aufbau </w:t>
      </w:r>
      <w:proofErr w:type="spellStart"/>
      <w:r w:rsidR="00F61E70">
        <w:t>erneuerbarere</w:t>
      </w:r>
      <w:proofErr w:type="spellEnd"/>
      <w:r w:rsidR="00F61E70">
        <w:t xml:space="preserve"> Energien da sein und eine Region davon auch profitieren können</w:t>
      </w:r>
      <w:r w:rsidR="001E4008">
        <w:t>.</w:t>
      </w:r>
      <w:r>
        <w:t xml:space="preserve"> </w:t>
      </w:r>
      <w:r w:rsidR="00F61E70">
        <w:t>Für alles dies</w:t>
      </w:r>
      <w:r w:rsidR="001E4008">
        <w:t xml:space="preserve"> </w:t>
      </w:r>
      <w:r w:rsidR="00F61E70">
        <w:lastRenderedPageBreak/>
        <w:t xml:space="preserve">ist </w:t>
      </w:r>
      <w:r w:rsidR="001E4008">
        <w:t xml:space="preserve">die Bundesnetzagentur </w:t>
      </w:r>
      <w:r w:rsidR="00F61E70">
        <w:t xml:space="preserve">zuständig, in Zusammenarbeit mit den Ländern, </w:t>
      </w:r>
      <w:r w:rsidR="00564116">
        <w:t xml:space="preserve">aber die </w:t>
      </w:r>
      <w:r w:rsidR="00F61E70">
        <w:t>Industrie und ‚</w:t>
      </w:r>
      <w:r w:rsidR="00564116">
        <w:t>wir</w:t>
      </w:r>
      <w:r w:rsidR="00F61E70">
        <w:t>‘</w:t>
      </w:r>
      <w:r w:rsidR="00564116">
        <w:t xml:space="preserve"> könnten dies aber auch beeinflussen</w:t>
      </w:r>
      <w:r w:rsidR="001E4008">
        <w:t xml:space="preserve">. </w:t>
      </w:r>
    </w:p>
    <w:p w14:paraId="5854CDA8" w14:textId="77777777" w:rsidR="008F666F" w:rsidRDefault="008F666F" w:rsidP="004B2396"/>
    <w:p w14:paraId="520E2029" w14:textId="48E80F8E" w:rsidR="00104741" w:rsidRDefault="001E4008" w:rsidP="004B2396">
      <w:r>
        <w:t>Wie dem auch sei: Die Bundesnetzagentur gibt als höchsten Wert für 2045 aktuell 1275 TWh Bruttostromverbrauch an, die Industrie bracht davon 354,5 TWh, jedenfalls wird hier auch Wasserstoff beachtet.</w:t>
      </w:r>
      <w:r>
        <w:rPr>
          <w:rStyle w:val="Funotenzeichen"/>
        </w:rPr>
        <w:footnoteReference w:id="2345"/>
      </w:r>
      <w:r>
        <w:t xml:space="preserve"> </w:t>
      </w:r>
      <w:r w:rsidR="00C0522C">
        <w:rPr>
          <w:u w:val="single"/>
        </w:rPr>
        <w:t>Meine Werte</w:t>
      </w:r>
      <w:r w:rsidR="00AE29F0" w:rsidRPr="00AE29F0">
        <w:rPr>
          <w:u w:val="single"/>
        </w:rPr>
        <w:t xml:space="preserve"> liege</w:t>
      </w:r>
      <w:r w:rsidR="00C0522C">
        <w:rPr>
          <w:u w:val="single"/>
        </w:rPr>
        <w:t>n</w:t>
      </w:r>
      <w:r w:rsidR="00AE29F0" w:rsidRPr="00AE29F0">
        <w:rPr>
          <w:u w:val="single"/>
        </w:rPr>
        <w:t xml:space="preserve"> höher</w:t>
      </w:r>
      <w:r w:rsidR="00AE29F0" w:rsidRPr="00AE29F0">
        <w:t xml:space="preserve">, </w:t>
      </w:r>
      <w:r w:rsidR="00466B2D">
        <w:t xml:space="preserve">hier wird – ohne Importe </w:t>
      </w:r>
      <w:proofErr w:type="gramStart"/>
      <w:r w:rsidR="00466B2D">
        <w:t>-  der</w:t>
      </w:r>
      <w:proofErr w:type="gramEnd"/>
      <w:r w:rsidR="00466B2D">
        <w:t xml:space="preserve"> </w:t>
      </w:r>
      <w:r w:rsidR="00A46C46">
        <w:t>Wasserstoff</w:t>
      </w:r>
      <w:r w:rsidR="00466B2D">
        <w:t>bedarf</w:t>
      </w:r>
      <w:r w:rsidR="00A46C46">
        <w:t xml:space="preserve"> für die </w:t>
      </w:r>
      <w:r w:rsidR="00466B2D">
        <w:t xml:space="preserve">Stahl- und </w:t>
      </w:r>
      <w:r w:rsidR="00A46C46">
        <w:t>Chemieindustrie ein</w:t>
      </w:r>
      <w:r w:rsidR="00466B2D">
        <w:t>ge</w:t>
      </w:r>
      <w:r w:rsidR="00A46C46">
        <w:t>rechne</w:t>
      </w:r>
      <w:r w:rsidR="00466B2D">
        <w:t>t, hier wird</w:t>
      </w:r>
      <w:r w:rsidR="00AE29F0" w:rsidRPr="00AE29F0">
        <w:t xml:space="preserve"> als </w:t>
      </w:r>
      <w:r w:rsidR="00AE29F0" w:rsidRPr="00AE29F0">
        <w:rPr>
          <w:b/>
          <w:bCs/>
        </w:rPr>
        <w:t>untere Grenze 1814 TWh und als obere Grenze 2884 TWh Strom</w:t>
      </w:r>
      <w:r w:rsidR="00343EFF">
        <w:rPr>
          <w:b/>
          <w:bCs/>
        </w:rPr>
        <w:t>bedarf</w:t>
      </w:r>
      <w:r w:rsidR="00AE29F0" w:rsidRPr="00AE29F0">
        <w:rPr>
          <w:b/>
          <w:bCs/>
        </w:rPr>
        <w:t xml:space="preserve"> </w:t>
      </w:r>
      <w:r w:rsidR="00AE29F0" w:rsidRPr="00466B2D">
        <w:t>aus</w:t>
      </w:r>
      <w:r w:rsidR="00466B2D" w:rsidRPr="00466B2D">
        <w:t>gerechnet</w:t>
      </w:r>
      <w:r w:rsidR="00AE29F0" w:rsidRPr="00466B2D">
        <w:t>.</w:t>
      </w:r>
    </w:p>
    <w:p w14:paraId="7FC4C995" w14:textId="77777777" w:rsidR="00104741" w:rsidRDefault="00104741" w:rsidP="004B2396"/>
    <w:p w14:paraId="2C486C55" w14:textId="0E4E05B6" w:rsidR="00A46C46" w:rsidRDefault="00A46C46" w:rsidP="004B2396">
      <w:r>
        <w:t>Dies passt auch zusammen mit den folgenden Werten:</w:t>
      </w:r>
    </w:p>
    <w:p w14:paraId="0DE3CA74" w14:textId="77777777" w:rsidR="00A46C46" w:rsidRDefault="00A46C46" w:rsidP="004B2396"/>
    <w:p w14:paraId="2CC15245" w14:textId="253603FC" w:rsidR="00903E21" w:rsidRDefault="00343EFF" w:rsidP="004B2396">
      <w:r>
        <w:t>Beispielsweise nimmt d</w:t>
      </w:r>
      <w:r w:rsidR="00AE29F0">
        <w:t>er Monitoringbericht Energiewende</w:t>
      </w:r>
      <w:r>
        <w:t xml:space="preserve"> </w:t>
      </w:r>
      <w:r w:rsidR="00AE29F0">
        <w:t>für die Energieversorgung im Winter</w:t>
      </w:r>
      <w:r>
        <w:t xml:space="preserve"> für </w:t>
      </w:r>
      <w:r w:rsidR="00AE29F0">
        <w:t>2035 30 TWh Wasserstoff und 2045 bis zu 200 TWh an und Kraftwerkskapazitäten von 40 bis 70 GW für wasserstofffähige Gaskraftwerke an.</w:t>
      </w:r>
      <w:r w:rsidR="00AE29F0">
        <w:rPr>
          <w:rStyle w:val="Funotenzeichen"/>
        </w:rPr>
        <w:footnoteReference w:id="2346"/>
      </w:r>
      <w:r>
        <w:t xml:space="preserve"> </w:t>
      </w:r>
      <w:r w:rsidR="008F666F">
        <w:t xml:space="preserve">(ist </w:t>
      </w:r>
      <w:r w:rsidR="0045222A">
        <w:t xml:space="preserve">eben auch </w:t>
      </w:r>
      <w:r w:rsidR="008F666F">
        <w:t xml:space="preserve">logisch, 74 GW ist die </w:t>
      </w:r>
      <w:r w:rsidR="0045222A">
        <w:t xml:space="preserve">derzeitige </w:t>
      </w:r>
      <w:r w:rsidR="008F666F">
        <w:t>Spitzenleistung im deutschen Stromnetz</w:t>
      </w:r>
      <w:r w:rsidR="00EE4534">
        <w:t>, zumindest dies braucht man weiterhin auch, wenn Großbatterien und Pumpspeicher leergelaufen sind</w:t>
      </w:r>
      <w:r w:rsidR="008F666F">
        <w:t xml:space="preserve">) Wie viel Wasserstoff </w:t>
      </w:r>
      <w:r w:rsidR="00EE4534">
        <w:t>ist</w:t>
      </w:r>
      <w:r w:rsidR="008F666F">
        <w:t xml:space="preserve"> </w:t>
      </w:r>
      <w:r w:rsidR="00EE4534">
        <w:t xml:space="preserve">das </w:t>
      </w:r>
      <w:r w:rsidR="008F666F">
        <w:t xml:space="preserve">denn schon wieder? Wie viel erneuerbare Energien braucht man dafür? </w:t>
      </w:r>
      <w:r>
        <w:t>Ich rechne nicht gerne von TWh</w:t>
      </w:r>
      <w:r w:rsidR="00EE4534">
        <w:t>-</w:t>
      </w:r>
      <w:r>
        <w:t>Wasserstoff</w:t>
      </w:r>
      <w:r w:rsidR="00EE4534">
        <w:t>-Angaben</w:t>
      </w:r>
      <w:r>
        <w:t xml:space="preserve"> um, weil hier oft bestimmte Annahmen dahinterstehen (geringe</w:t>
      </w:r>
      <w:r w:rsidR="00EE4534">
        <w:t>re</w:t>
      </w:r>
      <w:r>
        <w:t xml:space="preserve"> Volllaststunden, Pauschalen für Wartung), die diesen Wert unzuverlässig machen: </w:t>
      </w:r>
      <w:r w:rsidR="00EE4534">
        <w:t xml:space="preserve">aber einfach mal rechnen, siehe Fußnote, </w:t>
      </w:r>
      <w:r w:rsidR="0045222A" w:rsidRPr="00A46C46">
        <w:rPr>
          <w:u w:val="single"/>
        </w:rPr>
        <w:t>es sind bei 30 TWh 900.000 Tonnen Wasserstoff</w:t>
      </w:r>
      <w:r w:rsidR="0045222A">
        <w:t xml:space="preserve">, </w:t>
      </w:r>
      <w:r w:rsidR="0045222A" w:rsidRPr="00A46C46">
        <w:rPr>
          <w:u w:val="single"/>
        </w:rPr>
        <w:t>bei 200 TWh 6.000.0000 Tonnen Wasserstoff</w:t>
      </w:r>
      <w:r w:rsidR="00EE4534">
        <w:t xml:space="preserve">, ich </w:t>
      </w:r>
      <w:r w:rsidR="001E4008">
        <w:t xml:space="preserve">rechne nun nicht die Werte von 6 Mill. Tonnen aus, ich </w:t>
      </w:r>
      <w:r w:rsidR="00EE4534">
        <w:t>ge</w:t>
      </w:r>
      <w:r w:rsidR="005033F3">
        <w:t xml:space="preserve">be in der Fußnote </w:t>
      </w:r>
      <w:r w:rsidR="00EE4534">
        <w:t>die Werte für 10.000.000 Tonnen Wasserstoff an, das wären 800 TWh-Stromverbrauch</w:t>
      </w:r>
      <w:r w:rsidR="0045222A">
        <w:t>.</w:t>
      </w:r>
      <w:r w:rsidR="0045222A">
        <w:rPr>
          <w:rStyle w:val="Funotenzeichen"/>
        </w:rPr>
        <w:footnoteReference w:id="2347"/>
      </w:r>
      <w:r w:rsidR="0045222A">
        <w:t xml:space="preserve"> </w:t>
      </w:r>
    </w:p>
    <w:p w14:paraId="6ECA6B0E" w14:textId="77777777" w:rsidR="00903E21" w:rsidRDefault="00903E21" w:rsidP="004B2396"/>
    <w:p w14:paraId="49830332" w14:textId="7E03AA53" w:rsidR="00EE4534" w:rsidRDefault="00EE4534" w:rsidP="004B2396">
      <w:r>
        <w:t xml:space="preserve">Gleich unten wird der Umbau der ganzen deutschen Stahlindustrie kurz berechnet: Für Deutschland wären dies 180.000 Tonnen Wasserstoff pro </w:t>
      </w:r>
      <w:proofErr w:type="spellStart"/>
      <w:r>
        <w:t>Midrex</w:t>
      </w:r>
      <w:proofErr w:type="spellEnd"/>
      <w:r>
        <w:t xml:space="preserve">-Direktreduktionsanlage: geschätzt 20 Anlagen bestehen dann: </w:t>
      </w:r>
      <w:r w:rsidR="00A46C46" w:rsidRPr="00A46C46">
        <w:rPr>
          <w:u w:val="single"/>
        </w:rPr>
        <w:t xml:space="preserve">20 Anlagen </w:t>
      </w:r>
      <w:r w:rsidRPr="00A46C46">
        <w:rPr>
          <w:u w:val="single"/>
        </w:rPr>
        <w:t xml:space="preserve">mal 180.000 = </w:t>
      </w:r>
      <w:r w:rsidRPr="00564116">
        <w:rPr>
          <w:b/>
          <w:bCs/>
          <w:u w:val="single"/>
        </w:rPr>
        <w:t>3.600.000 Tonnen</w:t>
      </w:r>
      <w:r>
        <w:t xml:space="preserve">. Und nimmt man dann noch die berühmten ungefähr </w:t>
      </w:r>
      <w:r w:rsidRPr="00564116">
        <w:rPr>
          <w:b/>
          <w:bCs/>
          <w:u w:val="single"/>
        </w:rPr>
        <w:t>6.000.000 Tonnen</w:t>
      </w:r>
      <w:r w:rsidRPr="008432C2">
        <w:rPr>
          <w:u w:val="single"/>
        </w:rPr>
        <w:t xml:space="preserve"> Wasserstoff für die Chemieindustrie dazu</w:t>
      </w:r>
      <w:r w:rsidR="00C0522C">
        <w:t xml:space="preserve"> (mehr Details in Teil 2</w:t>
      </w:r>
      <w:r w:rsidR="008432C2">
        <w:t>, aus Transformation der Chemie 2023</w:t>
      </w:r>
      <w:r w:rsidR="00C0522C">
        <w:t>)</w:t>
      </w:r>
      <w:r>
        <w:t>, für die grüne Fischer-Tropsch und Methanol-zu-Olefinen-Route,</w:t>
      </w:r>
      <w:r w:rsidR="001E4008">
        <w:t xml:space="preserve"> </w:t>
      </w:r>
      <w:r w:rsidR="001E4008" w:rsidRPr="00F61E70">
        <w:rPr>
          <w:b/>
          <w:bCs/>
        </w:rPr>
        <w:t xml:space="preserve">dann kommt man </w:t>
      </w:r>
      <w:r w:rsidR="00F61E70" w:rsidRPr="00F61E70">
        <w:rPr>
          <w:b/>
          <w:bCs/>
        </w:rPr>
        <w:t xml:space="preserve">recht schnell auf </w:t>
      </w:r>
      <w:r w:rsidR="001E4008" w:rsidRPr="00F61E70">
        <w:rPr>
          <w:b/>
          <w:bCs/>
        </w:rPr>
        <w:t>10.000.000 Tonnen Wasserstoff</w:t>
      </w:r>
      <w:r w:rsidR="001E4008">
        <w:t xml:space="preserve">. </w:t>
      </w:r>
      <w:r>
        <w:t xml:space="preserve">Selbst wenn </w:t>
      </w:r>
      <w:r w:rsidR="00C0522C">
        <w:t xml:space="preserve">ich hier etwas falsch gerechnet habe und die Elektrolyseure effizienter laufen können, pro 100 MW nicht nur 10.000 </w:t>
      </w:r>
      <w:r w:rsidR="001E4008">
        <w:t xml:space="preserve">Tonnen </w:t>
      </w:r>
      <w:r w:rsidR="00C0522C">
        <w:t xml:space="preserve">Wasserstoff, sondern 15.000 Tonnen schaffen oder sogar 17.000 wie </w:t>
      </w:r>
      <w:proofErr w:type="spellStart"/>
      <w:r w:rsidR="00C0522C">
        <w:t>Sunfire</w:t>
      </w:r>
      <w:proofErr w:type="spellEnd"/>
      <w:r w:rsidR="00C0522C">
        <w:t xml:space="preserve"> (das würde natürlich einen</w:t>
      </w:r>
      <w:r w:rsidR="005033F3">
        <w:t xml:space="preserve"> </w:t>
      </w:r>
      <w:r w:rsidR="00C0522C">
        <w:t xml:space="preserve">großen Unterschied machen), muss man beim deutschen Strom </w:t>
      </w:r>
      <w:r w:rsidR="001E4008">
        <w:t xml:space="preserve">also </w:t>
      </w:r>
      <w:r w:rsidR="00C0522C">
        <w:t xml:space="preserve">noch ein paar Briketts drauflegen!! </w:t>
      </w:r>
      <w:r w:rsidR="00C0522C">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p w14:paraId="24B4E99D" w14:textId="77777777" w:rsidR="00EE4534" w:rsidRDefault="00EE4534" w:rsidP="004B2396"/>
    <w:p w14:paraId="512FA6F8" w14:textId="52DE2565" w:rsidR="00903E21" w:rsidRDefault="00903E21" w:rsidP="004B2396">
      <w:r>
        <w:t xml:space="preserve">Wasserstoff braucht man </w:t>
      </w:r>
      <w:r w:rsidR="00EE4534" w:rsidRPr="00EE4534">
        <w:rPr>
          <w:u w:val="single"/>
        </w:rPr>
        <w:t>nämlich</w:t>
      </w:r>
      <w:r w:rsidR="00EE4534">
        <w:t xml:space="preserve"> </w:t>
      </w:r>
      <w:r>
        <w:t>nicht nur für die Chemieindustrie als neue</w:t>
      </w:r>
      <w:r w:rsidR="001E4008">
        <w:t>n</w:t>
      </w:r>
      <w:r>
        <w:t xml:space="preserve"> Grundstoff für Naphtha, Ethylen und Propylen</w:t>
      </w:r>
      <w:r w:rsidR="0033754D">
        <w:t xml:space="preserve"> und zwar für beide Prozesse: Fischer-Tropsch und Methanol-zu-</w:t>
      </w:r>
      <w:r w:rsidR="0033754D">
        <w:lastRenderedPageBreak/>
        <w:t>Olefinen, die beide vom Synthesegas ausgehen</w:t>
      </w:r>
      <w:r>
        <w:t xml:space="preserve"> und für grünen Ammoniak, </w:t>
      </w:r>
      <w:r w:rsidR="00343EFF">
        <w:t xml:space="preserve">sondern auch </w:t>
      </w:r>
      <w:r>
        <w:t xml:space="preserve">für die Stahlindustrie, und auch als Basis für die Herstellung von E-Fuels: </w:t>
      </w:r>
      <w:r w:rsidR="00343EFF">
        <w:t xml:space="preserve">etwa für </w:t>
      </w:r>
      <w:r>
        <w:t>Ammoniak</w:t>
      </w:r>
      <w:r w:rsidR="00343EFF">
        <w:t xml:space="preserve"> als T</w:t>
      </w:r>
      <w:r>
        <w:t xml:space="preserve">reibstoff und </w:t>
      </w:r>
      <w:r w:rsidR="00343EFF">
        <w:t xml:space="preserve">als </w:t>
      </w:r>
      <w:r>
        <w:t>grünes Methanol für Schiffsantriebe und grünes Kerosin aus dem Fischer-Tropsch-Prozess.</w:t>
      </w:r>
      <w:r w:rsidR="00343EFF">
        <w:t xml:space="preserve"> Dazu kommt eben noch Wasserstoff für den Winter und für Dunkelflauten.</w:t>
      </w:r>
      <w:r>
        <w:t xml:space="preserve"> </w:t>
      </w:r>
    </w:p>
    <w:p w14:paraId="2DBC9B65" w14:textId="77777777" w:rsidR="00903E21" w:rsidRDefault="00903E21" w:rsidP="004B2396"/>
    <w:p w14:paraId="30447E17" w14:textId="2ED69972" w:rsidR="00903E21" w:rsidRDefault="00903E21" w:rsidP="004B2396">
      <w:r>
        <w:t>Will man</w:t>
      </w:r>
      <w:r w:rsidR="006E1687">
        <w:t xml:space="preserve"> </w:t>
      </w:r>
      <w:r>
        <w:t xml:space="preserve">den Flugverkehr über grünes Kerosin betreiben dann muss man </w:t>
      </w:r>
      <w:r w:rsidR="00343EFF">
        <w:t xml:space="preserve">allerdings </w:t>
      </w:r>
      <w:r>
        <w:t>noch höher greifen, das</w:t>
      </w:r>
      <w:r w:rsidR="00343EFF">
        <w:t xml:space="preserve"> kann man </w:t>
      </w:r>
      <w:r w:rsidR="006E1687">
        <w:t xml:space="preserve">derzeit, soweit mein Wissen reicht, </w:t>
      </w:r>
      <w:r w:rsidR="00343EFF">
        <w:t>kaum ausrechnen, weil aus dem grünen Fischer-Tropsch-Prozess nur ein bestimmte</w:t>
      </w:r>
      <w:r w:rsidR="004411FC">
        <w:t>r</w:t>
      </w:r>
      <w:r w:rsidR="00343EFF">
        <w:t xml:space="preserve"> Anteil der Kohlenstoffketten die Länge hat, dass sie</w:t>
      </w:r>
      <w:r w:rsidR="00551EF9">
        <w:t xml:space="preserve"> zu Kerosin</w:t>
      </w:r>
      <w:r w:rsidR="00343EFF">
        <w:t xml:space="preserve"> </w:t>
      </w:r>
      <w:r w:rsidR="00551EF9">
        <w:t xml:space="preserve">umgeformt werde können </w:t>
      </w:r>
      <w:r w:rsidR="00343EFF">
        <w:t xml:space="preserve">… </w:t>
      </w:r>
    </w:p>
    <w:p w14:paraId="1FA5C189" w14:textId="77777777" w:rsidR="00CB38BD" w:rsidRDefault="00CB38BD" w:rsidP="004B2396"/>
    <w:p w14:paraId="20957975" w14:textId="5ABB6DC0" w:rsidR="008432C2" w:rsidRDefault="008432C2" w:rsidP="004B2396">
      <w:r>
        <w:t xml:space="preserve">Erstes Fazit ist also, dass der </w:t>
      </w:r>
      <w:r w:rsidRPr="00F41674">
        <w:rPr>
          <w:b/>
          <w:bCs/>
        </w:rPr>
        <w:t xml:space="preserve">Ausbau von erneuerbaren Energien, also </w:t>
      </w:r>
      <w:proofErr w:type="gramStart"/>
      <w:r w:rsidRPr="00F41674">
        <w:rPr>
          <w:b/>
          <w:bCs/>
        </w:rPr>
        <w:t>4 mal</w:t>
      </w:r>
      <w:proofErr w:type="gramEnd"/>
      <w:r w:rsidRPr="00F41674">
        <w:rPr>
          <w:b/>
          <w:bCs/>
        </w:rPr>
        <w:t xml:space="preserve"> mehr Solarproduktionskapazität und </w:t>
      </w:r>
      <w:proofErr w:type="gramStart"/>
      <w:r w:rsidRPr="00F41674">
        <w:rPr>
          <w:b/>
          <w:bCs/>
        </w:rPr>
        <w:t>10 mal</w:t>
      </w:r>
      <w:proofErr w:type="gramEnd"/>
      <w:r w:rsidRPr="00F41674">
        <w:rPr>
          <w:b/>
          <w:bCs/>
        </w:rPr>
        <w:t xml:space="preserve"> mehr Windkraftproduktionskapazität, auch für Deutschland wichtig sind</w:t>
      </w:r>
      <w:r>
        <w:t xml:space="preserve">, weil Deutschland mit seiner Energiewende in der </w:t>
      </w:r>
      <w:r w:rsidRPr="0027628A">
        <w:rPr>
          <w:u w:val="single"/>
        </w:rPr>
        <w:t>Dimension</w:t>
      </w:r>
      <w:r>
        <w:t xml:space="preserve"> zwar richtig liegt, aber aus meiner Sicht </w:t>
      </w:r>
      <w:r w:rsidRPr="0046154A">
        <w:rPr>
          <w:b/>
          <w:bCs/>
          <w:u w:val="single"/>
        </w:rPr>
        <w:t>mehr</w:t>
      </w:r>
      <w:r w:rsidRPr="0027628A">
        <w:rPr>
          <w:b/>
          <w:bCs/>
        </w:rPr>
        <w:t xml:space="preserve"> erneuerbare Energien brauchen wird, als bisher </w:t>
      </w:r>
      <w:r>
        <w:rPr>
          <w:b/>
          <w:bCs/>
        </w:rPr>
        <w:t>geplant</w:t>
      </w:r>
      <w:r>
        <w:t>, dies ist u.a. das Ergebnis von Teil 2.</w:t>
      </w:r>
    </w:p>
    <w:p w14:paraId="2A3ECC3C" w14:textId="77777777" w:rsidR="008432C2" w:rsidRDefault="008432C2" w:rsidP="004B2396"/>
    <w:p w14:paraId="22B88790" w14:textId="64F919DC" w:rsidR="00846726" w:rsidRDefault="00146752" w:rsidP="004B2396">
      <w:r>
        <w:t>16.2 Industriepolitik</w:t>
      </w:r>
      <w:r w:rsidR="00300DB8">
        <w:t xml:space="preserve"> </w:t>
      </w:r>
      <w:r w:rsidR="00097EA2">
        <w:t xml:space="preserve">unter anderem für Solar </w:t>
      </w:r>
      <w:r w:rsidR="00300DB8">
        <w:t>mi</w:t>
      </w:r>
      <w:r w:rsidR="0038075D">
        <w:t>t mehreren Facetten</w:t>
      </w:r>
    </w:p>
    <w:p w14:paraId="2D9FD32D" w14:textId="77777777" w:rsidR="008432C2" w:rsidRDefault="008432C2" w:rsidP="008432C2"/>
    <w:p w14:paraId="22F6442A" w14:textId="77777777" w:rsidR="00143C9C" w:rsidRDefault="009568A9" w:rsidP="004B2396">
      <w:r>
        <w:t xml:space="preserve">Aus meiner Sicht sollte </w:t>
      </w:r>
      <w:r w:rsidR="00D53F02">
        <w:t xml:space="preserve">in der EU </w:t>
      </w:r>
      <w:r>
        <w:t>d</w:t>
      </w:r>
      <w:r w:rsidR="00846726">
        <w:t>er Ausbau der Produktionskapazität von Solarenergie</w:t>
      </w:r>
      <w:r w:rsidR="00D53F02">
        <w:t xml:space="preserve"> </w:t>
      </w:r>
      <w:r w:rsidR="00846726">
        <w:t xml:space="preserve">staatlich gefördert werden, </w:t>
      </w:r>
      <w:r w:rsidR="001F6143">
        <w:t xml:space="preserve">um mehr Produktionskapazität zu haben, ob man dadurch die Kosten herunterbringen kann, </w:t>
      </w:r>
      <w:r w:rsidR="00146752">
        <w:t>ist</w:t>
      </w:r>
      <w:r w:rsidR="001F6143">
        <w:t xml:space="preserve"> unsicher</w:t>
      </w:r>
      <w:r w:rsidR="00D03325">
        <w:t xml:space="preserve">, wichtig ist </w:t>
      </w:r>
      <w:r w:rsidR="00146752">
        <w:t>der beschleunigte Ausbau</w:t>
      </w:r>
      <w:r w:rsidR="00F41674">
        <w:t>, hierbei denke ich an wiederkehrende, höhere Subventionen</w:t>
      </w:r>
      <w:r w:rsidR="000F6EA7">
        <w:t>, für europäische Solarfirmen, auf allen Stufen der Wertschöpfungskette: Polysilizium, Ingots, Wafer, Zellen, Module</w:t>
      </w:r>
      <w:r w:rsidR="00846726">
        <w:t xml:space="preserve">. </w:t>
      </w:r>
      <w:r w:rsidR="000F6EA7">
        <w:t xml:space="preserve">Und </w:t>
      </w:r>
      <w:r w:rsidR="008432C2">
        <w:t xml:space="preserve">es muss </w:t>
      </w:r>
      <w:r w:rsidR="000F6EA7">
        <w:t>‚sponta</w:t>
      </w:r>
      <w:r w:rsidR="008432C2">
        <w:t>n</w:t>
      </w:r>
      <w:r w:rsidR="000F6EA7">
        <w:t xml:space="preserve">‘ Subventionen </w:t>
      </w:r>
      <w:r w:rsidR="008432C2">
        <w:t xml:space="preserve">geben </w:t>
      </w:r>
      <w:r w:rsidR="000F6EA7">
        <w:t xml:space="preserve">für Firmen, die </w:t>
      </w:r>
      <w:r w:rsidR="008432C2">
        <w:t xml:space="preserve">in </w:t>
      </w:r>
      <w:r w:rsidR="000F6EA7">
        <w:t xml:space="preserve">Schwierigkeiten </w:t>
      </w:r>
      <w:r w:rsidR="008432C2">
        <w:t>sind</w:t>
      </w:r>
      <w:r w:rsidR="000F6EA7">
        <w:t xml:space="preserve">: die Chinesen lachen sich doch kaputt, wenn Meyer-Burger die Produktion aufgeben müsste!! </w:t>
      </w:r>
    </w:p>
    <w:p w14:paraId="45A2A1D1" w14:textId="77777777" w:rsidR="00143C9C" w:rsidRDefault="00143C9C" w:rsidP="004B2396"/>
    <w:p w14:paraId="3BDC9C2F" w14:textId="77777777" w:rsidR="00143C9C" w:rsidRDefault="00143C9C" w:rsidP="00143C9C">
      <w:proofErr w:type="gramStart"/>
      <w:r>
        <w:t>Auch andere europäischen Ländern</w:t>
      </w:r>
      <w:proofErr w:type="gramEnd"/>
      <w:r>
        <w:t>, sprich Frankreich, müssen Maßnahmen ergreifen, dass die europäische Solarindustrie bei Projekten ausreichend beachtet wird, damit sie kontinuierlich wachsen kann. Denn: chinesische Produkte haben im Bereich Solar ‚für immer‘ ein Kostenvorteil. Es geht aber schließlich darum, dass es nicht schon wieder einen Fehlschlag beim Aufbau einer europäischen Solarindustrie gibt!!!</w:t>
      </w:r>
    </w:p>
    <w:p w14:paraId="6653E748" w14:textId="77777777" w:rsidR="00143C9C" w:rsidRDefault="00143C9C" w:rsidP="004B2396"/>
    <w:p w14:paraId="6B088957" w14:textId="5CA1C8D6" w:rsidR="00C37AD4" w:rsidRDefault="00D03325" w:rsidP="004B2396">
      <w:r>
        <w:t>Die</w:t>
      </w:r>
      <w:r w:rsidR="001F6143">
        <w:t xml:space="preserve"> Produktionskapazität der</w:t>
      </w:r>
      <w:r>
        <w:t xml:space="preserve"> Windenergie-Industrie </w:t>
      </w:r>
      <w:r w:rsidR="00971527">
        <w:t xml:space="preserve">in </w:t>
      </w:r>
      <w:r>
        <w:t xml:space="preserve">Europa muss </w:t>
      </w:r>
      <w:r w:rsidR="007D5989">
        <w:t xml:space="preserve">ebenfalls </w:t>
      </w:r>
      <w:r w:rsidR="001F6143">
        <w:t>weiter ausgebaut werden</w:t>
      </w:r>
      <w:r w:rsidR="00146752">
        <w:t xml:space="preserve">, besonders </w:t>
      </w:r>
      <w:r w:rsidR="00661BE9">
        <w:t xml:space="preserve">im Bereich günstigem </w:t>
      </w:r>
      <w:r w:rsidR="00146752">
        <w:t>Landwind.</w:t>
      </w:r>
      <w:r w:rsidR="001F6143">
        <w:t xml:space="preserve"> </w:t>
      </w:r>
      <w:r w:rsidR="000F6EA7">
        <w:t xml:space="preserve">Die Industrie ist erfolgreich, sie braucht derzeit nicht dringend Subventionen. Aber die Ausbaugeschwindigkeit in Deutschland ist derzeit bei Wind (schon wieder) sehr niedrig, das gefährdet auch die Industrie. </w:t>
      </w:r>
      <w:r w:rsidR="00146752">
        <w:t>Die</w:t>
      </w:r>
      <w:r w:rsidR="001F6143">
        <w:t xml:space="preserve"> Windenergie-Industrie </w:t>
      </w:r>
      <w:r w:rsidR="004458DB">
        <w:t xml:space="preserve">der EU </w:t>
      </w:r>
      <w:r w:rsidR="001F6143">
        <w:t xml:space="preserve">sollte </w:t>
      </w:r>
      <w:r>
        <w:t xml:space="preserve">zu 100 % </w:t>
      </w:r>
      <w:r w:rsidR="004458DB">
        <w:t xml:space="preserve">(weiter) </w:t>
      </w:r>
      <w:r>
        <w:t xml:space="preserve">geschützt werden und Kostensenkungen durch Standardisierung in Europa und nicht durch Importe </w:t>
      </w:r>
      <w:r w:rsidR="00661BE9">
        <w:t xml:space="preserve">von günstigen Teilen </w:t>
      </w:r>
      <w:r>
        <w:t>erziel</w:t>
      </w:r>
      <w:r w:rsidR="001F6143">
        <w:t>t werden</w:t>
      </w:r>
      <w:r>
        <w:t>.</w:t>
      </w:r>
      <w:r w:rsidR="004458DB">
        <w:t xml:space="preserve"> Dazu scheint erst einmal die Handelspolitik und das Investment Screening auszureichen: mit eine Antidumpingzoll auf Windkrafttürme, seit dem 17.12.2021 mit bis zu 19,2 % Zöllen</w:t>
      </w:r>
      <w:r w:rsidR="004458DB">
        <w:rPr>
          <w:rStyle w:val="Funotenzeichen"/>
        </w:rPr>
        <w:footnoteReference w:id="2348"/>
      </w:r>
      <w:r w:rsidR="004458DB">
        <w:t>, und, seit dem 09.04.2024 mit Foreign</w:t>
      </w:r>
      <w:r w:rsidR="002105A7">
        <w:t>-</w:t>
      </w:r>
      <w:proofErr w:type="spellStart"/>
      <w:r w:rsidR="004458DB">
        <w:t>Subsidies</w:t>
      </w:r>
      <w:proofErr w:type="spellEnd"/>
      <w:r w:rsidR="002105A7">
        <w:t>-</w:t>
      </w:r>
      <w:r w:rsidR="004458DB">
        <w:t>Regulation-Untersuchungen gegen subventionierte Windturbinen.</w:t>
      </w:r>
      <w:r w:rsidR="004458DB">
        <w:rPr>
          <w:rStyle w:val="Funotenzeichen"/>
        </w:rPr>
        <w:footnoteReference w:id="2349"/>
      </w:r>
      <w:r w:rsidR="004458DB">
        <w:t xml:space="preserve"> </w:t>
      </w:r>
      <w:r w:rsidR="0033754D">
        <w:t xml:space="preserve">Die Windenergieindustrie wird </w:t>
      </w:r>
      <w:r w:rsidR="00C97251">
        <w:t xml:space="preserve">sehr </w:t>
      </w:r>
      <w:r w:rsidR="0033754D">
        <w:t>gut i</w:t>
      </w:r>
      <w:r w:rsidR="00C97251">
        <w:t>m</w:t>
      </w:r>
      <w:r w:rsidR="00C97251" w:rsidRPr="00C97251">
        <w:t xml:space="preserve"> </w:t>
      </w:r>
      <w:r w:rsidR="00C97251" w:rsidRPr="0033754D">
        <w:t xml:space="preserve">DENA </w:t>
      </w:r>
      <w:proofErr w:type="spellStart"/>
      <w:r w:rsidR="00C97251" w:rsidRPr="0033754D">
        <w:t>StiPE</w:t>
      </w:r>
      <w:proofErr w:type="spellEnd"/>
      <w:r w:rsidR="00C97251" w:rsidRPr="0033754D">
        <w:t xml:space="preserve"> Berich</w:t>
      </w:r>
      <w:r w:rsidR="00C97251">
        <w:t>t</w:t>
      </w:r>
      <w:r w:rsidR="00C97251" w:rsidRPr="0033754D">
        <w:t xml:space="preserve"> 2022</w:t>
      </w:r>
      <w:r w:rsidR="00C97251">
        <w:t xml:space="preserve"> charakterisiert, dort wird u.a. festgehalten, dass hier keine rationalisierte Massenfertigung herrscht, sondern Auftrag für Auftrag gesondert abgewickelt wird: „</w:t>
      </w:r>
      <w:r w:rsidR="00C97251" w:rsidRPr="00C97251">
        <w:t xml:space="preserve">Aktuell laufen die Planungs- und Umsetzungsschritte folgendermaßen ab: Die Projektentwickler bzw. Betreiber erteilen den Auftrag an den Hersteller von Windenergieanlagen erst nach Erhalt der Genehmigung und des Zuschlags im Ausschreibungsverfahren. Erst im Anschluss ordern die Anlagenhersteller die benötigten Komponenten bei ihren Zulieferern. Windenergieanlagen werden somit stets nur nach </w:t>
      </w:r>
      <w:r w:rsidR="00C97251" w:rsidRPr="00C97251">
        <w:lastRenderedPageBreak/>
        <w:t>Auftrag gefertigt. Ein Vorhalten einzelner Komponenten oder gar ganzer Anlagen ist aus Sicht der meisten Stakeholder aus der Anlagenfertigung nicht machbar. Der Grund hierfür ist, dass Windenergieanlagen stets typenspezifisch beauftragt und gefertigt werden, da die Genehmigungen auch für eine bestimmte Typenklasse erfolgen.</w:t>
      </w:r>
      <w:r w:rsidR="00C97251">
        <w:t>“</w:t>
      </w:r>
      <w:r w:rsidR="0033754D">
        <w:rPr>
          <w:rStyle w:val="Funotenzeichen"/>
        </w:rPr>
        <w:footnoteReference w:id="2350"/>
      </w:r>
      <w:r w:rsidR="00C97251">
        <w:t xml:space="preserve"> Teils gibt es Lieferschwierigkeiten bei Zuliefern, und es bedürfte eines Vorlaufs von mindestens 2 Jahren, damit z.B. die Hersteller von Wälzlagern ihre Produktion erhöhen können.</w:t>
      </w:r>
      <w:r w:rsidR="00C97251">
        <w:rPr>
          <w:rStyle w:val="Funotenzeichen"/>
        </w:rPr>
        <w:footnoteReference w:id="2351"/>
      </w:r>
      <w:r w:rsidR="00C97251">
        <w:t xml:space="preserve"> Im diesem Bericht wird z.B. erwähnt, dass man durch staatliche Abnahmegarantieren einen kontinuierlicheren Produktionsprozess hinbekommen könnte.</w:t>
      </w:r>
      <w:r w:rsidR="00C97251" w:rsidRPr="00C97251">
        <w:rPr>
          <w:rStyle w:val="Funotenzeichen"/>
        </w:rPr>
        <w:t xml:space="preserve"> </w:t>
      </w:r>
      <w:r w:rsidR="00C97251">
        <w:rPr>
          <w:rStyle w:val="Funotenzeichen"/>
        </w:rPr>
        <w:footnoteReference w:id="2352"/>
      </w:r>
      <w:r w:rsidR="00C97251">
        <w:t xml:space="preserve"> </w:t>
      </w:r>
      <w:r w:rsidR="000F6EA7">
        <w:t xml:space="preserve">Es wäre wünschenswert, wenn die Industrie selbst ein günstiges, standardisiertes Landwindmodell ohne Neodym-Magneten entwickelt, dies wird sie nicht tun, weil man damit kein Geld verdienen kann, aber man braucht ein solches Modell. Es ist schwer, dafür eine Lösung zu finden. </w:t>
      </w:r>
    </w:p>
    <w:p w14:paraId="640DF5F2" w14:textId="77777777" w:rsidR="00F41674" w:rsidRDefault="00F41674" w:rsidP="004B2396"/>
    <w:tbl>
      <w:tblPr>
        <w:tblStyle w:val="Tabellenraster"/>
        <w:tblW w:w="0" w:type="auto"/>
        <w:tblLook w:val="04A0" w:firstRow="1" w:lastRow="0" w:firstColumn="1" w:lastColumn="0" w:noHBand="0" w:noVBand="1"/>
      </w:tblPr>
      <w:tblGrid>
        <w:gridCol w:w="9062"/>
      </w:tblGrid>
      <w:tr w:rsidR="00FD7D2F" w14:paraId="2F7FEE3C" w14:textId="77777777">
        <w:tc>
          <w:tcPr>
            <w:tcW w:w="9062" w:type="dxa"/>
          </w:tcPr>
          <w:p w14:paraId="6145028E" w14:textId="1070C560" w:rsidR="00FD7D2F" w:rsidRDefault="00FD7D2F" w:rsidP="004B2396">
            <w:r>
              <w:t>Hierzu passt der Draghi</w:t>
            </w:r>
            <w:r w:rsidR="00D27DAA">
              <w:t>-Bericht</w:t>
            </w:r>
            <w:r>
              <w:t xml:space="preserve">. Auf der EU Ebene hat Mario Draghi in seinem Bericht ein </w:t>
            </w:r>
            <w:proofErr w:type="spellStart"/>
            <w:r>
              <w:t>Competitiveness</w:t>
            </w:r>
            <w:proofErr w:type="spellEnd"/>
            <w:r>
              <w:t xml:space="preserve"> </w:t>
            </w:r>
            <w:proofErr w:type="spellStart"/>
            <w:r>
              <w:t>Coordination</w:t>
            </w:r>
            <w:proofErr w:type="spellEnd"/>
            <w:r>
              <w:t xml:space="preserve"> Framework vorgeschlagen, welches für die EU Ebene ‚EU </w:t>
            </w:r>
            <w:proofErr w:type="spellStart"/>
            <w:r>
              <w:t>Competitiveness</w:t>
            </w:r>
            <w:proofErr w:type="spellEnd"/>
            <w:r>
              <w:t xml:space="preserve"> </w:t>
            </w:r>
            <w:proofErr w:type="spellStart"/>
            <w:r>
              <w:t>Priorities</w:t>
            </w:r>
            <w:proofErr w:type="spellEnd"/>
            <w:r>
              <w:t>‘ ausfindig machen soll und dies soll auf der Basis von Art. 121 TFEU zwischen dem Rat der Europäischen und Union (Council) und dann auf höchster Ebene, im Europäischen Rat der Staats- und Regierungschefs (European Council) abgestimmt und beschlossen werden soll und dann in die gesamte Arbeit der EU einfließen soll.</w:t>
            </w:r>
            <w:r>
              <w:rPr>
                <w:rStyle w:val="Funotenzeichen"/>
              </w:rPr>
              <w:footnoteReference w:id="2353"/>
            </w:r>
            <w:r>
              <w:t xml:space="preserve"> In einem solchen Rahmen könnte man dann in der EU beschließen, in welchen Bereichen der Energiewende eine Förderung nötig ist, wobei man auch Leitungen, Transformatoren etc. nicht vergessen sollte. </w:t>
            </w:r>
          </w:p>
        </w:tc>
      </w:tr>
    </w:tbl>
    <w:p w14:paraId="2F067605" w14:textId="77777777" w:rsidR="00FD7D2F" w:rsidRDefault="00FD7D2F" w:rsidP="004B2396"/>
    <w:p w14:paraId="1B0D7A12" w14:textId="7BB69BD6" w:rsidR="00C97251" w:rsidRDefault="00FD7D2F" w:rsidP="004B2396">
      <w:r>
        <w:t>Man</w:t>
      </w:r>
      <w:r w:rsidR="00F41674">
        <w:t xml:space="preserve"> erkennt</w:t>
      </w:r>
      <w:r>
        <w:t xml:space="preserve"> aber</w:t>
      </w:r>
      <w:r w:rsidR="00F41674">
        <w:t xml:space="preserve"> schon</w:t>
      </w:r>
      <w:r w:rsidR="008432C2">
        <w:t xml:space="preserve"> hier</w:t>
      </w:r>
      <w:r w:rsidR="00F41674">
        <w:t>, dass</w:t>
      </w:r>
      <w:r w:rsidR="00C97251">
        <w:t xml:space="preserve"> </w:t>
      </w:r>
      <w:r w:rsidR="009D26BD">
        <w:t xml:space="preserve">es </w:t>
      </w:r>
      <w:r w:rsidR="00C97251">
        <w:t>bei einer Industriepolitik</w:t>
      </w:r>
      <w:r w:rsidR="00F41674">
        <w:t xml:space="preserve"> nicht nur um Subventionen geht. Alles muss letztendlich ineinandergreifen</w:t>
      </w:r>
      <w:r w:rsidR="000F6EA7">
        <w:t xml:space="preserve">, Subventionen, Handelspolitik, passende Anreize beim Ausbau erneuerbarer Energien und anderer Produkte, die dies unterstützen und </w:t>
      </w:r>
      <w:r w:rsidR="00C97251">
        <w:t xml:space="preserve">die </w:t>
      </w:r>
      <w:r w:rsidR="00480DD3">
        <w:t xml:space="preserve">möglichst auch eine stabil bestehende, steigende </w:t>
      </w:r>
      <w:r w:rsidR="000F6EA7">
        <w:t>Nachfrage erzeugen</w:t>
      </w:r>
      <w:r w:rsidR="00F41674">
        <w:t xml:space="preserve">. </w:t>
      </w:r>
      <w:r w:rsidR="00143C9C">
        <w:t xml:space="preserve">Dazu einige Beispiele: </w:t>
      </w:r>
    </w:p>
    <w:p w14:paraId="7407EE3A" w14:textId="77777777" w:rsidR="00C97251" w:rsidRDefault="00C97251" w:rsidP="004B2396"/>
    <w:p w14:paraId="14C0243E" w14:textId="27854EF7" w:rsidR="00A902EA" w:rsidRDefault="00A902EA" w:rsidP="004B2396">
      <w:r>
        <w:t xml:space="preserve">Man </w:t>
      </w:r>
      <w:r w:rsidR="00F41674">
        <w:t xml:space="preserve">braucht </w:t>
      </w:r>
      <w:r w:rsidR="000F6EA7">
        <w:t>eine</w:t>
      </w:r>
      <w:r w:rsidR="00F41674">
        <w:t xml:space="preserve"> Handelspolitik, di</w:t>
      </w:r>
      <w:r>
        <w:t xml:space="preserve">e </w:t>
      </w:r>
      <w:r w:rsidR="00FD7D2F">
        <w:t xml:space="preserve">bei Solar </w:t>
      </w:r>
      <w:r w:rsidR="00F41674">
        <w:t>mit ‚</w:t>
      </w:r>
      <w:proofErr w:type="spellStart"/>
      <w:r w:rsidR="00F41674">
        <w:t>undertakings</w:t>
      </w:r>
      <w:proofErr w:type="spellEnd"/>
      <w:r w:rsidR="00F41674">
        <w:t>‘ Mindestpreise und sinnvoll verwaltete</w:t>
      </w:r>
      <w:r w:rsidR="00564116">
        <w:t>n</w:t>
      </w:r>
      <w:r w:rsidR="00F41674">
        <w:t xml:space="preserve"> mengenmäßige Beschränkungen kombiniert. </w:t>
      </w:r>
    </w:p>
    <w:p w14:paraId="36E95EC7" w14:textId="77777777" w:rsidR="00A902EA" w:rsidRDefault="00A902EA" w:rsidP="004B2396"/>
    <w:p w14:paraId="3A4FEF6E" w14:textId="6446A1DE" w:rsidR="00407B66" w:rsidRDefault="00F41674" w:rsidP="004B2396">
      <w:r>
        <w:t xml:space="preserve">Dazu müssen Maßnahmen kommen, die </w:t>
      </w:r>
      <w:r w:rsidR="00407B66">
        <w:t xml:space="preserve">Nachfrage schaffen und </w:t>
      </w:r>
      <w:r>
        <w:t xml:space="preserve">wirklich sicherstellen, </w:t>
      </w:r>
      <w:r w:rsidR="00407B66">
        <w:t xml:space="preserve">dass </w:t>
      </w:r>
      <w:r>
        <w:t xml:space="preserve">dann auch die europäischen Solarzellen in den Projekten eingebaut werden, ich hatte </w:t>
      </w:r>
      <w:r w:rsidR="00097374">
        <w:t xml:space="preserve">oben </w:t>
      </w:r>
      <w:r>
        <w:t xml:space="preserve">die Idee </w:t>
      </w:r>
      <w:proofErr w:type="gramStart"/>
      <w:r>
        <w:t xml:space="preserve">einer </w:t>
      </w:r>
      <w:r w:rsidRPr="00143C9C">
        <w:rPr>
          <w:u w:val="single"/>
        </w:rPr>
        <w:t>Projekt</w:t>
      </w:r>
      <w:proofErr w:type="gramEnd"/>
      <w:r w:rsidRPr="00143C9C">
        <w:rPr>
          <w:u w:val="single"/>
        </w:rPr>
        <w:t xml:space="preserve"> (Teil-) Quote</w:t>
      </w:r>
      <w:r w:rsidR="00097374">
        <w:t xml:space="preserve"> vorgeschlagen, Jahr für Jahr ansteigend, für europäische Solarzellen in jedem Projekt</w:t>
      </w:r>
      <w:r>
        <w:t xml:space="preserve">. </w:t>
      </w:r>
      <w:r w:rsidRPr="000F6EA7">
        <w:t>Die Energieökonomin Claudia Kemfert</w:t>
      </w:r>
      <w:r w:rsidRPr="000F6EA7">
        <w:rPr>
          <w:rStyle w:val="Funotenzeichen"/>
        </w:rPr>
        <w:footnoteReference w:id="2354"/>
      </w:r>
      <w:r w:rsidRPr="000F6EA7">
        <w:t xml:space="preserve"> hat einen </w:t>
      </w:r>
      <w:proofErr w:type="spellStart"/>
      <w:r w:rsidRPr="00143C9C">
        <w:rPr>
          <w:u w:val="single"/>
        </w:rPr>
        <w:t>Res</w:t>
      </w:r>
      <w:r w:rsidR="00D27DAA">
        <w:rPr>
          <w:u w:val="single"/>
        </w:rPr>
        <w:t>i</w:t>
      </w:r>
      <w:r w:rsidRPr="00143C9C">
        <w:rPr>
          <w:u w:val="single"/>
        </w:rPr>
        <w:t>lienzbonus</w:t>
      </w:r>
      <w:proofErr w:type="spellEnd"/>
      <w:r w:rsidRPr="000F6EA7">
        <w:t xml:space="preserve"> vorgeschlagen, nämlich dass Solarprojekte, die von der Bundenetzagentur auktioniert werden,</w:t>
      </w:r>
      <w:r w:rsidR="000F6EA7" w:rsidRPr="000F6EA7">
        <w:t xml:space="preserve"> </w:t>
      </w:r>
      <w:r>
        <w:t>höhere Kompensationsgelder einzuplanen, um für die höheren Kosten bzw. Investitionskosten zu kompensieren.</w:t>
      </w:r>
      <w:r>
        <w:rPr>
          <w:rStyle w:val="Funotenzeichen"/>
        </w:rPr>
        <w:footnoteReference w:id="2355"/>
      </w:r>
      <w:r w:rsidR="000F6EA7">
        <w:t xml:space="preserve"> </w:t>
      </w:r>
    </w:p>
    <w:p w14:paraId="69069BEA" w14:textId="77777777" w:rsidR="00407B66" w:rsidRDefault="00407B66" w:rsidP="004B2396"/>
    <w:p w14:paraId="649F14C8" w14:textId="31085495" w:rsidR="00097374" w:rsidRDefault="00564116" w:rsidP="004B2396">
      <w:r>
        <w:t>Um Nachfrage nach grünen Produkten herzustellen</w:t>
      </w:r>
      <w:r w:rsidR="008432C2">
        <w:t xml:space="preserve"> schlägt die französische Stahlindustrie und Wasserstoffindustrie </w:t>
      </w:r>
      <w:r w:rsidR="00A26E63">
        <w:t xml:space="preserve">eine </w:t>
      </w:r>
      <w:r w:rsidR="00A26E63" w:rsidRPr="00143C9C">
        <w:rPr>
          <w:u w:val="single"/>
        </w:rPr>
        <w:t>Quote</w:t>
      </w:r>
      <w:r w:rsidR="00A26E63">
        <w:t xml:space="preserve"> für </w:t>
      </w:r>
      <w:r w:rsidR="008432C2">
        <w:t xml:space="preserve">den Einsatz von </w:t>
      </w:r>
      <w:r w:rsidR="00A26E63">
        <w:t>grüne</w:t>
      </w:r>
      <w:r w:rsidR="008432C2">
        <w:t>m</w:t>
      </w:r>
      <w:r w:rsidR="00A26E63">
        <w:t xml:space="preserve"> Stahl </w:t>
      </w:r>
      <w:proofErr w:type="gramStart"/>
      <w:r w:rsidR="008432C2">
        <w:t xml:space="preserve">in der </w:t>
      </w:r>
      <w:r w:rsidR="00A26E63">
        <w:t>e</w:t>
      </w:r>
      <w:r w:rsidR="00A902EA">
        <w:t>u</w:t>
      </w:r>
      <w:r w:rsidR="00A26E63">
        <w:t xml:space="preserve">ropäische </w:t>
      </w:r>
      <w:r w:rsidR="00A26E63">
        <w:lastRenderedPageBreak/>
        <w:t>Automobilindustrie</w:t>
      </w:r>
      <w:proofErr w:type="gramEnd"/>
      <w:r w:rsidR="00A26E63">
        <w:t xml:space="preserve"> vor, </w:t>
      </w:r>
      <w:r w:rsidR="00A902EA">
        <w:t xml:space="preserve">also dass die europäische Automobilindustrie </w:t>
      </w:r>
      <w:proofErr w:type="gramStart"/>
      <w:r w:rsidR="00A902EA">
        <w:t>eine bestimmte Mengen</w:t>
      </w:r>
      <w:proofErr w:type="gramEnd"/>
      <w:r w:rsidR="00A902EA">
        <w:t xml:space="preserve"> grünen Stahl in ihrer Produktion nutzen müssen, </w:t>
      </w:r>
      <w:r w:rsidR="00A26E63">
        <w:t>die Automobilindustrie ist dagegen.</w:t>
      </w:r>
      <w:r w:rsidR="00A26E63">
        <w:rPr>
          <w:rStyle w:val="Funotenzeichen"/>
        </w:rPr>
        <w:footnoteReference w:id="2356"/>
      </w:r>
      <w:r w:rsidR="00A902EA">
        <w:t xml:space="preserve"> </w:t>
      </w:r>
    </w:p>
    <w:p w14:paraId="37E5E55F" w14:textId="77777777" w:rsidR="00097374" w:rsidRDefault="00097374" w:rsidP="004B2396"/>
    <w:p w14:paraId="17E0FE1D" w14:textId="460FE0D5" w:rsidR="00407B66" w:rsidRDefault="00407B66" w:rsidP="004B2396">
      <w:r>
        <w:t xml:space="preserve">Wenn die Chemieindustrie eine große Anlage </w:t>
      </w:r>
      <w:r w:rsidR="005E2FEA">
        <w:t xml:space="preserve">in grüne Technologie </w:t>
      </w:r>
      <w:r>
        <w:t>umbauen würde, wäre e</w:t>
      </w:r>
      <w:r w:rsidR="008432C2">
        <w:t>benfalls</w:t>
      </w:r>
      <w:r>
        <w:t xml:space="preserve"> gut, wenn dieses grüne Ethylen und Propylen Abnehmer findet, man könnte eine </w:t>
      </w:r>
      <w:r w:rsidRPr="00135D52">
        <w:rPr>
          <w:u w:val="single"/>
        </w:rPr>
        <w:t>Quote</w:t>
      </w:r>
      <w:r>
        <w:t xml:space="preserve"> oder sogar eine </w:t>
      </w:r>
      <w:r w:rsidRPr="00135D52">
        <w:rPr>
          <w:u w:val="single"/>
        </w:rPr>
        <w:t>Abnahmeverpflichtung</w:t>
      </w:r>
      <w:r>
        <w:t xml:space="preserve"> einführen, damit die Industrie keine Angst haben muss, dass die Quote schon voll ist, etwa für bestimmte Industriebereiche: Automobilindustrie, Plastikröhren, große Plastikplanen für die Landwirtschaft … </w:t>
      </w:r>
    </w:p>
    <w:p w14:paraId="56D4DC02" w14:textId="77777777" w:rsidR="00407B66" w:rsidRDefault="00407B66" w:rsidP="004B2396"/>
    <w:p w14:paraId="0FEE17A8" w14:textId="2FC18FD1" w:rsidR="00135D52" w:rsidRDefault="00135D52" w:rsidP="004B2396">
      <w:r>
        <w:t xml:space="preserve">Würde man dies europaweit machen, wären für die abnehmenden Unternehmen keine Wettbewerbsnachteile vorhanden, in Einzelfall kann aber sicher immer Probleme geben, auf die kann man aber reagieren. </w:t>
      </w:r>
      <w:r w:rsidR="00143C9C">
        <w:t>Quoten sind eine gute Idee, um das schwer zu lösende Problem der höheren Kosten durch erneuerbare Energien anzugehen.</w:t>
      </w:r>
      <w:r w:rsidR="005E2FEA">
        <w:t xml:space="preserve"> Den </w:t>
      </w:r>
      <w:proofErr w:type="spellStart"/>
      <w:r w:rsidR="005E2FEA">
        <w:t>Resilienzbonus</w:t>
      </w:r>
      <w:proofErr w:type="spellEnd"/>
      <w:r w:rsidR="005E2FEA">
        <w:t xml:space="preserve"> könnte man jedenfalls mal ausprobieren, aber ob er genug Nachfrage nach europäischen Solarprodukten erzeugen kann, dass darauf basierend der Aufbau einer europäische Solarindustrie gelingen kann, erscheint mir fraglich, dann müssten den </w:t>
      </w:r>
      <w:proofErr w:type="spellStart"/>
      <w:r w:rsidR="005E2FEA">
        <w:t>Resilienzbonus</w:t>
      </w:r>
      <w:proofErr w:type="spellEnd"/>
      <w:r w:rsidR="005E2FEA">
        <w:t xml:space="preserve"> auch andere europäische Länder übernehmen und er müsste sukzessive ausgeweitet werden. </w:t>
      </w:r>
    </w:p>
    <w:p w14:paraId="0B9B835F" w14:textId="77777777" w:rsidR="00135D52" w:rsidRDefault="00135D52" w:rsidP="004B2396"/>
    <w:p w14:paraId="72511328" w14:textId="03D55FBE" w:rsidR="00097374" w:rsidRDefault="00407B66" w:rsidP="004B2396">
      <w:r>
        <w:t xml:space="preserve">Daran wagt sich die </w:t>
      </w:r>
      <w:proofErr w:type="gramStart"/>
      <w:r>
        <w:t>EU Kommission</w:t>
      </w:r>
      <w:proofErr w:type="gramEnd"/>
      <w:r>
        <w:t xml:space="preserve"> derzeit nicht heran, es geht viel um </w:t>
      </w:r>
      <w:r w:rsidRPr="00143C9C">
        <w:rPr>
          <w:u w:val="single"/>
        </w:rPr>
        <w:t>öffentliche Auftragsvergabe</w:t>
      </w:r>
      <w:r>
        <w:t xml:space="preserve"> und um </w:t>
      </w:r>
      <w:r w:rsidRPr="00143C9C">
        <w:rPr>
          <w:u w:val="single"/>
        </w:rPr>
        <w:t>Standards</w:t>
      </w:r>
      <w:r>
        <w:t xml:space="preserve">. </w:t>
      </w:r>
      <w:r w:rsidR="00097374">
        <w:t>Im aktuellen EU Clean Deal</w:t>
      </w:r>
      <w:r w:rsidR="00480DD3">
        <w:t xml:space="preserve"> </w:t>
      </w:r>
      <w:r w:rsidR="00097374">
        <w:t>wird für die</w:t>
      </w:r>
      <w:r w:rsidR="00480DD3">
        <w:t xml:space="preserve"> öffentliche Auftragsvergabe </w:t>
      </w:r>
      <w:r w:rsidR="00097374">
        <w:t xml:space="preserve">eine </w:t>
      </w:r>
      <w:r w:rsidR="00097374" w:rsidRPr="00143C9C">
        <w:rPr>
          <w:u w:val="single"/>
        </w:rPr>
        <w:t>Präferenz für europäische Produkte</w:t>
      </w:r>
      <w:r w:rsidR="00097374">
        <w:t xml:space="preserve"> vorgeschlagen, aber nur für energieintensive Industriebereiche, spricht: </w:t>
      </w:r>
      <w:r w:rsidR="0046154A">
        <w:t xml:space="preserve">z.B. </w:t>
      </w:r>
      <w:r w:rsidR="00097374">
        <w:t>die Stahlindustrie, dies ist aber noch nicht umgesetzt, siehe den Schluss des EU-Teils</w:t>
      </w:r>
      <w:r w:rsidR="00480DD3">
        <w:t xml:space="preserve">. </w:t>
      </w:r>
      <w:r w:rsidR="0046154A">
        <w:t xml:space="preserve">Und es sind </w:t>
      </w:r>
      <w:r w:rsidR="00097374">
        <w:t xml:space="preserve">auch </w:t>
      </w:r>
      <w:proofErr w:type="spellStart"/>
      <w:r w:rsidR="00097374" w:rsidRPr="00143C9C">
        <w:rPr>
          <w:u w:val="single"/>
        </w:rPr>
        <w:t>Local</w:t>
      </w:r>
      <w:proofErr w:type="spellEnd"/>
      <w:r w:rsidR="00097374" w:rsidRPr="00143C9C">
        <w:rPr>
          <w:u w:val="single"/>
        </w:rPr>
        <w:t>-Content-Maßnahmen</w:t>
      </w:r>
      <w:r w:rsidR="00097374">
        <w:t xml:space="preserve"> </w:t>
      </w:r>
      <w:r w:rsidR="00143C9C">
        <w:t xml:space="preserve">bzw. Mindestinland-Vorgaben </w:t>
      </w:r>
      <w:r w:rsidR="00097374">
        <w:t xml:space="preserve">auf dem Tisch. </w:t>
      </w:r>
      <w:r>
        <w:t>Dies kann helfen, aber nicht eine große Industrie aufbauen.</w:t>
      </w:r>
    </w:p>
    <w:p w14:paraId="5C4BC9EA" w14:textId="77777777" w:rsidR="00C37AD4" w:rsidRDefault="00C37AD4" w:rsidP="004B2396"/>
    <w:p w14:paraId="1D4AE06B" w14:textId="3B32B104" w:rsidR="000F6EA7" w:rsidRDefault="00480DD3" w:rsidP="004B2396">
      <w:r>
        <w:t xml:space="preserve">Im frühen, aber </w:t>
      </w:r>
      <w:r w:rsidR="000F6EA7">
        <w:t xml:space="preserve">sehr guten </w:t>
      </w:r>
      <w:r w:rsidR="00DB2AD1">
        <w:t xml:space="preserve">Dena </w:t>
      </w:r>
      <w:proofErr w:type="spellStart"/>
      <w:r w:rsidR="000F6EA7">
        <w:t>StiPE</w:t>
      </w:r>
      <w:proofErr w:type="spellEnd"/>
      <w:r w:rsidR="000F6EA7">
        <w:t xml:space="preserve"> Bericht</w:t>
      </w:r>
      <w:r w:rsidR="00DB2AD1">
        <w:t xml:space="preserve"> 2022</w:t>
      </w:r>
      <w:r w:rsidR="00DB2AD1">
        <w:rPr>
          <w:rStyle w:val="Funotenzeichen"/>
        </w:rPr>
        <w:footnoteReference w:id="2357"/>
      </w:r>
      <w:r w:rsidR="00DB2AD1">
        <w:t xml:space="preserve"> </w:t>
      </w:r>
      <w:r>
        <w:t>wird</w:t>
      </w:r>
      <w:r w:rsidR="00DB2AD1">
        <w:t xml:space="preserve"> darauf hingewiesen, </w:t>
      </w:r>
      <w:r w:rsidR="00DB2AD1" w:rsidRPr="00143C9C">
        <w:rPr>
          <w:u w:val="single"/>
        </w:rPr>
        <w:t xml:space="preserve">dass auch das zur Verfügung stellen von Flächen durch die Bundesländer für den (Solar-) und Windenergieaufbau entscheidend </w:t>
      </w:r>
      <w:r w:rsidR="00097374" w:rsidRPr="00143C9C">
        <w:rPr>
          <w:u w:val="single"/>
        </w:rPr>
        <w:t>dafür</w:t>
      </w:r>
      <w:r w:rsidR="00407B66" w:rsidRPr="00143C9C">
        <w:rPr>
          <w:u w:val="single"/>
        </w:rPr>
        <w:t xml:space="preserve"> ist</w:t>
      </w:r>
      <w:r w:rsidR="00DB2AD1" w:rsidRPr="00143C9C">
        <w:rPr>
          <w:u w:val="single"/>
        </w:rPr>
        <w:t>, dass der Aufbau beschleunigt werden kann</w:t>
      </w:r>
      <w:r w:rsidR="00143C9C" w:rsidRPr="00143C9C">
        <w:rPr>
          <w:u w:val="single"/>
        </w:rPr>
        <w:t xml:space="preserve"> und auch dies gehört zur Industriepolitik</w:t>
      </w:r>
      <w:r w:rsidR="00097374">
        <w:t>. Es</w:t>
      </w:r>
      <w:r w:rsidR="00DB2AD1">
        <w:t xml:space="preserve"> wird kritisiert, dass im Windflächenbedarfsgesetz zwei Stufen enthalten sind, dass 2027 und dann erst 2033 weitere Flächen bereitgestellt werde</w:t>
      </w:r>
      <w:r>
        <w:t>n</w:t>
      </w:r>
      <w:r w:rsidR="00DB2AD1">
        <w:t xml:space="preserve"> müssen</w:t>
      </w:r>
      <w:r>
        <w:t>, Baden-Württemberg und Sachsen haben angekündigt, alle Flächen schon 2027 festzulegen</w:t>
      </w:r>
      <w:r w:rsidR="00FD7D2F">
        <w:t xml:space="preserve"> (Stand 2022)</w:t>
      </w:r>
      <w:r w:rsidR="00DB2AD1">
        <w:t>.</w:t>
      </w:r>
      <w:r w:rsidR="00DB2AD1">
        <w:rPr>
          <w:rStyle w:val="Funotenzeichen"/>
        </w:rPr>
        <w:footnoteReference w:id="2358"/>
      </w:r>
      <w:r w:rsidR="00DB2AD1">
        <w:t xml:space="preserve"> </w:t>
      </w:r>
      <w:r>
        <w:t>Genehmigungen, auch Baugenehmigungen etwa für Gebäude neben Anlagen schneller erteilt werden.</w:t>
      </w:r>
      <w:r>
        <w:rPr>
          <w:rStyle w:val="Funotenzeichen"/>
        </w:rPr>
        <w:footnoteReference w:id="2359"/>
      </w:r>
      <w:r w:rsidR="002105A7">
        <w:t xml:space="preserve"> Hingewiesen wird darauf, dass die Anreize an höhere Kosten angepasst werden müssen, so sind bei Windenergieanlagen die Anlagenkosten um ca. 30 % gestiegen. Dazu müsste bei Auktionen der Angebotshöchstwert angehoben werden (mit Auktionen kenne ich mich aber nicht aus) und das Zuschlagsgebot mit einer Preisindexierung versehen werden (das verstehe ich), damit man nicht ein Jahr später von höheren Preisen überrascht wird und dann an das Zuschlagsgebot gebunden ist.</w:t>
      </w:r>
      <w:r w:rsidR="002105A7">
        <w:rPr>
          <w:rStyle w:val="Funotenzeichen"/>
        </w:rPr>
        <w:footnoteReference w:id="2360"/>
      </w:r>
      <w:r w:rsidR="002105A7">
        <w:t xml:space="preserve"> Vorgeschlagen wird ein </w:t>
      </w:r>
      <w:r w:rsidR="0086292E">
        <w:t>Fond mit Mitteln für Solarprojekte, damit die stromintensive Industrie damit Solarprojekte realisieren kann, und dann damit über Power Purchase Agreements sich mit Strom versorgen kann.</w:t>
      </w:r>
      <w:r w:rsidR="0086292E">
        <w:rPr>
          <w:rStyle w:val="Funotenzeichen"/>
        </w:rPr>
        <w:footnoteReference w:id="2361"/>
      </w:r>
    </w:p>
    <w:p w14:paraId="1F79D58F" w14:textId="77777777" w:rsidR="000F6EA7" w:rsidRDefault="000F6EA7" w:rsidP="004B2396"/>
    <w:p w14:paraId="7B8D3A1C" w14:textId="28FA287F" w:rsidR="00C37AD4" w:rsidRDefault="00B17644" w:rsidP="004B2396">
      <w:r>
        <w:t xml:space="preserve">Letztlich kommt man </w:t>
      </w:r>
      <w:r w:rsidR="00661BE9">
        <w:t xml:space="preserve">aber </w:t>
      </w:r>
      <w:r>
        <w:t>nur mit</w:t>
      </w:r>
      <w:r w:rsidR="009568A9">
        <w:t xml:space="preserve"> </w:t>
      </w:r>
      <w:r w:rsidR="009568A9" w:rsidRPr="00143C9C">
        <w:rPr>
          <w:u w:val="single"/>
        </w:rPr>
        <w:t>Systemen gesicherter Leistung</w:t>
      </w:r>
      <w:r>
        <w:t xml:space="preserve"> weiter</w:t>
      </w:r>
      <w:r w:rsidR="002B7140">
        <w:t xml:space="preserve"> und dies</w:t>
      </w:r>
      <w:r w:rsidR="00D53F02">
        <w:t>es System gesicherter Leistung</w:t>
      </w:r>
      <w:r w:rsidR="002B7140">
        <w:t xml:space="preserve"> besteht in Deutschland in Form des gesamten deutschen Stromnetzes, geplant von der Bundesnetzagentur</w:t>
      </w:r>
      <w:r w:rsidR="002474AC">
        <w:t>.</w:t>
      </w:r>
      <w:r w:rsidR="002B7140">
        <w:t xml:space="preserve"> Letztlich müssten alle Komponenten des Systems gesicherter Leistung</w:t>
      </w:r>
      <w:r w:rsidR="00480DD3">
        <w:t xml:space="preserve"> vorhanden sein und ggf. noch aufgebaut werden und dafür eine Nachfrage geschaffen werden:</w:t>
      </w:r>
      <w:r w:rsidR="00146752">
        <w:t xml:space="preserve"> also Solar- und Windparks, Großbatterien, Elektrolyseure, Wasserstoffspeicher, Wasserstoffgaskraftwerke, Netzausbau, Pipelineausbau </w:t>
      </w:r>
      <w:r w:rsidR="002B7140">
        <w:t>und die neuen Grundstoffe Wasserstoff, Ammoniak</w:t>
      </w:r>
      <w:r w:rsidR="00480DD3">
        <w:t xml:space="preserve"> und</w:t>
      </w:r>
      <w:r w:rsidR="002B7140">
        <w:t xml:space="preserve"> Methanol</w:t>
      </w:r>
      <w:r w:rsidR="00480DD3">
        <w:t>.</w:t>
      </w:r>
    </w:p>
    <w:p w14:paraId="0AA8BAF9" w14:textId="77777777" w:rsidR="00C37AD4" w:rsidRDefault="00C37AD4" w:rsidP="004B2396"/>
    <w:p w14:paraId="3B38A4CF" w14:textId="40D680F7" w:rsidR="00C37AD4" w:rsidRDefault="00146752" w:rsidP="004B2396">
      <w:r w:rsidRPr="00661BE9">
        <w:rPr>
          <w:u w:val="single"/>
        </w:rPr>
        <w:t>Besonders</w:t>
      </w:r>
      <w:r w:rsidR="00C37AD4" w:rsidRPr="00661BE9">
        <w:rPr>
          <w:u w:val="single"/>
        </w:rPr>
        <w:t xml:space="preserve"> schwer </w:t>
      </w:r>
      <w:r w:rsidRPr="00661BE9">
        <w:rPr>
          <w:u w:val="single"/>
        </w:rPr>
        <w:t xml:space="preserve">ist es </w:t>
      </w:r>
      <w:r w:rsidR="00FD7D2F">
        <w:rPr>
          <w:u w:val="single"/>
        </w:rPr>
        <w:t xml:space="preserve">also </w:t>
      </w:r>
      <w:r w:rsidR="00C37AD4" w:rsidRPr="00661BE9">
        <w:rPr>
          <w:u w:val="single"/>
        </w:rPr>
        <w:t>diese Nachfrage in der ‚Übergangszeit‘ bis zu einem merklicheren Greifen des Emissionshandelssystem ETS aufrechtzuerhalten</w:t>
      </w:r>
      <w:r w:rsidR="00C37AD4">
        <w:t xml:space="preserve">. </w:t>
      </w:r>
    </w:p>
    <w:p w14:paraId="27749186" w14:textId="77777777" w:rsidR="00C37AD4" w:rsidRDefault="00C37AD4" w:rsidP="004B2396"/>
    <w:p w14:paraId="0DB67859" w14:textId="3A2EC992" w:rsidR="00F41674" w:rsidRDefault="00223EC9" w:rsidP="004B2396">
      <w:r w:rsidRPr="00143C9C">
        <w:rPr>
          <w:u w:val="single"/>
        </w:rPr>
        <w:t>Als großer Hammer, der Nachfrage erzeugt, wird das ETS angeführt</w:t>
      </w:r>
      <w:r w:rsidR="005033F3" w:rsidRPr="00143C9C">
        <w:rPr>
          <w:u w:val="single"/>
        </w:rPr>
        <w:t>, „das zentrale Instrument zur Dekarbonisierung der Industrie“</w:t>
      </w:r>
      <w:r>
        <w:t>.</w:t>
      </w:r>
      <w:r w:rsidR="005033F3">
        <w:rPr>
          <w:rStyle w:val="Funotenzeichen"/>
        </w:rPr>
        <w:footnoteReference w:id="2362"/>
      </w:r>
      <w:r>
        <w:t xml:space="preserve"> </w:t>
      </w:r>
      <w:r w:rsidR="00143C9C">
        <w:t>Vielleicht drängt sich dies nicht direkt auf, weil die Angst überwiegt, dass das ETS zur Abwanderung von Industrie führt (‚</w:t>
      </w:r>
      <w:proofErr w:type="spellStart"/>
      <w:r w:rsidR="00143C9C">
        <w:t>carbon</w:t>
      </w:r>
      <w:proofErr w:type="spellEnd"/>
      <w:r w:rsidR="00143C9C">
        <w:t xml:space="preserve"> </w:t>
      </w:r>
      <w:proofErr w:type="spellStart"/>
      <w:r w:rsidR="00143C9C">
        <w:t>leakage</w:t>
      </w:r>
      <w:proofErr w:type="spellEnd"/>
      <w:r w:rsidR="00143C9C">
        <w:t xml:space="preserve">‘), deshalb kurz hierzu: </w:t>
      </w:r>
      <w:r w:rsidR="00FD7D2F">
        <w:t>W</w:t>
      </w:r>
      <w:r w:rsidR="00407B66">
        <w:t>elche Nachfrage wird erzeugt</w:t>
      </w:r>
      <w:r w:rsidR="00FD7D2F">
        <w:t>, wenn das ETS, vielleicht 2030 an zu greifen beginnt?</w:t>
      </w:r>
    </w:p>
    <w:p w14:paraId="3AC3FF59" w14:textId="77777777" w:rsidR="00FD7D2F" w:rsidRDefault="00FD7D2F" w:rsidP="004B2396"/>
    <w:p w14:paraId="0DA47425" w14:textId="45312097" w:rsidR="00AA7A8A" w:rsidRDefault="00AA7A8A" w:rsidP="004B2396">
      <w:r>
        <w:t>Zuerst einmal zu</w:t>
      </w:r>
      <w:r w:rsidR="001F2391">
        <w:t xml:space="preserve"> einem</w:t>
      </w:r>
      <w:r>
        <w:t xml:space="preserve"> Bereich, in </w:t>
      </w:r>
      <w:r w:rsidR="001F2391">
        <w:t>dem</w:t>
      </w:r>
      <w:r>
        <w:t xml:space="preserve"> jetzt schon </w:t>
      </w:r>
      <w:r w:rsidR="001F2391">
        <w:t xml:space="preserve">eine hohe </w:t>
      </w:r>
      <w:r>
        <w:t xml:space="preserve">Nachfrage besteht, der Bereich Transformatoren, </w:t>
      </w:r>
      <w:r w:rsidR="001F2391">
        <w:t>siehe diesen FAZ-Artikel</w:t>
      </w:r>
      <w:r w:rsidR="001F2391">
        <w:rPr>
          <w:rStyle w:val="Funotenzeichen"/>
        </w:rPr>
        <w:footnoteReference w:id="2363"/>
      </w:r>
      <w:r w:rsidR="001F2391">
        <w:t xml:space="preserve">, </w:t>
      </w:r>
      <w:r>
        <w:t xml:space="preserve">hier sind </w:t>
      </w:r>
      <w:r w:rsidR="001F2391">
        <w:t xml:space="preserve">u.a. </w:t>
      </w:r>
      <w:r>
        <w:t xml:space="preserve">Hitachi Energy und Siemens Energy </w:t>
      </w:r>
      <w:r w:rsidR="00921A10">
        <w:t xml:space="preserve">(die auch als Siemens Gamesa die Windräder bauen!) </w:t>
      </w:r>
      <w:r>
        <w:t>aktiv, hier werden Werke neu gebaut und ausgebaut, bei Siemens sind in Deutschland 300 neue Arbeitsplätze entstanden, Hitachi Energie investiert weltweit 1,5 Mrd.</w:t>
      </w:r>
      <w:r w:rsidR="001F2391">
        <w:t xml:space="preserve"> Hitachi Energie hatte 2022 das Stromnetzgeschäft des Schweizer Konzerns ABB übernommen und ist deshalb auch in Europa aktiv, es baut sein Werk in Bad Honnef aus. E</w:t>
      </w:r>
      <w:r>
        <w:t>s gibt Lieferfristen von vier bis fünf Jahren, teils bis zu sieben Jahren.</w:t>
      </w:r>
      <w:r>
        <w:rPr>
          <w:rStyle w:val="Funotenzeichen"/>
        </w:rPr>
        <w:footnoteReference w:id="2364"/>
      </w:r>
      <w:r w:rsidR="001C7F06">
        <w:t xml:space="preserve"> Auch die Hersteller von Kabeln profitieren, </w:t>
      </w:r>
      <w:r w:rsidR="00E06856">
        <w:t xml:space="preserve">führend ist die weltweit agierende italienische Firma </w:t>
      </w:r>
      <w:proofErr w:type="spellStart"/>
      <w:r w:rsidR="001C7F06">
        <w:t>Prysmian</w:t>
      </w:r>
      <w:proofErr w:type="spellEnd"/>
      <w:r w:rsidR="00BC75A0">
        <w:rPr>
          <w:rStyle w:val="Funotenzeichen"/>
        </w:rPr>
        <w:footnoteReference w:id="2365"/>
      </w:r>
      <w:r w:rsidR="00E06856">
        <w:t>, mit 104 Fabriken in 50 Ländern und 28.000 Angestellten.</w:t>
      </w:r>
      <w:r w:rsidR="00E06856">
        <w:rPr>
          <w:rStyle w:val="Funotenzeichen"/>
        </w:rPr>
        <w:footnoteReference w:id="2366"/>
      </w:r>
      <w:r w:rsidR="00E06856">
        <w:t xml:space="preserve"> Die Hochspannungs-Kabelhersteller hatten vor 2014 ein Kartell etabliert, in Form einer Aufteilung von Märkten und Kunden, für Erdkabel und Unterwasserkabel, dies haben Wettbewerbsbehörden aufgedeckt.</w:t>
      </w:r>
      <w:r w:rsidR="00E06856">
        <w:rPr>
          <w:rStyle w:val="Funotenzeichen"/>
        </w:rPr>
        <w:footnoteReference w:id="2367"/>
      </w:r>
    </w:p>
    <w:p w14:paraId="526E5B8B" w14:textId="77777777" w:rsidR="00AA7A8A" w:rsidRDefault="00AA7A8A" w:rsidP="004B2396"/>
    <w:p w14:paraId="1CF056A4" w14:textId="64DE09D1" w:rsidR="00C37AD4" w:rsidRDefault="00C37AD4" w:rsidP="004B2396">
      <w:r>
        <w:t xml:space="preserve">Wenn das ETS </w:t>
      </w:r>
      <w:r w:rsidR="00FD7D2F">
        <w:t xml:space="preserve">und das ETS 2 </w:t>
      </w:r>
      <w:r w:rsidR="004118BD">
        <w:t>Emissionszertifikate für CO2</w:t>
      </w:r>
      <w:r>
        <w:t xml:space="preserve"> teurer macht, dann steigt </w:t>
      </w:r>
      <w:r w:rsidR="00661BE9">
        <w:t xml:space="preserve">‚direkt‘ </w:t>
      </w:r>
      <w:r>
        <w:t>die Nachfrage nach E-Autos</w:t>
      </w:r>
      <w:r w:rsidR="007D5989">
        <w:t>, E-Lkws, Wärmepumpen, Geothermie</w:t>
      </w:r>
      <w:r w:rsidR="001C7F06">
        <w:t xml:space="preserve"> </w:t>
      </w:r>
      <w:r w:rsidR="007D5989">
        <w:t>und auch</w:t>
      </w:r>
      <w:r w:rsidR="00661BE9">
        <w:t xml:space="preserve"> für</w:t>
      </w:r>
      <w:r w:rsidR="007D5989">
        <w:t xml:space="preserve"> E-Fuels, für Fahrzeuge, die nicht so schnell umgerüstet werden können</w:t>
      </w:r>
      <w:r w:rsidR="00661BE9">
        <w:t>, für landwirtschaftliche Fahrzeuge</w:t>
      </w:r>
      <w:r w:rsidR="007D5989">
        <w:t xml:space="preserve"> </w:t>
      </w:r>
      <w:r w:rsidR="00661BE9">
        <w:t>und</w:t>
      </w:r>
      <w:r w:rsidR="007D5989">
        <w:t xml:space="preserve"> für Brennstoffzellen-Fahrzeuge, die mit Wasserstoff fahren. </w:t>
      </w:r>
      <w:r>
        <w:t xml:space="preserve">  </w:t>
      </w:r>
    </w:p>
    <w:p w14:paraId="51AE8342" w14:textId="77777777" w:rsidR="00C37AD4" w:rsidRDefault="00C37AD4" w:rsidP="004B2396"/>
    <w:p w14:paraId="119F3342" w14:textId="0572A91C" w:rsidR="00C37AD4" w:rsidRDefault="00C37AD4" w:rsidP="004B2396">
      <w:r>
        <w:t xml:space="preserve">Weil das deutsche Energienetz von der Bundesnetzagentur verwaltet wird, </w:t>
      </w:r>
      <w:r w:rsidR="00FD7D2F">
        <w:t>führt eine</w:t>
      </w:r>
      <w:r>
        <w:t xml:space="preserve"> Verteuerung </w:t>
      </w:r>
      <w:r w:rsidR="00661BE9">
        <w:t xml:space="preserve">der </w:t>
      </w:r>
      <w:proofErr w:type="gramStart"/>
      <w:r w:rsidR="007D5989">
        <w:t>ETS Emissionszertifikate</w:t>
      </w:r>
      <w:proofErr w:type="gramEnd"/>
      <w:r>
        <w:t xml:space="preserve"> </w:t>
      </w:r>
      <w:r w:rsidR="00661BE9">
        <w:t>‚</w:t>
      </w:r>
      <w:r w:rsidR="007D5989">
        <w:t xml:space="preserve">nicht </w:t>
      </w:r>
      <w:r>
        <w:t>direkt</w:t>
      </w:r>
      <w:r w:rsidR="00661BE9">
        <w:t>‘</w:t>
      </w:r>
      <w:r>
        <w:t xml:space="preserve"> zu einem erhöhten Bedarf für Solarparks, Windparks, Großbatterien</w:t>
      </w:r>
      <w:r w:rsidR="007D5989">
        <w:t xml:space="preserve"> und w</w:t>
      </w:r>
      <w:r>
        <w:t xml:space="preserve">asserstofffähigen Gaskraftwerken führen, </w:t>
      </w:r>
      <w:r w:rsidR="00146752" w:rsidRPr="00FD7D2F">
        <w:rPr>
          <w:u w:val="single"/>
        </w:rPr>
        <w:t xml:space="preserve">der </w:t>
      </w:r>
      <w:r w:rsidR="00143C9C">
        <w:rPr>
          <w:u w:val="single"/>
        </w:rPr>
        <w:t xml:space="preserve">Bedarf für bzw. der </w:t>
      </w:r>
      <w:r w:rsidR="00146752" w:rsidRPr="00FD7D2F">
        <w:rPr>
          <w:u w:val="single"/>
        </w:rPr>
        <w:t>Ausbau erneuerbarer Energien erfolgt im Takt und im Zeitplan der Bundesnetzagentur</w:t>
      </w:r>
      <w:r w:rsidR="00146752">
        <w:t xml:space="preserve">. Er wird von den </w:t>
      </w:r>
      <w:r>
        <w:t xml:space="preserve">Anreizinstrumenten </w:t>
      </w:r>
      <w:r w:rsidR="00146752">
        <w:t xml:space="preserve">des Bundesnetzagentur </w:t>
      </w:r>
      <w:r>
        <w:t>beschleunigt</w:t>
      </w:r>
      <w:r w:rsidR="00146752">
        <w:t>, diese werden staatlich subventioniert.</w:t>
      </w:r>
      <w:r>
        <w:t xml:space="preserve"> </w:t>
      </w:r>
      <w:r w:rsidR="00146752">
        <w:t>Der Netzausbau wird über den Strompreis bezahlt. Der</w:t>
      </w:r>
      <w:r>
        <w:t xml:space="preserve"> Bedarf z.B. für Großbatterien </w:t>
      </w:r>
      <w:r w:rsidR="00146752">
        <w:t>ergibt sich</w:t>
      </w:r>
      <w:r>
        <w:t xml:space="preserve"> </w:t>
      </w:r>
      <w:r w:rsidR="00146752">
        <w:t xml:space="preserve">aus </w:t>
      </w:r>
      <w:r>
        <w:t>de</w:t>
      </w:r>
      <w:r w:rsidR="00146752">
        <w:t>r</w:t>
      </w:r>
      <w:r>
        <w:t xml:space="preserve"> Strommarktsituation.</w:t>
      </w:r>
      <w:r w:rsidR="007D5989">
        <w:t xml:space="preserve"> Was direkt ansteigt, ist der Strombedarf, z.B. beim Aufladen der E-Autos und E-Lkws, für Wärmepumpen und für die ersten Elektrolyseure, die am Netz hängen: 100 MW = 0,8 TWh, 10 davon sind schon 8 TWh, 100 80 TWh, damit haben wir schon 1.000.000 Tonnen Wasserstoff</w:t>
      </w:r>
      <w:r w:rsidR="00661BE9">
        <w:t>, aber auch 80 TWh mehr Strombedarf!!!!</w:t>
      </w:r>
      <w:r w:rsidR="007D5989">
        <w:t xml:space="preserve"> </w:t>
      </w:r>
    </w:p>
    <w:p w14:paraId="3B73D682" w14:textId="77777777" w:rsidR="00C37AD4" w:rsidRDefault="00C37AD4" w:rsidP="004B2396"/>
    <w:p w14:paraId="723D1C5A" w14:textId="2D12160F" w:rsidR="00FD7D2F" w:rsidRDefault="009B25B3" w:rsidP="004B2396">
      <w:r>
        <w:t xml:space="preserve">Kurz: Es stellt sich die Frage nach eine Industriepolitik in der ‚Übergangszeit‘, bis erstens das </w:t>
      </w:r>
      <w:proofErr w:type="gramStart"/>
      <w:r>
        <w:t>ETS Nachfrage</w:t>
      </w:r>
      <w:proofErr w:type="gramEnd"/>
      <w:r>
        <w:t xml:space="preserve"> bei einigen Industriezweigen ‚direkt‘ erzeugt und es stellt sich zweitens die Frage nach </w:t>
      </w:r>
      <w:r w:rsidR="006F7EAA">
        <w:t>Beschleunigung</w:t>
      </w:r>
      <w:r>
        <w:t xml:space="preserve"> </w:t>
      </w:r>
      <w:r w:rsidR="006F7EAA">
        <w:t xml:space="preserve">des Ausbaus </w:t>
      </w:r>
      <w:r w:rsidR="00661BE9">
        <w:t xml:space="preserve">durch die Bundesnetzagentur </w:t>
      </w:r>
      <w:r w:rsidR="007D5989">
        <w:t>von</w:t>
      </w:r>
      <w:r>
        <w:t xml:space="preserve"> erneuerbare</w:t>
      </w:r>
      <w:r w:rsidR="007D5989">
        <w:t>n</w:t>
      </w:r>
      <w:r>
        <w:t xml:space="preserve"> Energien und Elektrolyseure</w:t>
      </w:r>
      <w:r w:rsidR="00407B66">
        <w:t>n</w:t>
      </w:r>
      <w:r w:rsidR="007D5989">
        <w:t xml:space="preserve"> für die Industriebereich</w:t>
      </w:r>
      <w:r w:rsidR="00223EC9">
        <w:t>e</w:t>
      </w:r>
      <w:r w:rsidR="007D5989">
        <w:t xml:space="preserve"> mit hohem Bedarf, Stahl und Chemie</w:t>
      </w:r>
      <w:r w:rsidR="006F7EAA">
        <w:t xml:space="preserve">. </w:t>
      </w:r>
    </w:p>
    <w:p w14:paraId="162AEDE3" w14:textId="77777777" w:rsidR="00FD7D2F" w:rsidRDefault="00FD7D2F" w:rsidP="004B2396"/>
    <w:p w14:paraId="404CC786" w14:textId="07058318" w:rsidR="00BE7D48" w:rsidRDefault="006F7EAA" w:rsidP="004B2396">
      <w:r>
        <w:t>D</w:t>
      </w:r>
      <w:r w:rsidR="007D5989">
        <w:t>ie</w:t>
      </w:r>
      <w:r>
        <w:t xml:space="preserve"> Ausbaugeschwindigkeit </w:t>
      </w:r>
      <w:r w:rsidR="00661BE9">
        <w:t xml:space="preserve">wird eigentlich </w:t>
      </w:r>
      <w:r w:rsidR="00661BE9" w:rsidRPr="00E72818">
        <w:rPr>
          <w:b/>
          <w:bCs/>
        </w:rPr>
        <w:t>‚ganz‘</w:t>
      </w:r>
      <w:r w:rsidR="00661BE9">
        <w:t xml:space="preserve"> von der </w:t>
      </w:r>
      <w:r w:rsidR="009B25B3">
        <w:t>Bundesnetzagentur,</w:t>
      </w:r>
      <w:r>
        <w:t xml:space="preserve"> de</w:t>
      </w:r>
      <w:r w:rsidR="007D5989">
        <w:t>n</w:t>
      </w:r>
      <w:r>
        <w:t xml:space="preserve"> bestehenden Anreizinstrumente</w:t>
      </w:r>
      <w:r w:rsidR="007D5989">
        <w:t>, ihrer finanziellen Anreizwirkung</w:t>
      </w:r>
      <w:r>
        <w:t xml:space="preserve">, ihrer Zusammenarbeit </w:t>
      </w:r>
      <w:proofErr w:type="gramStart"/>
      <w:r>
        <w:t>mit den</w:t>
      </w:r>
      <w:r w:rsidR="009B25B3">
        <w:t xml:space="preserve"> Länder</w:t>
      </w:r>
      <w:proofErr w:type="gramEnd"/>
      <w:r w:rsidR="009B25B3">
        <w:t xml:space="preserve"> mit ihren Bauordnungen</w:t>
      </w:r>
      <w:r w:rsidR="005B380E">
        <w:t xml:space="preserve"> und der Bereitschaft und Geschwindigkeit ihrer Flächenfreigaben</w:t>
      </w:r>
      <w:r w:rsidR="009B25B3">
        <w:t xml:space="preserve"> </w:t>
      </w:r>
      <w:r w:rsidR="00661BE9">
        <w:t>bestimmt</w:t>
      </w:r>
      <w:r w:rsidR="009B25B3">
        <w:t xml:space="preserve">. </w:t>
      </w:r>
      <w:r w:rsidR="00A33CBA">
        <w:t xml:space="preserve">Bisher hält sich die Industrie in Deutschland stark dabei zurück, etwa eigenen Windenergieparks und eigene Elektrolyseure aufzubauen. </w:t>
      </w:r>
      <w:r w:rsidR="00DE2760">
        <w:t>Dies Ausbaugeschwindigkeit ist im EEG-Gesetz festgelegt.</w:t>
      </w:r>
    </w:p>
    <w:p w14:paraId="7FE4D919" w14:textId="77777777" w:rsidR="00BE7D48" w:rsidRDefault="00BE7D48" w:rsidP="00BE7D48"/>
    <w:p w14:paraId="5D93E28E" w14:textId="36346FE2" w:rsidR="00BE7D48" w:rsidRDefault="00BE7D48" w:rsidP="00BE7D48">
      <w:r>
        <w:t xml:space="preserve">Dazu kommt nun, dass die Bundesnetzagentur nun auch die regionalen Schwerpunkte und die dadurch erzielbaren Effizienzverbesserungen und Kostensenkungen planen muss. Nämlich weil sie nun nicht mehr nur noch den Strommarkt, sondern auch die Elektrolyseure plant und deren Anschlüsse an das Stromnetz und die Wasserstoffpipelines. </w:t>
      </w:r>
      <w:r w:rsidR="00A40E85">
        <w:t xml:space="preserve">Dies ist die gesetzlich festgelegte Aufgabe der Bundesnetzagentur. </w:t>
      </w:r>
      <w:r w:rsidRPr="00A33CBA">
        <w:rPr>
          <w:b/>
          <w:bCs/>
        </w:rPr>
        <w:t>Dadurch wird sie zum Motor der Energiewende</w:t>
      </w:r>
      <w:r>
        <w:t xml:space="preserve"> … </w:t>
      </w:r>
      <w:r w:rsidR="00A33CBA" w:rsidRPr="00A33CBA">
        <w:rPr>
          <w:u w:val="single"/>
        </w:rPr>
        <w:t xml:space="preserve">und </w:t>
      </w:r>
      <w:r w:rsidRPr="00A33CBA">
        <w:rPr>
          <w:u w:val="single"/>
        </w:rPr>
        <w:t xml:space="preserve">auch zum Motor für die Kosteneffizienz, vor allem </w:t>
      </w:r>
      <w:proofErr w:type="gramStart"/>
      <w:r w:rsidRPr="00A33CBA">
        <w:rPr>
          <w:u w:val="single"/>
        </w:rPr>
        <w:t>durch regional sinnvollen Planungen</w:t>
      </w:r>
      <w:proofErr w:type="gramEnd"/>
      <w:r w:rsidRPr="00A33CBA">
        <w:rPr>
          <w:u w:val="single"/>
        </w:rPr>
        <w:t xml:space="preserve"> bzw. Zuordnungen von Verbrauchern, Großspeichern, Elektrolyseuren und erneuerbaren Energien, wodurch man massiv Netzausbau sparen kann</w:t>
      </w:r>
      <w:r>
        <w:t xml:space="preserve">. Weiterhin müssen früh grundlegende Entscheidungen getroffen werden, etwa ob an der Nordsee viele Elektrolyseure aufgebaut werden, und dann Wasserstoff durch Pipelines ins Rheinland und nach Ludwigshafen zur Chemieindustrie geschickt wird. </w:t>
      </w:r>
      <w:r w:rsidR="00143C9C">
        <w:t>Wenn das so ist, kann man sich eine gewisse Netzausbauintensität sparen, die nötig wäre, wenn man die Elektrolyseure direkt in Duisburg neben das Stahlwerk stellen will. Wenn dort 20 500 MW Elektrolyseur stehen würden, müsste man eine ganz schön dicke Freileitung legen</w:t>
      </w:r>
      <w:r w:rsidR="00A40E85">
        <w:t>, die 10 GW Leistung weiterleitet</w:t>
      </w:r>
      <w:r w:rsidR="00143C9C">
        <w:t xml:space="preserve">. </w:t>
      </w:r>
      <w:r w:rsidR="00DE2760">
        <w:t>D</w:t>
      </w:r>
      <w:r>
        <w:t xml:space="preserve">iese Entscheidungsprozesse wieder zu politisieren, wäre sicher keine gute Idee, man kann hier nur hoffen, dass die Bundesnetzagentur, die Industrie und </w:t>
      </w:r>
      <w:proofErr w:type="gramStart"/>
      <w:r>
        <w:t>die Ländern</w:t>
      </w:r>
      <w:proofErr w:type="gramEnd"/>
      <w:r>
        <w:t xml:space="preserve"> wirklich effektiv</w:t>
      </w:r>
      <w:r w:rsidR="00DE2760">
        <w:t xml:space="preserve"> und mit Offenheit zusammenarbeiten. </w:t>
      </w:r>
    </w:p>
    <w:p w14:paraId="4EC99A77" w14:textId="77777777" w:rsidR="00BE7D48" w:rsidRDefault="00BE7D48" w:rsidP="00BE7D48"/>
    <w:p w14:paraId="2DB107A4" w14:textId="5A86B688" w:rsidR="00DE2760" w:rsidRDefault="00DE2760" w:rsidP="00DE2760">
      <w:r>
        <w:t xml:space="preserve">Dennoch steht hier die Gesellschaft, die Politik und auch die Industrie nicht ganz außen vor. Die Öffentlichkeit kann die Planungsvorgänge in der Bundesnetzagentur kritisch begleiten, indem sie z.B. die Netzentwicklungspläne und die Ausbauerfolge analysiert und sie kann erkennen, </w:t>
      </w:r>
      <w:r w:rsidRPr="00042C6D">
        <w:rPr>
          <w:b/>
          <w:bCs/>
        </w:rPr>
        <w:t>ob genug ‚Dynamik‘ hinter dieser Planung steht</w:t>
      </w:r>
      <w:r>
        <w:rPr>
          <w:b/>
          <w:bCs/>
        </w:rPr>
        <w:t xml:space="preserve"> und auch erkennen, ob</w:t>
      </w:r>
      <w:r w:rsidRPr="00042C6D">
        <w:rPr>
          <w:b/>
          <w:bCs/>
        </w:rPr>
        <w:t xml:space="preserve"> die Industrie </w:t>
      </w:r>
      <w:r>
        <w:rPr>
          <w:b/>
          <w:bCs/>
        </w:rPr>
        <w:t>die Energiewende aktiv und engagiert verfolgt</w:t>
      </w:r>
      <w:r w:rsidRPr="00042C6D">
        <w:rPr>
          <w:b/>
          <w:bCs/>
        </w:rPr>
        <w:t>!!</w:t>
      </w:r>
    </w:p>
    <w:p w14:paraId="7B7EF963" w14:textId="77777777" w:rsidR="00DE2760" w:rsidRDefault="00DE2760" w:rsidP="00DE2760">
      <w:pPr>
        <w:rPr>
          <w:b/>
          <w:bCs/>
        </w:rPr>
      </w:pPr>
    </w:p>
    <w:p w14:paraId="056A2BE5" w14:textId="0A07EEC6" w:rsidR="000244DA" w:rsidRDefault="00A33CBA" w:rsidP="004B2396">
      <w:r>
        <w:t xml:space="preserve">‚Ganz‘ wird dieser Prozess aber nur scheinbar von der Bundesnetzagentur gesteuert. </w:t>
      </w:r>
      <w:r w:rsidR="00A40E85">
        <w:t>D</w:t>
      </w:r>
      <w:r>
        <w:t xml:space="preserve">ie </w:t>
      </w:r>
      <w:r w:rsidR="00DE2760">
        <w:t>Politik</w:t>
      </w:r>
      <w:r w:rsidR="00A40E85">
        <w:t xml:space="preserve"> könnte dennoch versuchen</w:t>
      </w:r>
      <w:r w:rsidR="00DE2760">
        <w:t xml:space="preserve"> </w:t>
      </w:r>
      <w:r w:rsidR="000244DA">
        <w:t>z.B. auf Länderebene</w:t>
      </w:r>
      <w:r w:rsidR="00DE2760">
        <w:t xml:space="preserve">, zusammen mit </w:t>
      </w:r>
      <w:r>
        <w:t xml:space="preserve">der </w:t>
      </w:r>
      <w:r w:rsidR="00DE2760">
        <w:t xml:space="preserve">Gesellschaft bzw. mit der Öffentlichkeit, mehr Dynamik in den Prozess zu bringen. Für mich steht es außer Frage, dass die große Mehrheit der Bevölkerung </w:t>
      </w:r>
      <w:r w:rsidR="00DE2760">
        <w:rPr>
          <w:u w:val="single"/>
        </w:rPr>
        <w:t>in NRW die Stahlwerke in Duisburg und die</w:t>
      </w:r>
      <w:r w:rsidR="00661BE9" w:rsidRPr="00FD7D2F">
        <w:rPr>
          <w:u w:val="single"/>
        </w:rPr>
        <w:t xml:space="preserve"> </w:t>
      </w:r>
      <w:r w:rsidR="00DE2760">
        <w:rPr>
          <w:u w:val="single"/>
        </w:rPr>
        <w:t>C</w:t>
      </w:r>
      <w:r w:rsidR="00661BE9" w:rsidRPr="00FD7D2F">
        <w:rPr>
          <w:u w:val="single"/>
        </w:rPr>
        <w:t>hemieparks im Rheinland erhalten möchte</w:t>
      </w:r>
      <w:r w:rsidR="00DE2760">
        <w:rPr>
          <w:u w:val="single"/>
        </w:rPr>
        <w:t xml:space="preserve">. </w:t>
      </w:r>
      <w:r w:rsidR="00DE2760" w:rsidRPr="000244DA">
        <w:t xml:space="preserve">Dafür wären </w:t>
      </w:r>
      <w:r w:rsidR="000244DA" w:rsidRPr="000244DA">
        <w:t>den Menschen in NRW bereit</w:t>
      </w:r>
      <w:r w:rsidR="00DE2760" w:rsidRPr="000244DA">
        <w:t xml:space="preserve"> </w:t>
      </w:r>
      <w:r w:rsidR="0057441E" w:rsidRPr="000244DA">
        <w:t xml:space="preserve">‚freiwillig‘ </w:t>
      </w:r>
      <w:r w:rsidR="00661BE9" w:rsidRPr="000244DA">
        <w:t>mehr Ausbau von erneuerbaren Energien zu</w:t>
      </w:r>
      <w:r w:rsidR="00DE2760" w:rsidRPr="000244DA">
        <w:t>zu</w:t>
      </w:r>
      <w:r w:rsidR="00661BE9" w:rsidRPr="000244DA">
        <w:t>lassen</w:t>
      </w:r>
      <w:r w:rsidR="00DE2760" w:rsidRPr="000244DA">
        <w:t xml:space="preserve">. </w:t>
      </w:r>
      <w:r w:rsidR="000244DA" w:rsidRPr="000244DA">
        <w:t xml:space="preserve">Natürlich nicht unendlich viel Ausbau, aber ein gut geplanter Ausbau, auf Flächen, die abgelegener </w:t>
      </w:r>
      <w:r>
        <w:t xml:space="preserve">sind </w:t>
      </w:r>
      <w:r w:rsidR="000244DA" w:rsidRPr="000244DA">
        <w:t>und weniger auf dem Präsentierteller stehen</w:t>
      </w:r>
      <w:r w:rsidR="000244DA">
        <w:t>, mit viel Windenergie, und z.B. Agri-PV</w:t>
      </w:r>
      <w:r>
        <w:t xml:space="preserve"> (in NRW kennt man </w:t>
      </w:r>
      <w:proofErr w:type="gramStart"/>
      <w:r>
        <w:t>die Niederlanden</w:t>
      </w:r>
      <w:proofErr w:type="gramEnd"/>
      <w:r>
        <w:t xml:space="preserve"> mit den Gegenden mit vielen Gewächshäusern und hat davor keine Angst)</w:t>
      </w:r>
      <w:r w:rsidR="000244DA" w:rsidRPr="000244DA">
        <w:t>.</w:t>
      </w:r>
      <w:r w:rsidR="000244DA">
        <w:t xml:space="preserve"> Zwischen Aachen und Mönchengladbach ist z.B. noch Platz, hier könnte man Strom </w:t>
      </w:r>
      <w:r>
        <w:t xml:space="preserve">herstellen </w:t>
      </w:r>
      <w:r w:rsidR="000244DA">
        <w:t xml:space="preserve">für </w:t>
      </w:r>
      <w:r>
        <w:t xml:space="preserve">die Elektrolyseure, die den Wasserstoff für </w:t>
      </w:r>
      <w:r w:rsidR="000244DA">
        <w:t xml:space="preserve">die Stahlwerke in Duisburg </w:t>
      </w:r>
      <w:r>
        <w:t>liefern</w:t>
      </w:r>
      <w:r w:rsidR="000244DA">
        <w:t>.</w:t>
      </w:r>
      <w:r w:rsidR="000244DA" w:rsidRPr="000244DA">
        <w:t xml:space="preserve"> </w:t>
      </w:r>
      <w:r w:rsidR="00DE2760">
        <w:rPr>
          <w:u w:val="single"/>
        </w:rPr>
        <w:t xml:space="preserve">Mit einer Einschränkung: </w:t>
      </w:r>
      <w:r>
        <w:rPr>
          <w:u w:val="single"/>
        </w:rPr>
        <w:t>Aus meiner Sicht wollen d</w:t>
      </w:r>
      <w:r w:rsidR="00DE2760">
        <w:rPr>
          <w:u w:val="single"/>
        </w:rPr>
        <w:t xml:space="preserve">ie Leute konkret sehen, was die Region </w:t>
      </w:r>
      <w:r w:rsidR="000244DA">
        <w:rPr>
          <w:u w:val="single"/>
        </w:rPr>
        <w:t>und sogar sie selbst davon haben.</w:t>
      </w:r>
      <w:r w:rsidR="00DE2760">
        <w:rPr>
          <w:u w:val="single"/>
        </w:rPr>
        <w:t xml:space="preserve"> </w:t>
      </w:r>
      <w:r w:rsidR="000244DA">
        <w:rPr>
          <w:u w:val="single"/>
        </w:rPr>
        <w:t xml:space="preserve">Warum sollten z.B. nicht sogar </w:t>
      </w:r>
      <w:r w:rsidR="00661BE9" w:rsidRPr="00FD7D2F">
        <w:rPr>
          <w:u w:val="single"/>
        </w:rPr>
        <w:t>Einzelpersonen</w:t>
      </w:r>
      <w:r w:rsidR="0057441E">
        <w:rPr>
          <w:u w:val="single"/>
        </w:rPr>
        <w:t xml:space="preserve"> </w:t>
      </w:r>
      <w:r>
        <w:rPr>
          <w:u w:val="single"/>
        </w:rPr>
        <w:t>von einem massiven Aufbau erneuerbarer Energien profitieren</w:t>
      </w:r>
      <w:r w:rsidR="0057441E" w:rsidRPr="000E3FDD">
        <w:t xml:space="preserve">, </w:t>
      </w:r>
      <w:r w:rsidR="000E3FDD">
        <w:rPr>
          <w:u w:val="single"/>
        </w:rPr>
        <w:t xml:space="preserve">meinetwegen mit 1000 freien </w:t>
      </w:r>
      <w:proofErr w:type="spellStart"/>
      <w:r w:rsidR="000E3FDD">
        <w:rPr>
          <w:u w:val="single"/>
        </w:rPr>
        <w:t>Aufladepunkten</w:t>
      </w:r>
      <w:proofErr w:type="spellEnd"/>
      <w:r w:rsidR="000E3FDD">
        <w:rPr>
          <w:u w:val="single"/>
        </w:rPr>
        <w:t xml:space="preserve"> für E-Autos und freie Aufladung für E-Scooter und E-Motorräder in einer bestimmten </w:t>
      </w:r>
      <w:r w:rsidR="000E3FDD">
        <w:rPr>
          <w:u w:val="single"/>
        </w:rPr>
        <w:lastRenderedPageBreak/>
        <w:t>Region</w:t>
      </w:r>
      <w:r w:rsidR="000E3FDD">
        <w:t xml:space="preserve">. </w:t>
      </w:r>
      <w:r w:rsidR="000244DA">
        <w:t>Hier in der Region ist noch im Gedächtnis, dass man, wenn man bei RWE gearbeitet hat, eine Ladung Briket</w:t>
      </w:r>
      <w:r w:rsidR="00AF611E">
        <w:t>t</w:t>
      </w:r>
      <w:r w:rsidR="000244DA">
        <w:t xml:space="preserve">s für den Winter bekommen hat und später verbilligten Strom. </w:t>
      </w:r>
    </w:p>
    <w:p w14:paraId="2CBCCAFE" w14:textId="77777777" w:rsidR="000244DA" w:rsidRDefault="000244DA" w:rsidP="004B2396"/>
    <w:p w14:paraId="5F8A2A11" w14:textId="77777777" w:rsidR="00D27DAA" w:rsidRDefault="000244DA" w:rsidP="004B2396">
      <w:r>
        <w:t xml:space="preserve">Aber siehe da: </w:t>
      </w:r>
      <w:r w:rsidR="000E3FDD">
        <w:t xml:space="preserve">einige Bundesländer haben </w:t>
      </w:r>
      <w:r w:rsidR="00F45A61">
        <w:t xml:space="preserve">in letzter Zeit sog. </w:t>
      </w:r>
      <w:r w:rsidR="000E3FDD">
        <w:t>Bürgerenergiegesetze</w:t>
      </w:r>
      <w:r w:rsidR="00F45A61">
        <w:t xml:space="preserve"> beschlossen</w:t>
      </w:r>
      <w:r w:rsidR="000E3FDD">
        <w:t xml:space="preserve">, diese sehen </w:t>
      </w:r>
      <w:r w:rsidR="00E72818">
        <w:t xml:space="preserve">Bürgerenergiegenossenschaften, Kauf von Anlageprodukten, Formen indirekter Beteiligung z.B. vergünstigte Stromtarife </w:t>
      </w:r>
      <w:r w:rsidR="006B0C80">
        <w:t>oder pauschale Direktzahlungen</w:t>
      </w:r>
      <w:r w:rsidR="000E3FDD">
        <w:t>, ein sog.</w:t>
      </w:r>
      <w:r w:rsidR="006B0C80">
        <w:t xml:space="preserve"> ‚Windbürgergeld‘ </w:t>
      </w:r>
      <w:r w:rsidR="00E72818">
        <w:t>für Einwohner</w:t>
      </w:r>
      <w:r w:rsidR="000E3FDD">
        <w:t>, siehe das</w:t>
      </w:r>
      <w:r w:rsidR="00E72818">
        <w:t xml:space="preserve"> neue Bürgerenergiegesetz NRW</w:t>
      </w:r>
      <w:r w:rsidR="006B0C80">
        <w:rPr>
          <w:rStyle w:val="Funotenzeichen"/>
        </w:rPr>
        <w:footnoteReference w:id="2368"/>
      </w:r>
      <w:r w:rsidR="00E72818">
        <w:t xml:space="preserve"> </w:t>
      </w:r>
      <w:r w:rsidR="000E3FDD">
        <w:t xml:space="preserve">es verpflichtet Projektträger und Kommunen </w:t>
      </w:r>
      <w:r w:rsidR="00E72818">
        <w:t xml:space="preserve">solche finanziellen Beteiligungen </w:t>
      </w:r>
      <w:r w:rsidR="000E3FDD">
        <w:t>auszuhandeln</w:t>
      </w:r>
      <w:r w:rsidR="00E72818">
        <w:t>.</w:t>
      </w:r>
      <w:r w:rsidR="00E72818">
        <w:rPr>
          <w:rStyle w:val="Funotenzeichen"/>
        </w:rPr>
        <w:footnoteReference w:id="2369"/>
      </w:r>
      <w:r w:rsidR="00E72818">
        <w:t xml:space="preserve"> </w:t>
      </w:r>
      <w:r w:rsidR="000E3FDD">
        <w:t>In MV gibt es sogar eine frei</w:t>
      </w:r>
      <w:r w:rsidR="00F45A61">
        <w:t xml:space="preserve"> gestaltbare</w:t>
      </w:r>
      <w:r w:rsidR="000E3FDD">
        <w:t xml:space="preserve"> Form, die </w:t>
      </w:r>
      <w:r w:rsidR="00C9464F">
        <w:t>vom Wirtschaftsministerium erlaubt werden muss.</w:t>
      </w:r>
      <w:r w:rsidR="00F45A61">
        <w:rPr>
          <w:rStyle w:val="Funotenzeichen"/>
        </w:rPr>
        <w:footnoteReference w:id="2370"/>
      </w:r>
      <w:r w:rsidR="00C9464F">
        <w:t xml:space="preserve"> </w:t>
      </w:r>
    </w:p>
    <w:p w14:paraId="15AAB795" w14:textId="77777777" w:rsidR="00D27DAA" w:rsidRDefault="00D27DAA" w:rsidP="004B2396"/>
    <w:p w14:paraId="2F816F77" w14:textId="012A6A18" w:rsidR="006B0C80" w:rsidRDefault="00C9464F" w:rsidP="004B2396">
      <w:r>
        <w:t>In den Gesetzen von NRW und Sachsen geht es aber wieder typisch deutsch zu: es geht immer nur um einen Windpark, nur die Personen der Gemeinde dürfen profitieren</w:t>
      </w:r>
      <w:r w:rsidR="00D27DAA">
        <w:t xml:space="preserve"> oder</w:t>
      </w:r>
      <w:r>
        <w:t xml:space="preserve"> nur Personen, die 2500 Meter von der Windanlage entfernt sind … freie </w:t>
      </w:r>
      <w:proofErr w:type="spellStart"/>
      <w:r>
        <w:t>Aufladepunkte</w:t>
      </w:r>
      <w:proofErr w:type="spellEnd"/>
      <w:r>
        <w:t xml:space="preserve"> für E-Scooter oder E-Autos bleiben ein Traum, eine Abmachung </w:t>
      </w:r>
      <w:r w:rsidR="00D27DAA">
        <w:t xml:space="preserve">für niedrige Strompreise </w:t>
      </w:r>
      <w:r>
        <w:t>in einer größeren ländlichen Region mit vielen Windparks und wenigen Einwohner, wo die Einwohner wirklich profitieren könnten, dies wird bislang leider noch nicht realisiert!!!!</w:t>
      </w:r>
    </w:p>
    <w:p w14:paraId="262DAB5E" w14:textId="77777777" w:rsidR="000244DA" w:rsidRDefault="000244DA" w:rsidP="004B2396"/>
    <w:p w14:paraId="2B0A3F8D" w14:textId="20C87174" w:rsidR="00223EC9" w:rsidRPr="000244DA" w:rsidRDefault="00F45A61" w:rsidP="004B2396">
      <w:pPr>
        <w:rPr>
          <w:u w:val="single"/>
        </w:rPr>
      </w:pPr>
      <w:r>
        <w:rPr>
          <w:b/>
          <w:bCs/>
        </w:rPr>
        <w:t>Für mich steht f</w:t>
      </w:r>
      <w:r w:rsidR="00C9464F">
        <w:rPr>
          <w:b/>
          <w:bCs/>
        </w:rPr>
        <w:t xml:space="preserve">est: </w:t>
      </w:r>
      <w:r w:rsidR="00E72818">
        <w:rPr>
          <w:b/>
          <w:bCs/>
        </w:rPr>
        <w:t>Gesellschaft, Politik und Industrie</w:t>
      </w:r>
      <w:r w:rsidR="00C9464F">
        <w:rPr>
          <w:b/>
          <w:bCs/>
        </w:rPr>
        <w:t xml:space="preserve"> können</w:t>
      </w:r>
      <w:r w:rsidR="00E72818">
        <w:rPr>
          <w:b/>
          <w:bCs/>
        </w:rPr>
        <w:t>, auf lokaler, regionaler und Landes-Ebene</w:t>
      </w:r>
      <w:r w:rsidR="00FD7D2F" w:rsidRPr="00FD7D2F">
        <w:rPr>
          <w:b/>
          <w:bCs/>
        </w:rPr>
        <w:t xml:space="preserve"> </w:t>
      </w:r>
      <w:r w:rsidR="00E72818">
        <w:rPr>
          <w:b/>
          <w:bCs/>
        </w:rPr>
        <w:t xml:space="preserve">den </w:t>
      </w:r>
      <w:r w:rsidR="006F7EAA" w:rsidRPr="00FD7D2F">
        <w:rPr>
          <w:b/>
          <w:bCs/>
        </w:rPr>
        <w:t>Ausbau</w:t>
      </w:r>
      <w:r w:rsidR="009B25B3" w:rsidRPr="00FD7D2F">
        <w:rPr>
          <w:b/>
          <w:bCs/>
        </w:rPr>
        <w:t xml:space="preserve"> </w:t>
      </w:r>
      <w:r w:rsidR="00E72818">
        <w:rPr>
          <w:b/>
          <w:bCs/>
        </w:rPr>
        <w:t xml:space="preserve">der erneuerbaren Energien </w:t>
      </w:r>
      <w:r w:rsidR="00DB2A0B">
        <w:rPr>
          <w:b/>
          <w:bCs/>
        </w:rPr>
        <w:t xml:space="preserve">und Elektrolyseuren </w:t>
      </w:r>
      <w:r w:rsidR="00E72818">
        <w:rPr>
          <w:b/>
          <w:bCs/>
        </w:rPr>
        <w:t>beschleunigen</w:t>
      </w:r>
      <w:r w:rsidR="00DB2A0B">
        <w:rPr>
          <w:b/>
          <w:bCs/>
        </w:rPr>
        <w:t xml:space="preserve"> und somit auch Industriepolitik betreiben</w:t>
      </w:r>
      <w:r>
        <w:rPr>
          <w:b/>
          <w:bCs/>
        </w:rPr>
        <w:t>, in dem sie hinter den Kulissen helfen und Bedarf anmelden</w:t>
      </w:r>
      <w:r w:rsidR="00E72818">
        <w:rPr>
          <w:b/>
          <w:bCs/>
        </w:rPr>
        <w:t xml:space="preserve">. Selbst wenn die Bundesnetzagentur diesen Bereich ‚ganz‘ regelt und dafür auch den </w:t>
      </w:r>
      <w:r w:rsidR="006406D1" w:rsidRPr="00FD7D2F">
        <w:rPr>
          <w:b/>
          <w:bCs/>
        </w:rPr>
        <w:t>gesetzlich</w:t>
      </w:r>
      <w:r w:rsidR="00E72818">
        <w:rPr>
          <w:b/>
          <w:bCs/>
        </w:rPr>
        <w:t xml:space="preserve">en Auftrag hat, kann man </w:t>
      </w:r>
      <w:r w:rsidR="006B0C80">
        <w:rPr>
          <w:b/>
          <w:bCs/>
        </w:rPr>
        <w:t xml:space="preserve">versuchen </w:t>
      </w:r>
      <w:r w:rsidR="00E72818">
        <w:rPr>
          <w:b/>
          <w:bCs/>
        </w:rPr>
        <w:t>diesen Prozess beschleunigen</w:t>
      </w:r>
      <w:r>
        <w:rPr>
          <w:b/>
          <w:bCs/>
        </w:rPr>
        <w:t>.</w:t>
      </w:r>
      <w:r w:rsidR="00FD7D2F">
        <w:rPr>
          <w:b/>
          <w:bCs/>
        </w:rPr>
        <w:t xml:space="preserve"> </w:t>
      </w:r>
      <w:r>
        <w:rPr>
          <w:b/>
          <w:bCs/>
          <w:u w:val="single"/>
        </w:rPr>
        <w:t>D</w:t>
      </w:r>
      <w:r w:rsidR="00E72818">
        <w:rPr>
          <w:b/>
          <w:bCs/>
          <w:u w:val="single"/>
        </w:rPr>
        <w:t xml:space="preserve">amit auch die </w:t>
      </w:r>
      <w:r w:rsidR="00FD7D2F" w:rsidRPr="00FD7D2F">
        <w:rPr>
          <w:b/>
          <w:bCs/>
          <w:u w:val="single"/>
        </w:rPr>
        <w:t>Industriepolitik</w:t>
      </w:r>
      <w:r w:rsidR="00D27DAA">
        <w:rPr>
          <w:b/>
          <w:bCs/>
          <w:u w:val="single"/>
        </w:rPr>
        <w:t xml:space="preserve"> </w:t>
      </w:r>
      <w:r w:rsidR="00E72818">
        <w:rPr>
          <w:b/>
          <w:bCs/>
          <w:u w:val="single"/>
        </w:rPr>
        <w:t xml:space="preserve">der Energiewende </w:t>
      </w:r>
      <w:r w:rsidR="00FD7D2F" w:rsidRPr="00FD7D2F">
        <w:rPr>
          <w:b/>
          <w:bCs/>
          <w:u w:val="single"/>
        </w:rPr>
        <w:t>eine gesellschaftliche</w:t>
      </w:r>
      <w:r w:rsidR="00E72818">
        <w:rPr>
          <w:b/>
          <w:bCs/>
          <w:u w:val="single"/>
        </w:rPr>
        <w:t xml:space="preserve">, </w:t>
      </w:r>
      <w:r w:rsidR="00FD7D2F" w:rsidRPr="00FD7D2F">
        <w:rPr>
          <w:b/>
          <w:bCs/>
          <w:u w:val="single"/>
        </w:rPr>
        <w:t xml:space="preserve">politische und </w:t>
      </w:r>
      <w:r>
        <w:rPr>
          <w:b/>
          <w:bCs/>
          <w:u w:val="single"/>
        </w:rPr>
        <w:t xml:space="preserve">eine </w:t>
      </w:r>
      <w:r w:rsidR="00FD7D2F" w:rsidRPr="00FD7D2F">
        <w:rPr>
          <w:b/>
          <w:bCs/>
          <w:u w:val="single"/>
        </w:rPr>
        <w:t>auf die Industrie bezogene Komponente</w:t>
      </w:r>
      <w:r w:rsidR="009B25B3" w:rsidRPr="00FD7D2F">
        <w:rPr>
          <w:b/>
          <w:bCs/>
        </w:rPr>
        <w:t>.</w:t>
      </w:r>
      <w:r w:rsidR="00223EC9">
        <w:rPr>
          <w:b/>
          <w:bCs/>
        </w:rPr>
        <w:t xml:space="preserve"> </w:t>
      </w:r>
    </w:p>
    <w:p w14:paraId="56A45CB6" w14:textId="77777777" w:rsidR="000B0542" w:rsidRDefault="000B0542" w:rsidP="004B2396">
      <w:pPr>
        <w:rPr>
          <w:b/>
          <w:bCs/>
        </w:rPr>
      </w:pPr>
    </w:p>
    <w:p w14:paraId="44F05F8F" w14:textId="47BB54A7" w:rsidR="0057441E" w:rsidRDefault="0057441E" w:rsidP="0057441E">
      <w:r>
        <w:t xml:space="preserve">Im Raum steht auch, dass nach der Beendigung des Kohleausstiegs, der Ausbau erneuerbarer Energien ‚frei‘ gegeben werden wird. Dann würde es keine zusätzlichen staatlichen Anreize mehr gegeben. Unternehmen </w:t>
      </w:r>
      <w:r w:rsidR="00E72818">
        <w:t xml:space="preserve">müssten </w:t>
      </w:r>
      <w:r>
        <w:t xml:space="preserve">ihren Bedarf </w:t>
      </w:r>
      <w:r w:rsidR="00E72818">
        <w:t xml:space="preserve">dann </w:t>
      </w:r>
      <w:r>
        <w:t xml:space="preserve">selbst finanzieren müssen, abhängig wären sie allerdings </w:t>
      </w:r>
      <w:r w:rsidR="00F45A61">
        <w:t>immer noch von den</w:t>
      </w:r>
      <w:r>
        <w:t xml:space="preserve"> Bauaufsichtsbehörden der Länder</w:t>
      </w:r>
      <w:r w:rsidR="00F45A61">
        <w:t xml:space="preserve"> bzw. von den Bebauungsplänen auf Gemeindeebene</w:t>
      </w:r>
      <w:r>
        <w:t xml:space="preserve">, die die Flächen freigeben. </w:t>
      </w:r>
      <w:r w:rsidR="00E72818">
        <w:t xml:space="preserve">Ob dies automatisch mehr Dynamik bei Ausbau ergeben würde, ist nicht sicher, </w:t>
      </w:r>
      <w:r w:rsidR="00F45A61">
        <w:t>auch deshalb, weil</w:t>
      </w:r>
      <w:r w:rsidR="00E72818">
        <w:t xml:space="preserve"> die Firmen dann völlig abhängig von Krediten der Banken für den Aufbau erneuerbarer Energien</w:t>
      </w:r>
      <w:r w:rsidR="00F45A61">
        <w:t xml:space="preserve"> sind</w:t>
      </w:r>
      <w:r w:rsidR="00E72818">
        <w:t>. Dazu kommt, dass auch in dieser Situation mit den Verteilnetzbetreibern der Anschluss an das Netz geplant werden muss</w:t>
      </w:r>
      <w:r w:rsidR="00F45A61">
        <w:t xml:space="preserve"> und es</w:t>
      </w:r>
      <w:r w:rsidR="00E72818">
        <w:t xml:space="preserve"> muss</w:t>
      </w:r>
      <w:r w:rsidR="00F45A61">
        <w:t xml:space="preserve"> </w:t>
      </w:r>
      <w:r w:rsidR="00E72818">
        <w:t xml:space="preserve">auch dann noch Netzausbau </w:t>
      </w:r>
      <w:r w:rsidR="00F45A61">
        <w:t>geben</w:t>
      </w:r>
      <w:r w:rsidR="00E72818">
        <w:t xml:space="preserve">. Können die Privatunternehmen diesen Netzausbau dann finanzieren? </w:t>
      </w:r>
      <w:r w:rsidR="00F45A61">
        <w:t xml:space="preserve">Kurz: man kann viele Aspekte des heutigen Systems kritisieren, aber wenn das System dann weg ist, fällt auf: </w:t>
      </w:r>
      <w:r w:rsidR="00F45A61" w:rsidRPr="00D27DAA">
        <w:rPr>
          <w:u w:val="single"/>
        </w:rPr>
        <w:t>Vielleicht ist d</w:t>
      </w:r>
      <w:r w:rsidR="00E72818" w:rsidRPr="00D27DAA">
        <w:rPr>
          <w:u w:val="single"/>
        </w:rPr>
        <w:t>as jetzige System doch</w:t>
      </w:r>
      <w:r w:rsidR="00F45A61" w:rsidRPr="00D27DAA">
        <w:rPr>
          <w:u w:val="single"/>
        </w:rPr>
        <w:t xml:space="preserve"> </w:t>
      </w:r>
      <w:r w:rsidR="00E72818" w:rsidRPr="00D27DAA">
        <w:rPr>
          <w:u w:val="single"/>
        </w:rPr>
        <w:t>gut</w:t>
      </w:r>
      <w:r w:rsidR="00D27DAA" w:rsidRPr="00D27DAA">
        <w:rPr>
          <w:u w:val="single"/>
        </w:rPr>
        <w:t xml:space="preserve">, es muss nur mal </w:t>
      </w:r>
      <w:r w:rsidR="00D27DAA">
        <w:rPr>
          <w:u w:val="single"/>
        </w:rPr>
        <w:t xml:space="preserve">richtig </w:t>
      </w:r>
      <w:r w:rsidR="00D27DAA" w:rsidRPr="00D27DAA">
        <w:rPr>
          <w:u w:val="single"/>
        </w:rPr>
        <w:t>ins Rollen kommen</w:t>
      </w:r>
      <w:r w:rsidR="00E72818">
        <w:t xml:space="preserve">. </w:t>
      </w:r>
    </w:p>
    <w:p w14:paraId="65533A4C" w14:textId="77777777" w:rsidR="0057441E" w:rsidRDefault="0057441E" w:rsidP="004B2396">
      <w:pPr>
        <w:rPr>
          <w:b/>
          <w:bCs/>
        </w:rPr>
      </w:pPr>
    </w:p>
    <w:p w14:paraId="39133646" w14:textId="062F517B" w:rsidR="00336331" w:rsidRDefault="00336331" w:rsidP="00336331">
      <w:r w:rsidRPr="00336331">
        <w:rPr>
          <w:u w:val="single"/>
        </w:rPr>
        <w:t>Auch die Industrie muss etwas tun</w:t>
      </w:r>
      <w:r>
        <w:t xml:space="preserve">. Der Wunsch klimaneutrale Grundstoffe bzw. Wasserstoff einzusetzen, etwa in der Stahlindustrie, muss jetzt gegenüber der Bundesnetzagentur geäußert werden, damit dies von der Bundesnetzagentur heute bereits eingeplant werden kann, damit 2030 genug Elektrolyseure da sind, die den Wasserstoff dann an die Stahlwerke liefern können, wenn der CO2 Preis ansteigen wird. </w:t>
      </w:r>
      <w:r w:rsidRPr="00336331">
        <w:rPr>
          <w:u w:val="single"/>
        </w:rPr>
        <w:t>Es gibt auch die ‘direkte‘ Kausalkette</w:t>
      </w:r>
      <w:r>
        <w:t xml:space="preserve">: Stahlwerk braucht Wasserstoff, es baut selbst einen Elektrolyseur auf: ein Stahlwerksbetreiber kann beschließen, in einen Elektrolyseur investieren zu wollen und er kann gleichzeitig in mehrere Landwindparks investieren und den Strom dann über ein Power </w:t>
      </w:r>
      <w:proofErr w:type="spellStart"/>
      <w:r>
        <w:t>Purchasing</w:t>
      </w:r>
      <w:proofErr w:type="spellEnd"/>
      <w:r>
        <w:t xml:space="preserve"> Agreement bekommen, aber solche Aktivitäten sind derzeit in der deutschen Industrie an einer Hand abzuzählen. Die Stahlindustrie ist derzeit in der Krise und über die Chemieindustrie weiß man nicht was man sagen soll. Zudem müsste beides auch mit der </w:t>
      </w:r>
      <w:r>
        <w:lastRenderedPageBreak/>
        <w:t xml:space="preserve">Bundesnetzagentur abgesprochen werden bzw. mit den Übertragungsnetzbetreibern, die den Strom für den Elektrolyseur bereitstellen und nach deren Abläufen alles organisiert werden muss. </w:t>
      </w:r>
    </w:p>
    <w:p w14:paraId="3719B093" w14:textId="77777777" w:rsidR="00336331" w:rsidRDefault="00336331" w:rsidP="004B2396">
      <w:pPr>
        <w:rPr>
          <w:b/>
          <w:bCs/>
        </w:rPr>
      </w:pPr>
    </w:p>
    <w:p w14:paraId="69959A53" w14:textId="1F8ABCEF" w:rsidR="00223EC9" w:rsidRPr="00223EC9" w:rsidRDefault="00223EC9" w:rsidP="004B2396">
      <w:pPr>
        <w:rPr>
          <w:b/>
          <w:bCs/>
        </w:rPr>
      </w:pPr>
      <w:r w:rsidRPr="00223EC9">
        <w:rPr>
          <w:u w:val="single"/>
        </w:rPr>
        <w:t xml:space="preserve">Das allein reicht aber </w:t>
      </w:r>
      <w:r w:rsidR="00D27DAA">
        <w:rPr>
          <w:u w:val="single"/>
        </w:rPr>
        <w:t xml:space="preserve">aus meiner Sicht </w:t>
      </w:r>
      <w:r w:rsidRPr="00223EC9">
        <w:rPr>
          <w:u w:val="single"/>
        </w:rPr>
        <w:t>immer noch nicht</w:t>
      </w:r>
      <w:r w:rsidRPr="00223EC9">
        <w:t>:</w:t>
      </w:r>
      <w:r>
        <w:rPr>
          <w:b/>
          <w:bCs/>
        </w:rPr>
        <w:t xml:space="preserve"> </w:t>
      </w:r>
      <w:r w:rsidRPr="00223EC9">
        <w:rPr>
          <w:b/>
          <w:bCs/>
        </w:rPr>
        <w:t xml:space="preserve">Unten wird gleich noch argumentiert, dass man zusätzlich aber noch </w:t>
      </w:r>
      <w:proofErr w:type="gramStart"/>
      <w:r w:rsidRPr="00223EC9">
        <w:rPr>
          <w:b/>
          <w:bCs/>
        </w:rPr>
        <w:t>eine Plan</w:t>
      </w:r>
      <w:proofErr w:type="gramEnd"/>
      <w:r w:rsidRPr="00223EC9">
        <w:rPr>
          <w:b/>
          <w:bCs/>
        </w:rPr>
        <w:t xml:space="preserve"> </w:t>
      </w:r>
      <w:r w:rsidR="0057441E">
        <w:rPr>
          <w:b/>
          <w:bCs/>
        </w:rPr>
        <w:t xml:space="preserve">für den Umbau </w:t>
      </w:r>
      <w:r w:rsidRPr="00223EC9">
        <w:rPr>
          <w:b/>
          <w:bCs/>
        </w:rPr>
        <w:t>braucht</w:t>
      </w:r>
      <w:r w:rsidR="0057441E">
        <w:rPr>
          <w:b/>
          <w:bCs/>
        </w:rPr>
        <w:t>, zumindest für Stahl und Chemie</w:t>
      </w:r>
      <w:r w:rsidRPr="00223EC9">
        <w:rPr>
          <w:b/>
          <w:bCs/>
        </w:rPr>
        <w:t xml:space="preserve">, und </w:t>
      </w:r>
      <w:r w:rsidRPr="0057441E">
        <w:rPr>
          <w:b/>
          <w:bCs/>
          <w:u w:val="single"/>
        </w:rPr>
        <w:t>dass ein Sprung auf ein neues Preisniveau unausweichlich ist</w:t>
      </w:r>
      <w:r w:rsidRPr="00223EC9">
        <w:rPr>
          <w:b/>
          <w:bCs/>
        </w:rPr>
        <w:t xml:space="preserve">. </w:t>
      </w:r>
    </w:p>
    <w:p w14:paraId="3C73BD2A" w14:textId="77777777" w:rsidR="007D40E8" w:rsidRDefault="007D40E8" w:rsidP="004B2396"/>
    <w:tbl>
      <w:tblPr>
        <w:tblStyle w:val="Tabellenraster"/>
        <w:tblW w:w="0" w:type="auto"/>
        <w:tblLook w:val="04A0" w:firstRow="1" w:lastRow="0" w:firstColumn="1" w:lastColumn="0" w:noHBand="0" w:noVBand="1"/>
      </w:tblPr>
      <w:tblGrid>
        <w:gridCol w:w="9062"/>
      </w:tblGrid>
      <w:tr w:rsidR="007D40E8" w14:paraId="162B53A5" w14:textId="77777777" w:rsidTr="007D40E8">
        <w:tc>
          <w:tcPr>
            <w:tcW w:w="9062" w:type="dxa"/>
          </w:tcPr>
          <w:p w14:paraId="03DED202" w14:textId="41EF2911" w:rsidR="007D40E8" w:rsidRDefault="007D40E8" w:rsidP="004B2396">
            <w:r>
              <w:t xml:space="preserve">Warum wird z.B. der 400 MW Elektrolyseur </w:t>
            </w:r>
            <w:r w:rsidR="00042C6D">
              <w:t xml:space="preserve">in Sande bei Wilhelmshaven </w:t>
            </w:r>
            <w:r>
              <w:t>von Friesen Elektra</w:t>
            </w:r>
            <w:r w:rsidR="00042C6D">
              <w:rPr>
                <w:rStyle w:val="Funotenzeichen"/>
              </w:rPr>
              <w:footnoteReference w:id="2371"/>
            </w:r>
            <w:r>
              <w:t xml:space="preserve"> zusammen mit der Fondsgesellschaft Copenhagen Infrastructure Partners CIP</w:t>
            </w:r>
            <w:r>
              <w:rPr>
                <w:rStyle w:val="Funotenzeichen"/>
              </w:rPr>
              <w:footnoteReference w:id="2372"/>
            </w:r>
            <w:r w:rsidR="00042C6D">
              <w:t xml:space="preserve"> aufgebaut</w:t>
            </w:r>
            <w:r w:rsidR="004118BD">
              <w:rPr>
                <w:rStyle w:val="Funotenzeichen"/>
              </w:rPr>
              <w:footnoteReference w:id="2373"/>
            </w:r>
            <w:r w:rsidR="004118BD">
              <w:t xml:space="preserve"> </w:t>
            </w:r>
            <w:r w:rsidR="00042C6D">
              <w:t xml:space="preserve"> </w:t>
            </w:r>
            <w:r w:rsidR="006F7EAA">
              <w:t>CIP ist eine</w:t>
            </w:r>
            <w:r>
              <w:t xml:space="preserve"> großen Fondsgesellschaft, </w:t>
            </w:r>
            <w:r w:rsidR="00042C6D">
              <w:t xml:space="preserve">an der ein dänischer Pensionsfond große Anteile hält. Diese Fondgesellschaft investiert weltweit </w:t>
            </w:r>
            <w:r>
              <w:t>in erneu</w:t>
            </w:r>
            <w:r w:rsidR="00042C6D">
              <w:t>e</w:t>
            </w:r>
            <w:r>
              <w:t>rbare Energie</w:t>
            </w:r>
            <w:r w:rsidR="00042C6D">
              <w:t xml:space="preserve">. Schön und gut, aber warum hat dort nicht Thyssenkrupp </w:t>
            </w:r>
            <w:r w:rsidR="00B60F10">
              <w:t xml:space="preserve">(geht nicht, derzeit in der Krise) </w:t>
            </w:r>
            <w:r w:rsidR="00042C6D">
              <w:t>oder BASF oder LyondellBasell investiert</w:t>
            </w:r>
            <w:r w:rsidR="004118BD">
              <w:t xml:space="preserve">, einfach um alles zu beschleunigen? CIP kann ja noch einen Elektrolyseur woanders bauen </w:t>
            </w:r>
            <w:r w:rsidR="004118BD">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t xml:space="preserve"> </w:t>
            </w:r>
          </w:p>
        </w:tc>
      </w:tr>
    </w:tbl>
    <w:p w14:paraId="32AC4B75" w14:textId="77777777" w:rsidR="00C66D1E" w:rsidRDefault="00C66D1E" w:rsidP="004B2396"/>
    <w:tbl>
      <w:tblPr>
        <w:tblStyle w:val="Tabellenraster"/>
        <w:tblW w:w="0" w:type="auto"/>
        <w:tblLook w:val="04A0" w:firstRow="1" w:lastRow="0" w:firstColumn="1" w:lastColumn="0" w:noHBand="0" w:noVBand="1"/>
      </w:tblPr>
      <w:tblGrid>
        <w:gridCol w:w="9062"/>
      </w:tblGrid>
      <w:tr w:rsidR="005B380E" w14:paraId="5D0CB4DC" w14:textId="77777777">
        <w:tc>
          <w:tcPr>
            <w:tcW w:w="9062" w:type="dxa"/>
          </w:tcPr>
          <w:p w14:paraId="335B9FC2" w14:textId="2FB71D1E" w:rsidR="005B380E" w:rsidRDefault="005B380E" w:rsidP="004B2396">
            <w:r>
              <w:t>Was läuft an der Klimapolitik falsch? Hierzu haben Wissenschaftler des Ariadne Projekts</w:t>
            </w:r>
            <w:r w:rsidR="006B0C80">
              <w:t xml:space="preserve"> die These </w:t>
            </w:r>
            <w:r w:rsidR="00DB2A0B">
              <w:t>aufgestellt</w:t>
            </w:r>
            <w:r w:rsidR="006B0C80">
              <w:t xml:space="preserve">, dass </w:t>
            </w:r>
            <w:r w:rsidR="00DB2A0B">
              <w:t>es einen Mangel an „staatlicher Handlungs- und Steuerfähigkeit“ gibt, siehe diesen FAZ-Artikel.</w:t>
            </w:r>
            <w:r w:rsidR="00DB2A0B">
              <w:rPr>
                <w:rStyle w:val="Funotenzeichen"/>
              </w:rPr>
              <w:footnoteReference w:id="2374"/>
            </w:r>
            <w:r>
              <w:t xml:space="preserve"> </w:t>
            </w:r>
            <w:r w:rsidR="00DB2A0B">
              <w:t>Deshalb wird das</w:t>
            </w:r>
            <w:r>
              <w:t xml:space="preserve"> Ressortprinzip in Frage gestellt, dass jedes Bundesministerium seinen eigenen Bereich regelt, es solle ein „Ressorts integrierender interministerieller Steuerungskreis auf Arbeitsebenen“ gegründet werden, damit man sich schon früher abstimmt und nicht erst dann, wenn Gesetzesvorschläge gemacht wurden</w:t>
            </w:r>
            <w:r w:rsidR="009C2B0D">
              <w:t xml:space="preserve">, dies wird von der Professorin für Verwaltungs- und Umweltrecht Sabine Schlacke der Uni Greifswald und Michele Knodt von der TU-Darmstadt gefordert. Sie kritisieren Thomas de Maiziere und Peer Steinbrück der Initiative für einen handlungsfähigen Staat, die erneut ein Klimakabinett vorschlagen. Dieses Klimakabinett gibt es </w:t>
            </w:r>
            <w:proofErr w:type="spellStart"/>
            <w:r w:rsidR="009C2B0D">
              <w:t>sei</w:t>
            </w:r>
            <w:proofErr w:type="spellEnd"/>
            <w:r w:rsidR="009C2B0D">
              <w:t xml:space="preserve"> 2019, habe aber keine Wirkung gehabt. Das Ariadne Projekt fordert weiterhin auf der Ebene der Bundesländer viel mehr Aktivitäten zuzulassen, und regional angepasste Lösungen zu entwickeln und Akzeptanz vor Ort zu entwickeln. Zur Not muss der Bund allerdings auch Dinge regeln: Bei Ausbau der Windenergie sei dies bereits angelegt: Wenn die Länder keine Flächen für Windkraft </w:t>
            </w:r>
            <w:proofErr w:type="gramStart"/>
            <w:r w:rsidR="009C2B0D">
              <w:t>ausweist</w:t>
            </w:r>
            <w:proofErr w:type="gramEnd"/>
            <w:r w:rsidR="009C2B0D">
              <w:t>, kann dies auch der Bund übernehmen, siehe zu diesem Abschnitt diesen FAZ-Artikel.</w:t>
            </w:r>
            <w:r w:rsidR="009C2B0D">
              <w:rPr>
                <w:rStyle w:val="Funotenzeichen"/>
              </w:rPr>
              <w:footnoteReference w:id="2375"/>
            </w:r>
            <w:r w:rsidR="009C2B0D">
              <w:t xml:space="preserve"> </w:t>
            </w:r>
          </w:p>
        </w:tc>
      </w:tr>
    </w:tbl>
    <w:p w14:paraId="35F846B7" w14:textId="77777777" w:rsidR="005B380E" w:rsidRDefault="005B380E" w:rsidP="004B2396"/>
    <w:p w14:paraId="553818FC" w14:textId="28EF10A6" w:rsidR="0086292E" w:rsidRDefault="0086292E" w:rsidP="0052049D">
      <w:r>
        <w:t>16.</w:t>
      </w:r>
      <w:r w:rsidR="008442BB">
        <w:t>3</w:t>
      </w:r>
      <w:r>
        <w:t xml:space="preserve"> </w:t>
      </w:r>
      <w:r w:rsidR="008442BB">
        <w:t>N</w:t>
      </w:r>
      <w:r w:rsidR="00223EC9">
        <w:t>eue Anreizformen</w:t>
      </w:r>
    </w:p>
    <w:p w14:paraId="399853C2" w14:textId="77777777" w:rsidR="0086292E" w:rsidRDefault="0086292E" w:rsidP="0052049D"/>
    <w:p w14:paraId="210E7451" w14:textId="77777777" w:rsidR="00A405C4" w:rsidRDefault="000815E5" w:rsidP="0052049D">
      <w:r>
        <w:t xml:space="preserve">Generell gilt, dass in den letzten Jahren viel Erfahrungen </w:t>
      </w:r>
      <w:r w:rsidR="00B85616">
        <w:t xml:space="preserve">damit </w:t>
      </w:r>
      <w:r>
        <w:t>gewonnen wurde, mit neuartigen Subventions</w:t>
      </w:r>
      <w:r w:rsidR="00B60F10">
        <w:t>- bzw. Anreiz</w:t>
      </w:r>
      <w:r>
        <w:t>instrumenten</w:t>
      </w:r>
      <w:r w:rsidR="00D53F02">
        <w:t>.</w:t>
      </w:r>
      <w:r w:rsidR="009B266E">
        <w:t xml:space="preserve"> </w:t>
      </w:r>
      <w:r w:rsidR="00C66D1E">
        <w:t xml:space="preserve">Bei diesen Möglichkeiten werden Firmen, Investmentfonds, Banken gebraucht, um zu investieren, es wird aber ein Teil der Kosten und des Risikos vom Staat übernommen. </w:t>
      </w:r>
    </w:p>
    <w:p w14:paraId="4EF64197" w14:textId="77777777" w:rsidR="00A405C4" w:rsidRDefault="00A405C4" w:rsidP="0052049D"/>
    <w:p w14:paraId="461E025D" w14:textId="1B8CCE7C" w:rsidR="00336331" w:rsidRDefault="00336331" w:rsidP="0052049D">
      <w:r>
        <w:t xml:space="preserve">Diese neuen Anreizformen führen dazu, dass der Aufbau der erneuerbaren Energien </w:t>
      </w:r>
      <w:r w:rsidRPr="00343EFF">
        <w:rPr>
          <w:u w:val="single"/>
        </w:rPr>
        <w:t>durch Investoren bzw. Banken bzw. Kapitalmärkte</w:t>
      </w:r>
      <w:r>
        <w:rPr>
          <w:u w:val="single"/>
        </w:rPr>
        <w:t xml:space="preserve"> erfolgt</w:t>
      </w:r>
      <w:r w:rsidRPr="00343EFF">
        <w:rPr>
          <w:u w:val="single"/>
        </w:rPr>
        <w:t xml:space="preserve">, </w:t>
      </w:r>
      <w:r w:rsidRPr="0027628A">
        <w:rPr>
          <w:b/>
          <w:bCs/>
          <w:u w:val="single"/>
        </w:rPr>
        <w:t>es kommen dennoch</w:t>
      </w:r>
      <w:r>
        <w:rPr>
          <w:b/>
          <w:bCs/>
          <w:u w:val="single"/>
        </w:rPr>
        <w:t xml:space="preserve"> teilweise</w:t>
      </w:r>
      <w:r w:rsidRPr="0027628A">
        <w:rPr>
          <w:b/>
          <w:bCs/>
          <w:u w:val="single"/>
        </w:rPr>
        <w:t xml:space="preserve"> Kosten auf den Staat zu</w:t>
      </w:r>
      <w:r>
        <w:rPr>
          <w:b/>
          <w:bCs/>
          <w:u w:val="single"/>
        </w:rPr>
        <w:t>, weil er nun beim EEG die Einspeisevergütung übernommen hat und in Zukunft eine Kapazitäts</w:t>
      </w:r>
      <w:r w:rsidR="00673B9C">
        <w:rPr>
          <w:b/>
          <w:bCs/>
          <w:u w:val="single"/>
        </w:rPr>
        <w:t xml:space="preserve">zahlung </w:t>
      </w:r>
      <w:r w:rsidR="00673B9C">
        <w:rPr>
          <w:b/>
          <w:bCs/>
          <w:u w:val="single"/>
        </w:rPr>
        <w:lastRenderedPageBreak/>
        <w:t>mit unabhängigem Refinanzierungsbeitrag</w:t>
      </w:r>
      <w:r w:rsidRPr="00343EFF">
        <w:rPr>
          <w:u w:val="single"/>
        </w:rPr>
        <w:t>.</w:t>
      </w:r>
      <w:r w:rsidR="00673B9C">
        <w:rPr>
          <w:rStyle w:val="Funotenzeichen"/>
          <w:u w:val="single"/>
        </w:rPr>
        <w:footnoteReference w:id="2376"/>
      </w:r>
      <w:r>
        <w:t xml:space="preserve"> Und: </w:t>
      </w:r>
      <w:r w:rsidRPr="008432C2">
        <w:rPr>
          <w:u w:val="single"/>
        </w:rPr>
        <w:t xml:space="preserve">der Staat </w:t>
      </w:r>
      <w:r w:rsidR="00673B9C">
        <w:rPr>
          <w:u w:val="single"/>
        </w:rPr>
        <w:t>hat auch Einnahmen</w:t>
      </w:r>
      <w:r w:rsidRPr="008432C2">
        <w:rPr>
          <w:u w:val="single"/>
        </w:rPr>
        <w:t xml:space="preserve">: Auf der Einnahmenseite erhält der Staat die Beträge, die </w:t>
      </w:r>
      <w:r w:rsidR="00673B9C">
        <w:rPr>
          <w:u w:val="single"/>
        </w:rPr>
        <w:t>die Industrie</w:t>
      </w:r>
      <w:r w:rsidRPr="008432C2">
        <w:rPr>
          <w:u w:val="single"/>
        </w:rPr>
        <w:t xml:space="preserve"> über das ETS in die Staatskasse einzahlt, wenn sie CO2 ausstößt</w:t>
      </w:r>
      <w:r>
        <w:t xml:space="preserve">, diese Kosten werden aber erst spät ansteigen, vielleicht ab 2030, da zwar immer weniger Emissionszertifikate im Umlauf sein werden, </w:t>
      </w:r>
      <w:r w:rsidR="00673B9C">
        <w:t xml:space="preserve">als das ETS immer mehr ‚beißt‘, aber derzeit </w:t>
      </w:r>
      <w:r>
        <w:t xml:space="preserve">die Emissionen sinken, </w:t>
      </w:r>
      <w:r w:rsidR="00673B9C">
        <w:t xml:space="preserve">da </w:t>
      </w:r>
      <w:r>
        <w:t xml:space="preserve">die Produktion </w:t>
      </w:r>
      <w:r w:rsidR="00673B9C">
        <w:t xml:space="preserve">in der Stahl- und Chemieindustrie </w:t>
      </w:r>
      <w:r>
        <w:t>derzeit sinkt</w:t>
      </w:r>
      <w:r w:rsidR="00673B9C">
        <w:t>, auch aufgrund der vielen Sondereinflüsse (Zölle von Trump, zu viel billiger Stahl aus China, Probleme mit Energiekosten in der Chemieindustrie, aber auch schwer verständliche Managemententscheidungen)</w:t>
      </w:r>
      <w:r>
        <w:t xml:space="preserve">. (wenn die Industrie </w:t>
      </w:r>
      <w:r w:rsidR="00673B9C">
        <w:t xml:space="preserve">weniger </w:t>
      </w:r>
      <w:r>
        <w:t>produziert, dann hat sie deutlich länger genug Emissionszertifikate, muss also ihre Produktion nicht umbauen</w:t>
      </w:r>
      <w:r w:rsidR="00673B9C">
        <w:t>, darauf müsste dann die Politik in der EU wiederum reagieren</w:t>
      </w:r>
      <w:r>
        <w:t>)</w:t>
      </w:r>
    </w:p>
    <w:p w14:paraId="6655585C" w14:textId="77777777" w:rsidR="00673B9C" w:rsidRDefault="00673B9C" w:rsidP="0052049D"/>
    <w:p w14:paraId="6F9075BA" w14:textId="2BCFE25B" w:rsidR="00673B9C" w:rsidRDefault="00673B9C" w:rsidP="0052049D">
      <w:r>
        <w:t>Wie dem auch sei, es soll hier doch einmal dargestellt werden, wie viel die Energiewende in Deutschland kosten würde, mit meinen Bierdeckelrechnungen:</w:t>
      </w:r>
    </w:p>
    <w:p w14:paraId="216BDB0A" w14:textId="77777777" w:rsidR="00336331" w:rsidRDefault="00336331" w:rsidP="0052049D"/>
    <w:p w14:paraId="44A7BCB1" w14:textId="77777777" w:rsidR="00673B9C" w:rsidRDefault="00673B9C" w:rsidP="00673B9C">
      <w:pPr>
        <w:rPr>
          <w:b/>
          <w:bCs/>
        </w:rPr>
      </w:pPr>
      <w:r>
        <w:rPr>
          <w:b/>
          <w:bCs/>
        </w:rPr>
        <w:t xml:space="preserve">Bei einem Stromverbrauch von 3000 TWh würde die Energiewende in Deutschland 5500 Mrd. Euro kosten.  </w:t>
      </w:r>
    </w:p>
    <w:p w14:paraId="71FEBAAC" w14:textId="77777777" w:rsidR="00673B9C" w:rsidRDefault="00673B9C" w:rsidP="00673B9C">
      <w:pPr>
        <w:rPr>
          <w:b/>
          <w:bCs/>
        </w:rPr>
      </w:pPr>
    </w:p>
    <w:p w14:paraId="544C59A9" w14:textId="77777777" w:rsidR="00673B9C" w:rsidRPr="00E221B9" w:rsidRDefault="00673B9C" w:rsidP="00673B9C">
      <w:r w:rsidRPr="00E221B9">
        <w:t xml:space="preserve">3000 TWh </w:t>
      </w:r>
      <w:r>
        <w:t>aufgeteilt in Solar, Landwind und Offshore sind</w:t>
      </w:r>
      <w:r w:rsidRPr="00E221B9">
        <w:t>:</w:t>
      </w:r>
    </w:p>
    <w:p w14:paraId="101887EE" w14:textId="77777777" w:rsidR="00673B9C" w:rsidRPr="000544C8" w:rsidRDefault="00673B9C" w:rsidP="00673B9C">
      <w:r w:rsidRPr="000544C8">
        <w:t xml:space="preserve">2000 TWh Solarpark Barth 2000 / 0,06 = </w:t>
      </w:r>
      <w:r w:rsidRPr="000544C8">
        <w:rPr>
          <w:u w:val="single"/>
        </w:rPr>
        <w:t>33.333</w:t>
      </w:r>
      <w:r w:rsidRPr="000544C8">
        <w:t>;</w:t>
      </w:r>
    </w:p>
    <w:p w14:paraId="18237FA5" w14:textId="77777777" w:rsidR="00673B9C" w:rsidRPr="000544C8" w:rsidRDefault="00673B9C" w:rsidP="00673B9C">
      <w:r w:rsidRPr="000544C8">
        <w:t>800 TWh Landwind</w:t>
      </w:r>
      <w:r>
        <w:t xml:space="preserve"> Werder Kessin / 0,3 = </w:t>
      </w:r>
      <w:r w:rsidRPr="0007016A">
        <w:rPr>
          <w:u w:val="single"/>
        </w:rPr>
        <w:t>2666</w:t>
      </w:r>
      <w:r w:rsidRPr="000544C8">
        <w:t>:</w:t>
      </w:r>
    </w:p>
    <w:p w14:paraId="24E489AD" w14:textId="77777777" w:rsidR="00673B9C" w:rsidRPr="000544C8" w:rsidRDefault="00673B9C" w:rsidP="00673B9C">
      <w:r w:rsidRPr="000544C8">
        <w:t xml:space="preserve">200 TWh Offshore / 2,5 = </w:t>
      </w:r>
      <w:r w:rsidRPr="000544C8">
        <w:rPr>
          <w:u w:val="single"/>
        </w:rPr>
        <w:t>500</w:t>
      </w:r>
      <w:r w:rsidRPr="000544C8">
        <w:t>.</w:t>
      </w:r>
    </w:p>
    <w:p w14:paraId="6E82762E" w14:textId="77777777" w:rsidR="00673B9C" w:rsidRPr="000544C8" w:rsidRDefault="00673B9C" w:rsidP="00673B9C"/>
    <w:p w14:paraId="1DFCB5BA" w14:textId="77777777" w:rsidR="00673B9C" w:rsidRDefault="00673B9C" w:rsidP="00673B9C">
      <w:r>
        <w:t xml:space="preserve">Solarpark Barth, Kosten von 100 Mill. Euro, mal 33.333 = </w:t>
      </w:r>
      <w:r w:rsidRPr="00CE28C4">
        <w:t>3.333.300.000.000</w:t>
      </w:r>
      <w:r>
        <w:t xml:space="preserve">, </w:t>
      </w:r>
      <w:r w:rsidRPr="00CE28C4">
        <w:rPr>
          <w:u w:val="single"/>
        </w:rPr>
        <w:t>das sind 3333 Mrd. Euro</w:t>
      </w:r>
      <w:r>
        <w:t xml:space="preserve">. Landwind Werder Kessin, 220 Mill. Euro, 2666 * 220 Mill. = 586.520 Mill., das sind </w:t>
      </w:r>
      <w:r w:rsidRPr="0007016A">
        <w:rPr>
          <w:u w:val="single"/>
        </w:rPr>
        <w:t>586 Mrd.</w:t>
      </w:r>
      <w:r>
        <w:t xml:space="preserve"> Euro. 500 * 2 Mrd. = </w:t>
      </w:r>
      <w:r w:rsidRPr="0007016A">
        <w:rPr>
          <w:u w:val="single"/>
        </w:rPr>
        <w:t>1000 Mrd</w:t>
      </w:r>
      <w:r>
        <w:t xml:space="preserve">. (Offshore-Windkraft ist teuer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t xml:space="preserve">).   </w:t>
      </w:r>
    </w:p>
    <w:p w14:paraId="02D47385" w14:textId="77777777" w:rsidR="00673B9C" w:rsidRDefault="00673B9C" w:rsidP="00673B9C">
      <w:pPr>
        <w:rPr>
          <w:b/>
          <w:bCs/>
        </w:rPr>
      </w:pPr>
    </w:p>
    <w:p w14:paraId="2B606BB7" w14:textId="77777777" w:rsidR="00673B9C" w:rsidRDefault="00673B9C" w:rsidP="00673B9C">
      <w:r>
        <w:t>Netzausbau: Der Übertragungsnetzbetreiber Amprion berichtet, dass er 3 Mrd. Euro investiert hat (mehr als jemals davor) und damit 100 Kilometer Leitungen fertiggestellt hat.</w:t>
      </w:r>
      <w:r>
        <w:rPr>
          <w:rStyle w:val="Funotenzeichen"/>
        </w:rPr>
        <w:footnoteReference w:id="2377"/>
      </w:r>
      <w:r>
        <w:t xml:space="preserve"> Laut Bundesnetzagentur sollen 13.600 Trassenkilometer sollen neu gebaut werden.</w:t>
      </w:r>
      <w:r>
        <w:rPr>
          <w:rStyle w:val="Funotenzeichen"/>
        </w:rPr>
        <w:footnoteReference w:id="2378"/>
      </w:r>
      <w:r>
        <w:t xml:space="preserve"> Bierdeckelrechnung: </w:t>
      </w:r>
      <w:r w:rsidRPr="002837D8">
        <w:rPr>
          <w:u w:val="single"/>
        </w:rPr>
        <w:t xml:space="preserve">13.600 / 100 = 136 * 3 </w:t>
      </w:r>
      <w:r>
        <w:rPr>
          <w:u w:val="single"/>
        </w:rPr>
        <w:t xml:space="preserve">Mrd. </w:t>
      </w:r>
      <w:r w:rsidRPr="002837D8">
        <w:rPr>
          <w:u w:val="single"/>
        </w:rPr>
        <w:t>= 408 Mrd.</w:t>
      </w:r>
      <w:r>
        <w:rPr>
          <w:u w:val="single"/>
        </w:rPr>
        <w:t xml:space="preserve"> </w:t>
      </w:r>
      <w:r w:rsidRPr="003558F0">
        <w:rPr>
          <w:i/>
          <w:iCs/>
        </w:rPr>
        <w:t>(realistischerweise mü</w:t>
      </w:r>
      <w:r>
        <w:rPr>
          <w:i/>
          <w:iCs/>
        </w:rPr>
        <w:t>ss</w:t>
      </w:r>
      <w:r w:rsidRPr="003558F0">
        <w:rPr>
          <w:i/>
          <w:iCs/>
        </w:rPr>
        <w:t>te ich bei meinen 3000 TWh noch was drauflegen, selbst wenn man regional gut plant</w:t>
      </w:r>
      <w:r>
        <w:rPr>
          <w:i/>
          <w:iCs/>
        </w:rPr>
        <w:t xml:space="preserve"> … aber auf der anderen Seite sind Freileitungen noch vor kurzer Zeit sehr günstig gewesen, wenn man dies zumindest teilweise wieder realisieren könnte, wäre der Netzausbau machbar</w:t>
      </w:r>
      <w:r w:rsidRPr="003558F0">
        <w:rPr>
          <w:i/>
          <w:iCs/>
        </w:rPr>
        <w:t>)</w:t>
      </w:r>
      <w:r>
        <w:rPr>
          <w:i/>
          <w:iCs/>
        </w:rPr>
        <w:t xml:space="preserve"> </w:t>
      </w:r>
      <w:r>
        <w:t>Vor 10 Jahren wurde davon ausgegangen, dass 1 km Stromnetz Freileitungen 1 bis 1,4 Mill. Euro kostet, Stand: 2013.</w:t>
      </w:r>
      <w:r>
        <w:rPr>
          <w:rStyle w:val="Funotenzeichen"/>
        </w:rPr>
        <w:t xml:space="preserve"> </w:t>
      </w:r>
      <w:r>
        <w:rPr>
          <w:rStyle w:val="Funotenzeichen"/>
        </w:rPr>
        <w:footnoteReference w:id="2379"/>
      </w:r>
      <w:r>
        <w:t xml:space="preserve"> D.h. 100 km würden nur 300 Mill. Euro kosten. </w:t>
      </w:r>
    </w:p>
    <w:p w14:paraId="2D112061" w14:textId="77777777" w:rsidR="00673B9C" w:rsidRDefault="00673B9C" w:rsidP="00673B9C">
      <w:pPr>
        <w:rPr>
          <w:b/>
          <w:bCs/>
          <w:u w:val="single"/>
        </w:rPr>
      </w:pPr>
    </w:p>
    <w:p w14:paraId="0513EC01" w14:textId="77777777" w:rsidR="00673B9C" w:rsidRPr="00064BC2" w:rsidRDefault="00673B9C" w:rsidP="00673B9C">
      <w:pPr>
        <w:rPr>
          <w:u w:val="single"/>
        </w:rPr>
      </w:pPr>
      <w:r>
        <w:t xml:space="preserve">Elektrolyseure: Rechnen wir mit 18.834.000 Mill. Tonnen Wasserstoff / 56.000 = </w:t>
      </w:r>
      <w:r w:rsidRPr="00064BC2">
        <w:rPr>
          <w:u w:val="single"/>
        </w:rPr>
        <w:t>336</w:t>
      </w:r>
      <w:r>
        <w:rPr>
          <w:u w:val="single"/>
        </w:rPr>
        <w:t xml:space="preserve"> Elektrolyseure </w:t>
      </w:r>
      <w:r w:rsidRPr="0007016A">
        <w:t>Thyssen Nucera 500 MW. Dieser kostet 250 Mill. Euro. 250 Mill. Euro mal 336 =</w:t>
      </w:r>
      <w:r w:rsidRPr="00064BC2">
        <w:rPr>
          <w:u w:val="single"/>
        </w:rPr>
        <w:t xml:space="preserve"> 84 Mrd.  </w:t>
      </w:r>
    </w:p>
    <w:p w14:paraId="68518FC5" w14:textId="77777777" w:rsidR="00673B9C" w:rsidRDefault="00673B9C" w:rsidP="00673B9C">
      <w:pPr>
        <w:rPr>
          <w:b/>
          <w:bCs/>
          <w:u w:val="single"/>
        </w:rPr>
      </w:pPr>
    </w:p>
    <w:p w14:paraId="1C055541" w14:textId="77777777" w:rsidR="00673B9C" w:rsidRDefault="00673B9C" w:rsidP="00673B9C">
      <w:pPr>
        <w:rPr>
          <w:b/>
          <w:bCs/>
        </w:rPr>
      </w:pPr>
      <w:r w:rsidRPr="007432C6">
        <w:lastRenderedPageBreak/>
        <w:t>Wasserstofffähige Gaskraftwerke</w:t>
      </w:r>
      <w:r>
        <w:rPr>
          <w:b/>
          <w:bCs/>
        </w:rPr>
        <w:t xml:space="preserve">: </w:t>
      </w:r>
      <w:r>
        <w:t xml:space="preserve">Geschätzt wird ein Preis von ungefähr 1.000.000 Euro pro </w:t>
      </w:r>
      <w:proofErr w:type="gramStart"/>
      <w:r>
        <w:t>MW Leistung</w:t>
      </w:r>
      <w:proofErr w:type="gramEnd"/>
      <w:r>
        <w:t>.</w:t>
      </w:r>
      <w:r>
        <w:rPr>
          <w:rStyle w:val="Funotenzeichen"/>
        </w:rPr>
        <w:footnoteReference w:id="2380"/>
      </w:r>
      <w:r>
        <w:t xml:space="preserve"> Nehmen wird eine Spitzenleistung von 100 GW, also 100.000 MW * 1 Mill. = </w:t>
      </w:r>
      <w:r w:rsidRPr="007432C6">
        <w:rPr>
          <w:u w:val="single"/>
        </w:rPr>
        <w:t>100 Mrd</w:t>
      </w:r>
      <w:r>
        <w:t xml:space="preserve">. </w:t>
      </w:r>
    </w:p>
    <w:p w14:paraId="13A46C8B" w14:textId="77777777" w:rsidR="00673B9C" w:rsidRDefault="00673B9C" w:rsidP="00673B9C">
      <w:pPr>
        <w:rPr>
          <w:b/>
          <w:bCs/>
        </w:rPr>
      </w:pPr>
    </w:p>
    <w:p w14:paraId="25E4C061" w14:textId="77777777" w:rsidR="00673B9C" w:rsidRPr="00527805" w:rsidRDefault="00673B9C" w:rsidP="00673B9C">
      <w:r w:rsidRPr="00527805">
        <w:t xml:space="preserve">3333 Mrd. Solar + 586 Landwind + 1000 Offshore + 408 Netzausbau + 84 Elektrolyseure + 100 wasserstofffähige Gaskraftwerke = </w:t>
      </w:r>
      <w:r w:rsidRPr="001778A7">
        <w:rPr>
          <w:b/>
          <w:bCs/>
        </w:rPr>
        <w:t>5511 Mrd.</w:t>
      </w:r>
      <w:r w:rsidRPr="00527805">
        <w:t xml:space="preserve"> </w:t>
      </w:r>
      <w:r w:rsidRPr="003558F0">
        <w:rPr>
          <w:i/>
          <w:iCs/>
        </w:rPr>
        <w:t>(bei noch mehr Stromnetzausbau vielleicht 6000 Mrd.)</w:t>
      </w:r>
    </w:p>
    <w:p w14:paraId="53B4FF56" w14:textId="77777777" w:rsidR="00673B9C" w:rsidRDefault="00673B9C" w:rsidP="00673B9C">
      <w:pPr>
        <w:rPr>
          <w:b/>
          <w:bCs/>
        </w:rPr>
      </w:pPr>
    </w:p>
    <w:p w14:paraId="61B465A0" w14:textId="77777777" w:rsidR="00673B9C" w:rsidRDefault="00673B9C" w:rsidP="00673B9C">
      <w:r w:rsidRPr="00527805">
        <w:rPr>
          <w:u w:val="single"/>
        </w:rPr>
        <w:t>Diese Gesamtsumme von ungefähr 5500 Mrd. für die deutsche Energiewende ist viel.</w:t>
      </w:r>
      <w:r>
        <w:t xml:space="preserve"> </w:t>
      </w:r>
    </w:p>
    <w:p w14:paraId="60AB8DBB" w14:textId="77777777" w:rsidR="00673B9C" w:rsidRDefault="00673B9C" w:rsidP="00673B9C"/>
    <w:p w14:paraId="30691A46" w14:textId="77777777" w:rsidR="00673B9C" w:rsidRDefault="00673B9C" w:rsidP="00673B9C">
      <w:r>
        <w:t>Zuerst mal zur Dimension: Verteilt man diese Summe auf 25 Jahre: 5500 / 25 = 220 erscheint es wenigstens machbar. Wenn man 220 Mrd. pro Jahr auf den Bundeshaushalt von 476 Mrd. bezieht (2024)</w:t>
      </w:r>
      <w:r>
        <w:rPr>
          <w:rStyle w:val="Funotenzeichen"/>
        </w:rPr>
        <w:footnoteReference w:id="2381"/>
      </w:r>
      <w:r>
        <w:t>, erkennt man allerdings, dass dies doch ein großer Betrag ist, auch wenn wir ein BIP von 4305 Mrd. Euro haben.</w:t>
      </w:r>
      <w:r>
        <w:rPr>
          <w:rStyle w:val="Funotenzeichen"/>
        </w:rPr>
        <w:footnoteReference w:id="2382"/>
      </w:r>
      <w:r>
        <w:t xml:space="preserve"> Oft vergisst man auch, dass die Bundesländer noch da sind, die auch einen Teil der Steuern bekommen, die Steuereinnahmen betragen insgesamt 830 Mrd., Bund 314 Mrd., Länder, 355 Mrd. (2021).</w:t>
      </w:r>
      <w:r>
        <w:rPr>
          <w:rStyle w:val="Funotenzeichen"/>
        </w:rPr>
        <w:footnoteReference w:id="2383"/>
      </w:r>
      <w:r>
        <w:t xml:space="preserve"> </w:t>
      </w:r>
    </w:p>
    <w:p w14:paraId="4B21B304" w14:textId="77777777" w:rsidR="00673B9C" w:rsidRDefault="00673B9C" w:rsidP="00673B9C"/>
    <w:p w14:paraId="66DD7425" w14:textId="77777777" w:rsidR="00673B9C" w:rsidRDefault="00673B9C" w:rsidP="00673B9C">
      <w:pPr>
        <w:rPr>
          <w:b/>
          <w:bCs/>
        </w:rPr>
      </w:pPr>
      <w:r w:rsidRPr="00527805">
        <w:rPr>
          <w:b/>
          <w:bCs/>
        </w:rPr>
        <w:t xml:space="preserve">Aber: Diese Summe muss der deutsche Staat </w:t>
      </w:r>
      <w:r>
        <w:rPr>
          <w:b/>
          <w:bCs/>
        </w:rPr>
        <w:t>und</w:t>
      </w:r>
      <w:r w:rsidRPr="00527805">
        <w:rPr>
          <w:b/>
          <w:bCs/>
        </w:rPr>
        <w:t xml:space="preserve"> der deutsche Steuerzahler </w:t>
      </w:r>
      <w:r w:rsidRPr="00DB2A0B">
        <w:rPr>
          <w:b/>
          <w:bCs/>
          <w:u w:val="single"/>
        </w:rPr>
        <w:t>nicht ganz bezahlen!</w:t>
      </w:r>
    </w:p>
    <w:p w14:paraId="58BDAB85" w14:textId="77777777" w:rsidR="00673B9C" w:rsidRDefault="00673B9C" w:rsidP="00673B9C">
      <w:pPr>
        <w:rPr>
          <w:b/>
          <w:bCs/>
        </w:rPr>
      </w:pPr>
      <w:r>
        <w:rPr>
          <w:b/>
          <w:bCs/>
        </w:rPr>
        <w:t>Dies liegt an der Aufteilung der Belastung auf die deutsche Bevölkerung für den Netzausbau und den Redispatch über die Netzentgelte, auf neuartige staatliche Anreize (durch die nicht ‚alles‘ subventioniert wird) für den Aufbau erneuerbarer Energien (seit 2024, davor die Verbraucher über den Strompreis) und auch die Belastung der Industrie, die z.B. nicht ganz bzw. nur teilweise von der Netzumlage befreit sind</w:t>
      </w:r>
      <w:r>
        <w:rPr>
          <w:rStyle w:val="Funotenzeichen"/>
          <w:b/>
          <w:bCs/>
        </w:rPr>
        <w:footnoteReference w:id="2384"/>
      </w:r>
      <w:r>
        <w:rPr>
          <w:b/>
          <w:bCs/>
        </w:rPr>
        <w:t xml:space="preserve"> und die über das Emissionshandelssystem ETS CO2 Rechte kaufen müssen, die an den Staat zurückfließen (75 % BRD, 25 % EU)</w:t>
      </w:r>
    </w:p>
    <w:p w14:paraId="7F6A05B9" w14:textId="77777777" w:rsidR="00673B9C" w:rsidRDefault="00673B9C" w:rsidP="00673B9C">
      <w:pPr>
        <w:rPr>
          <w:b/>
          <w:bCs/>
        </w:rPr>
      </w:pPr>
    </w:p>
    <w:p w14:paraId="216A8671" w14:textId="77777777" w:rsidR="00673B9C" w:rsidRDefault="00673B9C" w:rsidP="00673B9C">
      <w:r>
        <w:t xml:space="preserve">Man fragt sich vor diesem Hintergrund, warum in der Öffentlichkeit das EEG-Gesetz oder der Redispatch so stark kritisiert wird, </w:t>
      </w:r>
      <w:r w:rsidRPr="003558F0">
        <w:rPr>
          <w:u w:val="single"/>
        </w:rPr>
        <w:t xml:space="preserve">denn dies ist </w:t>
      </w:r>
      <w:r>
        <w:rPr>
          <w:u w:val="single"/>
        </w:rPr>
        <w:t xml:space="preserve">erst einmal </w:t>
      </w:r>
      <w:r w:rsidRPr="003558F0">
        <w:rPr>
          <w:u w:val="single"/>
        </w:rPr>
        <w:t>eine gute Idee!</w:t>
      </w:r>
      <w:r>
        <w:t xml:space="preserve"> </w:t>
      </w:r>
    </w:p>
    <w:p w14:paraId="0EB456D3" w14:textId="77777777" w:rsidR="00673B9C" w:rsidRDefault="00673B9C" w:rsidP="00673B9C"/>
    <w:p w14:paraId="377391DA" w14:textId="77777777" w:rsidR="00673B9C" w:rsidRDefault="00673B9C" w:rsidP="00673B9C">
      <w:r>
        <w:t>Die Kosten für den Aufbau der erneuerbaren Energien betrugen wie folgt: Die EEG Kosten für 2023 lagen bei -3,6 Mrd. Euro</w:t>
      </w:r>
      <w:r>
        <w:rPr>
          <w:rStyle w:val="Funotenzeichen"/>
        </w:rPr>
        <w:footnoteReference w:id="2385"/>
      </w:r>
      <w:r>
        <w:t xml:space="preserve">, sie sind im Jahr 2024, als sie erstmal der Staat trägt, stark </w:t>
      </w:r>
      <w:r w:rsidRPr="003558F0">
        <w:t>angestiegen auf 18,49 Mrd</w:t>
      </w:r>
      <w:r>
        <w:t>.</w:t>
      </w:r>
      <w:r>
        <w:rPr>
          <w:rStyle w:val="Funotenzeichen"/>
        </w:rPr>
        <w:footnoteReference w:id="2386"/>
      </w:r>
      <w:r>
        <w:t xml:space="preserve"> </w:t>
      </w:r>
      <w:r w:rsidRPr="001778A7">
        <w:t>Der Au</w:t>
      </w:r>
      <w:r>
        <w:t>f</w:t>
      </w:r>
      <w:r w:rsidRPr="001778A7">
        <w:t xml:space="preserve">bau der erneuerbaren Energien wird </w:t>
      </w:r>
      <w:r>
        <w:t xml:space="preserve">in Zukunft mit </w:t>
      </w:r>
      <w:r w:rsidRPr="001778A7">
        <w:t xml:space="preserve">durch ‚Einspeisevergütungen‘ oder neu ‚Kapazitätszahlungen mit Rückzahlungskomponente‘ durchgeführt (also staatliche Zahlungen auf einem ‚gewissen‘ Niveau), die die Investition in erneuerbare Energien finanziell attraktiver macht, damit private Investoren einen großen Teil des Aufbaus finanzieren. </w:t>
      </w:r>
      <w:r w:rsidRPr="006E5A34">
        <w:t>D</w:t>
      </w:r>
      <w:r>
        <w:t>er Staat hat durch</w:t>
      </w:r>
      <w:r w:rsidRPr="006E5A34">
        <w:t xml:space="preserve"> die Stromsteuer </w:t>
      </w:r>
      <w:r>
        <w:t xml:space="preserve">weiterhin Einnahmen: </w:t>
      </w:r>
      <w:r w:rsidRPr="006E5A34">
        <w:t>2023 6,6 Mrd. Euro.</w:t>
      </w:r>
      <w:r w:rsidRPr="006E5A34">
        <w:rPr>
          <w:rStyle w:val="Funotenzeichen"/>
        </w:rPr>
        <w:footnoteReference w:id="2387"/>
      </w:r>
      <w:r w:rsidRPr="006E5A34">
        <w:t xml:space="preserve"> </w:t>
      </w:r>
    </w:p>
    <w:p w14:paraId="67AF30AF" w14:textId="77777777" w:rsidR="00673B9C" w:rsidRDefault="00673B9C" w:rsidP="00673B9C"/>
    <w:p w14:paraId="46EB9745" w14:textId="77777777" w:rsidR="00673B9C" w:rsidRPr="006E5A34" w:rsidRDefault="00673B9C" w:rsidP="00673B9C">
      <w:r>
        <w:lastRenderedPageBreak/>
        <w:t>Die Kosten für das Management des deutschen Stromsystem betrugen wie folgt: Die Redispatch Kosten lagen auf einem Niveau von 1 Mrd. Euro seit 2015, dann 1,3 Mrd. 2021, 2,8 Mrd. 2022, 2,4 Mrd. 2023, 1,6 Mrd. 2024 (Werte bis Dezember 2024).</w:t>
      </w:r>
      <w:r>
        <w:rPr>
          <w:rStyle w:val="Funotenzeichen"/>
        </w:rPr>
        <w:footnoteReference w:id="2388"/>
      </w:r>
      <w:r>
        <w:t xml:space="preserve"> </w:t>
      </w:r>
      <w:r w:rsidRPr="006E5A34">
        <w:t>Die Offshore-Netzumlage lag 2023 bei 2 Mrd.</w:t>
      </w:r>
      <w:r w:rsidRPr="006E5A34">
        <w:rPr>
          <w:rStyle w:val="Funotenzeichen"/>
        </w:rPr>
        <w:footnoteReference w:id="2389"/>
      </w:r>
      <w:r w:rsidRPr="006E5A34">
        <w:t xml:space="preserve"> (Gesamtaufkommen Netzentgelte findet ich nicht)</w:t>
      </w:r>
    </w:p>
    <w:p w14:paraId="571708E8" w14:textId="77777777" w:rsidR="00673B9C" w:rsidRDefault="00673B9C" w:rsidP="00673B9C">
      <w:pPr>
        <w:rPr>
          <w:b/>
          <w:bCs/>
        </w:rPr>
      </w:pPr>
    </w:p>
    <w:p w14:paraId="5B00E8E3" w14:textId="77777777" w:rsidR="00531E5E" w:rsidRDefault="00531E5E" w:rsidP="00531E5E">
      <w:r>
        <w:t>Die 1467 Offshore Windkraftanlagen bekommen von der Bundesnetzagentur z.B. 3,7 Mrd. Euro jährlich ausgeschüttet, dies sind nach Bierdeckelrechnung 2,5 Mill. Euro pro Anlage und immerhin 50 Mill. pro Anlagen über eine Laufzeit von 20 Jahren und 3,7 Mrd. * 20 Jahre = 74 Mrd.</w:t>
      </w:r>
      <w:r>
        <w:rPr>
          <w:rStyle w:val="Funotenzeichen"/>
        </w:rPr>
        <w:footnoteReference w:id="2390"/>
      </w:r>
      <w:r>
        <w:t xml:space="preserve"> Im Bereich EEG-Umlagen sind für das Gesamtjahr 10,6 Mrd. Euro eingeplant worden, wobei diese der Staat nun übernommen hat.</w:t>
      </w:r>
      <w:r>
        <w:rPr>
          <w:rStyle w:val="Funotenzeichen"/>
        </w:rPr>
        <w:footnoteReference w:id="2391"/>
      </w:r>
      <w:r>
        <w:t xml:space="preserve"> Der Staat wird mit den neuen Ausschreibungen und den neuen Kapazitätszahlungen mit Refinanzierungsbeitrag weitere Verpflichtungen übernehmen. </w:t>
      </w:r>
    </w:p>
    <w:p w14:paraId="4CF3246E" w14:textId="77777777" w:rsidR="00531E5E" w:rsidRDefault="00531E5E" w:rsidP="00531E5E"/>
    <w:p w14:paraId="26C9733E" w14:textId="77777777" w:rsidR="00531E5E" w:rsidRDefault="00531E5E" w:rsidP="00531E5E">
      <w:r>
        <w:t xml:space="preserve">Der Netzausbau wird auf dagegen auf den Strompreis und damit auf die Verbraucher bzw. uns alle umgelegt, siehe oben. </w:t>
      </w:r>
    </w:p>
    <w:p w14:paraId="0CDED0E7" w14:textId="77777777" w:rsidR="00531E5E" w:rsidRDefault="00531E5E" w:rsidP="00673B9C">
      <w:pPr>
        <w:rPr>
          <w:b/>
          <w:bCs/>
        </w:rPr>
      </w:pPr>
    </w:p>
    <w:p w14:paraId="29BD9A21" w14:textId="77777777" w:rsidR="00673B9C" w:rsidRDefault="00673B9C" w:rsidP="00673B9C">
      <w:r>
        <w:rPr>
          <w:b/>
          <w:bCs/>
        </w:rPr>
        <w:t xml:space="preserve">Wie dem auch sei, </w:t>
      </w:r>
      <w:r w:rsidRPr="00673B9C">
        <w:rPr>
          <w:b/>
          <w:bCs/>
          <w:u w:val="single"/>
        </w:rPr>
        <w:t>im Vergleich zu einer vollständigen Subventionierung durch den Staat liegen die Kosten deutlich niedriger, natürlich auch weil sie auf die Bevölkerung verteilt worden sind</w:t>
      </w:r>
      <w:r>
        <w:rPr>
          <w:b/>
          <w:bCs/>
        </w:rPr>
        <w:t xml:space="preserve">. </w:t>
      </w:r>
    </w:p>
    <w:p w14:paraId="69CEA267" w14:textId="77777777" w:rsidR="00673B9C" w:rsidRDefault="00673B9C" w:rsidP="00673B9C"/>
    <w:p w14:paraId="37392F06" w14:textId="70578EBF" w:rsidR="00673B9C" w:rsidRDefault="00673B9C" w:rsidP="00673B9C">
      <w:r>
        <w:t>Klar, man könnte natürlich sagen, die Industrie soll mehr dazugeben … und</w:t>
      </w:r>
      <w:r w:rsidR="00EE442D">
        <w:t xml:space="preserve"> sogar fordert, dass sie</w:t>
      </w:r>
      <w:r>
        <w:t xml:space="preserve"> für ihren Bedarf selbst aufkommen</w:t>
      </w:r>
      <w:r w:rsidR="00EE442D">
        <w:t xml:space="preserve"> sollte</w:t>
      </w:r>
      <w:r>
        <w:t xml:space="preserve">, </w:t>
      </w:r>
      <w:r w:rsidRPr="00BC47E2">
        <w:rPr>
          <w:i/>
          <w:iCs/>
        </w:rPr>
        <w:t>aber auch sie wäre von der Gesamtsumme überfordert … es muss als</w:t>
      </w:r>
      <w:r w:rsidR="00EE442D">
        <w:rPr>
          <w:i/>
          <w:iCs/>
        </w:rPr>
        <w:t>o den Versuch geben, eine gleichmäßige, faire Kostenverteilung zwischen den Gruppen geben, den Bürgern bzw. den Haushalten (wobei es hier Einkommensgruppen gibt, die höhere Belastungen durchaus tragen können, aber ärmere Bevölkerungsschichten, die doppelt betroffen sind),</w:t>
      </w:r>
      <w:r w:rsidRPr="00BC47E2">
        <w:rPr>
          <w:i/>
          <w:iCs/>
        </w:rPr>
        <w:t xml:space="preserve"> dem Staat</w:t>
      </w:r>
      <w:r w:rsidR="00EE442D">
        <w:rPr>
          <w:i/>
          <w:iCs/>
        </w:rPr>
        <w:t xml:space="preserve"> (der natürlich auch Steuern nimmt), der Industrie</w:t>
      </w:r>
      <w:r w:rsidRPr="00BC47E2">
        <w:rPr>
          <w:i/>
          <w:iCs/>
        </w:rPr>
        <w:t xml:space="preserve"> und privaten Finanzinvestoren geben</w:t>
      </w:r>
      <w:r>
        <w:t xml:space="preserve">. </w:t>
      </w:r>
    </w:p>
    <w:p w14:paraId="27CDB859" w14:textId="77777777" w:rsidR="00673B9C" w:rsidRDefault="00673B9C" w:rsidP="00673B9C"/>
    <w:p w14:paraId="1A25E688" w14:textId="77777777" w:rsidR="00673B9C" w:rsidRDefault="00673B9C" w:rsidP="00673B9C">
      <w:r w:rsidRPr="00527805">
        <w:rPr>
          <w:b/>
          <w:bCs/>
        </w:rPr>
        <w:t xml:space="preserve">Kommen noch die Netzausbaukosten dazu, </w:t>
      </w:r>
      <w:r>
        <w:rPr>
          <w:b/>
          <w:bCs/>
        </w:rPr>
        <w:t xml:space="preserve">liegen </w:t>
      </w:r>
      <w:r w:rsidRPr="00527805">
        <w:rPr>
          <w:b/>
          <w:bCs/>
        </w:rPr>
        <w:t xml:space="preserve">diese </w:t>
      </w:r>
      <w:r>
        <w:rPr>
          <w:b/>
          <w:bCs/>
        </w:rPr>
        <w:t xml:space="preserve">allerdings </w:t>
      </w:r>
      <w:r w:rsidRPr="00527805">
        <w:rPr>
          <w:b/>
          <w:bCs/>
        </w:rPr>
        <w:t>recht hoch</w:t>
      </w:r>
      <w:r>
        <w:t>: hier habe ich die Kosten für die derzeitige deutsche Energiewende genommen: 408 Mrd. Netzausbaukosten / 41 Millionen Haushalte in Deutschland</w:t>
      </w:r>
      <w:r>
        <w:rPr>
          <w:rStyle w:val="Funotenzeichen"/>
        </w:rPr>
        <w:footnoteReference w:id="2392"/>
      </w:r>
      <w:r>
        <w:t xml:space="preserve"> = 9951 Euro ist ein großer Betrag, wenn man dies durch 5 Jahre, etwa 2025 bis 2030 teilt, da müsste diese Phase des Netzausbaus mal fertig sein, sind das 1990 Euro pro Jahr, pro Haushalt. Klar: Diese Summe wird für Privathaushalte geringer, weil nicht nur Haushalte, sondern auch Gewerbe und Industrie Strom verbrauchen (private Haushalte kommen wohl auf 30 %, dies wären *0,3 = 597 Euro pro Jahr, das ist aber immer noch recht hoch, davon zahlen Mittelklassehaushalte einen großen Teil, da sie mehr verbrauchen, </w:t>
      </w:r>
      <w:r w:rsidRPr="00CD4D30">
        <w:rPr>
          <w:u w:val="single"/>
        </w:rPr>
        <w:t>aber auch für die ärmeren Haushalte ist es klar eine Belastung</w:t>
      </w:r>
      <w:r>
        <w:t>). Dazu kommt, dass die Privathaushalte jahrelang brav EEG-Umlage und Netzentgelte gezahlt haben und die Industrie etwa teils die EEG-Umlage versucht hat zu umschiffen … und sie fordert für sich ganz niedrigere Strompreise und niedrigere Netzentgelte … dazu kommt, dass man in meinem 3000 TWh Szenario noch mal paar Holzscheite drauf legen muss …  dies hängt aber auch davon ab, wie gut die Bundesnetzagentur plant, und wie offen wir für erneuerbare Energien in der Nähe von Wirtschaftsstandorten sind).</w:t>
      </w:r>
    </w:p>
    <w:p w14:paraId="3B09ABB9" w14:textId="77777777" w:rsidR="00673B9C" w:rsidRDefault="00673B9C" w:rsidP="00673B9C"/>
    <w:p w14:paraId="7D0DBA82" w14:textId="77777777" w:rsidR="00673B9C" w:rsidRDefault="00673B9C" w:rsidP="00673B9C">
      <w:r>
        <w:lastRenderedPageBreak/>
        <w:t>Deshalb kommt es derzeit schon dazu, dass der Staat einen Teil der Netzausbaukosten übernehmen will (dies wird aus Steuergeldern bezahlt, die wiederum Privatpersonen und Wirtschaftsakteure zahlen, Privatpersonen etwas mehr</w:t>
      </w:r>
      <w:r>
        <w:rPr>
          <w:rStyle w:val="Funotenzeichen"/>
        </w:rPr>
        <w:footnoteReference w:id="2393"/>
      </w:r>
      <w:r>
        <w:t xml:space="preserve">, und auf der Seite der Privatpersonen werden Steuern verhältnismäßig mehr von </w:t>
      </w:r>
      <w:proofErr w:type="gramStart"/>
      <w:r>
        <w:t>besser verdienenden</w:t>
      </w:r>
      <w:proofErr w:type="gramEnd"/>
      <w:r>
        <w:t xml:space="preserve"> Oberschichts- und Mittelklassepersonen bezahlt</w:t>
      </w:r>
      <w:r>
        <w:rPr>
          <w:rStyle w:val="Funotenzeichen"/>
        </w:rPr>
        <w:footnoteReference w:id="2394"/>
      </w:r>
      <w:r>
        <w:t xml:space="preserve">). Die Politik will nun die Netzentgelte </w:t>
      </w:r>
      <w:r w:rsidRPr="00A4069C">
        <w:rPr>
          <w:u w:val="single"/>
        </w:rPr>
        <w:t>nicht abschaffen, aber dauerhaft deckeln</w:t>
      </w:r>
      <w:r>
        <w:t xml:space="preserve">: </w:t>
      </w:r>
    </w:p>
    <w:p w14:paraId="12B9196C" w14:textId="77777777" w:rsidR="00673B9C" w:rsidRDefault="00673B9C" w:rsidP="00673B9C"/>
    <w:p w14:paraId="6210F204" w14:textId="77777777" w:rsidR="00673B9C" w:rsidRDefault="00673B9C" w:rsidP="00673B9C">
      <w:r>
        <w:t>Die CDU/SPD-Koalition hat im Koalitionsvertrag vom 9. April 2025 unter dem Punkt ‚Energiepreis‘ für alle (Haushalt, Gewerbe und Industrie) beschlossen, die Stromsteuer auf das europäische Mindestmaß zu senken, Umlagen und Netzentgelte zu reduzieren. Netzentgelte sollen dauerhaft gedeckelt werden. Und für die Industrie: die Strompreiskompensation soll dauerhaft verlängert und auch weitere Branchen aufgeweitet, auch auf Rechenzentren. Weitere energieintensive Firmen sollen mit einem Industriestrompreis entlastet werden. Eine Gasspeicherumlage soll für alle abgeschafft werden.</w:t>
      </w:r>
      <w:r>
        <w:rPr>
          <w:rStyle w:val="Funotenzeichen"/>
        </w:rPr>
        <w:footnoteReference w:id="2395"/>
      </w:r>
      <w:r>
        <w:t xml:space="preserv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3F215C9E" w14:textId="77777777" w:rsidR="00673B9C" w:rsidRDefault="00673B9C" w:rsidP="00673B9C"/>
    <w:p w14:paraId="371B0D40" w14:textId="7DEAF914" w:rsidR="00673B9C" w:rsidRDefault="00673B9C" w:rsidP="00673B9C">
      <w:r>
        <w:t xml:space="preserve">Insgesamt gesehen ist aber nicht erkennbar, dass dies generell </w:t>
      </w:r>
      <w:proofErr w:type="gramStart"/>
      <w:r>
        <w:t>ein schlechte Idee</w:t>
      </w:r>
      <w:proofErr w:type="gramEnd"/>
      <w:r>
        <w:t xml:space="preserve"> ist, so mit der Energiewende umzugehen, es wird - immerhin - parallel dazu versucht, die Wettbewerbsfähigkeit der Industrie durch eine Vielzahl von Entlastungen zu erhalten, jedenfalls besser als wenn sich der Staat mit 1375 Mrd. oder 5500 Mrd. direkt verschuldet.</w:t>
      </w:r>
    </w:p>
    <w:p w14:paraId="7C290B03" w14:textId="77777777" w:rsidR="00EE442D" w:rsidRDefault="00EE442D" w:rsidP="00EE442D"/>
    <w:tbl>
      <w:tblPr>
        <w:tblStyle w:val="Tabellenraster"/>
        <w:tblW w:w="0" w:type="auto"/>
        <w:tblLook w:val="04A0" w:firstRow="1" w:lastRow="0" w:firstColumn="1" w:lastColumn="0" w:noHBand="0" w:noVBand="1"/>
      </w:tblPr>
      <w:tblGrid>
        <w:gridCol w:w="9062"/>
      </w:tblGrid>
      <w:tr w:rsidR="00EE442D" w14:paraId="665B56DA" w14:textId="77777777" w:rsidTr="00725233">
        <w:tc>
          <w:tcPr>
            <w:tcW w:w="9062" w:type="dxa"/>
          </w:tcPr>
          <w:p w14:paraId="4D9859DD" w14:textId="77777777" w:rsidR="00EE442D" w:rsidRDefault="00EE442D" w:rsidP="00725233">
            <w:r>
              <w:t>Ralf Fücks fordert am 15.03.2024, dass man sich über die Kostenverteilung der Energiewende generell gesellschaftlich und politisch neu verständigen solle, wie die Kosten fair verteilt werden können. Er merkt an, dass die Energiewende Kosten verursacht und Unternehmen belastet. Man soll dafür sorgen, dass die Kosten für die Unternehmen nicht zu hoch werden und die Energiewende sozialverträglich bleibt.</w:t>
            </w:r>
            <w:r>
              <w:rPr>
                <w:rStyle w:val="Funotenzeichen"/>
              </w:rPr>
              <w:footnoteReference w:id="2396"/>
            </w:r>
            <w:r>
              <w:t xml:space="preserve"> </w:t>
            </w:r>
          </w:p>
          <w:p w14:paraId="68BC6327" w14:textId="77777777" w:rsidR="00EE442D" w:rsidRDefault="00EE442D" w:rsidP="00725233"/>
          <w:p w14:paraId="1E34B047" w14:textId="603069C6" w:rsidR="00EE442D" w:rsidRDefault="00EE442D" w:rsidP="00725233">
            <w:r>
              <w:t xml:space="preserve">Dazu nur kurz: die Kosten sind nicht ‚alle‘ hoch … Netzausbau geht vielleicht deutlich billiger, wenn mehr Freileitungen gebaut werden (die noch vor einigen Jahren ziemlich billig waren), der Umbau der Industrie ist, siehe gleich unten, vielleicht gar nicht so teuer, die erneuerbaren Energien sind teuer und führen zu relativ hohen Strompreisen, aber hier wirken die staatlichen EEG bzw. nun Kapazitätszahlungen entgegen, die Wasserstoffgaskraftwerke kosten etwas, laufen aber z.B. in einem milden Winter kaum und dies spart Kosten, selbst wenn sie staatlich garantierte Gelder bekommen … auch die Produktion z.B. von Windrädern könnte noch deutlich mehr rationalisiert werden … bei Elektrolyseuren beginnt derzeit die Massenfertigung … es gibt also bei aller Besorgnis über Kostensteigerungen auch noch die Möglichkeit, dass es auch Kostensenkungen geben könnte, man sollte das heterogene Bild sehen!!!!! </w:t>
            </w:r>
          </w:p>
        </w:tc>
      </w:tr>
    </w:tbl>
    <w:p w14:paraId="476EAE7F" w14:textId="77777777" w:rsidR="00EE442D" w:rsidRDefault="00EE442D" w:rsidP="0052049D"/>
    <w:p w14:paraId="2EB1B81D" w14:textId="6A0C3357" w:rsidR="006D6AEF" w:rsidRDefault="009B266E" w:rsidP="0052049D">
      <w:r>
        <w:t xml:space="preserve">Es gibt </w:t>
      </w:r>
      <w:r w:rsidR="00C66D1E">
        <w:t>also nicht</w:t>
      </w:r>
      <w:r>
        <w:t xml:space="preserve"> nur</w:t>
      </w:r>
      <w:r w:rsidR="000815E5">
        <w:t xml:space="preserve"> d</w:t>
      </w:r>
      <w:r w:rsidR="002B7140">
        <w:t xml:space="preserve">irekte </w:t>
      </w:r>
      <w:r w:rsidR="003B68DA">
        <w:t>Subventionen</w:t>
      </w:r>
      <w:r w:rsidR="000815E5">
        <w:t xml:space="preserve">, sondern eine Vielzahl von Möglichkeiten, bei denen </w:t>
      </w:r>
      <w:r w:rsidR="000045D2">
        <w:t xml:space="preserve">private Investoren investieren und </w:t>
      </w:r>
      <w:r w:rsidR="000815E5">
        <w:t>der Staat nur noch Teilbeträge zahlt</w:t>
      </w:r>
      <w:r w:rsidR="000045D2">
        <w:t xml:space="preserve">, um eine bestimmte Höhe der Rendite zu garantieren, wobei der Staat nur dann zahlt, wenn </w:t>
      </w:r>
      <w:r w:rsidR="00B60F10">
        <w:t>zum Beispiel ein</w:t>
      </w:r>
      <w:r w:rsidR="000045D2">
        <w:t xml:space="preserve"> </w:t>
      </w:r>
      <w:r w:rsidR="00DA30C3">
        <w:t>‚Referenzpreis‘ unterschritten wird</w:t>
      </w:r>
      <w:r w:rsidR="00B60F10">
        <w:t>.</w:t>
      </w:r>
      <w:r w:rsidR="000815E5">
        <w:t xml:space="preserve"> </w:t>
      </w:r>
      <w:r w:rsidR="00B60F10">
        <w:t>W</w:t>
      </w:r>
      <w:r w:rsidR="00DA30C3">
        <w:t xml:space="preserve">ird er dagegen überschritten, machen die Firmen höhere Gewinne und bei </w:t>
      </w:r>
      <w:r w:rsidR="000815E5">
        <w:t xml:space="preserve">zu </w:t>
      </w:r>
      <w:r w:rsidR="000815E5">
        <w:lastRenderedPageBreak/>
        <w:t xml:space="preserve">hohen Gewinnen </w:t>
      </w:r>
      <w:r w:rsidR="00DA30C3">
        <w:t xml:space="preserve">sollen diese (neuerdings) </w:t>
      </w:r>
      <w:r w:rsidR="000815E5">
        <w:t>an den Staat zurück</w:t>
      </w:r>
      <w:r w:rsidR="00DA30C3">
        <w:t>ge</w:t>
      </w:r>
      <w:r w:rsidR="000815E5">
        <w:t>zahl</w:t>
      </w:r>
      <w:r w:rsidR="00DA30C3">
        <w:t>t werden</w:t>
      </w:r>
      <w:r>
        <w:t xml:space="preserve">. </w:t>
      </w:r>
      <w:r w:rsidR="006D6AEF">
        <w:t>Dass es eine Rückzahlung bei hohen Gewinnen geben muss, ist nun europarechtlich erforderlich (</w:t>
      </w:r>
      <w:proofErr w:type="spellStart"/>
      <w:r w:rsidR="006D6AEF">
        <w:t>claw</w:t>
      </w:r>
      <w:proofErr w:type="spellEnd"/>
      <w:r w:rsidR="006D6AEF">
        <w:t xml:space="preserve">-back </w:t>
      </w:r>
      <w:proofErr w:type="spellStart"/>
      <w:r w:rsidR="006D6AEF">
        <w:t>clause</w:t>
      </w:r>
      <w:proofErr w:type="spellEnd"/>
      <w:r w:rsidR="006D6AEF">
        <w:t>).</w:t>
      </w:r>
      <w:r w:rsidR="006D6AEF">
        <w:rPr>
          <w:rStyle w:val="Funotenzeichen"/>
        </w:rPr>
        <w:footnoteReference w:id="2397"/>
      </w:r>
      <w:r w:rsidR="006D6AEF">
        <w:t xml:space="preserve"> </w:t>
      </w:r>
    </w:p>
    <w:p w14:paraId="20F1BB89" w14:textId="77777777" w:rsidR="006D6AEF" w:rsidRDefault="006D6AEF" w:rsidP="0052049D"/>
    <w:p w14:paraId="42DBD57C" w14:textId="0AD321D0" w:rsidR="006D6AEF" w:rsidRDefault="006D6AEF" w:rsidP="0052049D">
      <w:r>
        <w:t xml:space="preserve">Dafür dass sich der Staat </w:t>
      </w:r>
      <w:r w:rsidR="00B60F10">
        <w:t xml:space="preserve">bei erneuerbaren Energien </w:t>
      </w:r>
      <w:r>
        <w:t>einmischt, wird eine ganze Listen von Gründe angeführt wird: Erlösunsicherheiten, durch die Fristeninkongruenz, sprich lange Kreditlaufzeiten, etwa 15 Jahren und nur 1-3 Jahre Stromkaufverträge, Erlösunsicherheiten durch den Gleichzeitigkeitseffekt, z.B. absinkende Strompreise wenn alles Solarparks gleichzeitig produzieren, Unsicherheiten durch die Politik, es gibt zudem Standorte mit weniger hohen Erlösen, Kapitalmärkte sind risikoscheu, Anreizinstrumente werden auch generell damit begründet, niedrige Stromgestehungskosten erzielen und die Energiewende beschleunigen zu wollen</w:t>
      </w:r>
      <w:r w:rsidR="00B85616">
        <w:t xml:space="preserve"> (BMWK Strommarktdesign der Zukunft 2024)</w:t>
      </w:r>
      <w:r>
        <w:t>.</w:t>
      </w:r>
      <w:r>
        <w:rPr>
          <w:rStyle w:val="Funotenzeichen"/>
        </w:rPr>
        <w:footnoteReference w:id="2398"/>
      </w:r>
    </w:p>
    <w:p w14:paraId="55281061" w14:textId="77777777" w:rsidR="006D6AEF" w:rsidRDefault="006D6AEF" w:rsidP="0052049D"/>
    <w:p w14:paraId="4DB21570" w14:textId="60C4D7D7" w:rsidR="006D6AEF" w:rsidRDefault="006D6AEF" w:rsidP="006D6AEF">
      <w:r>
        <w:t>Beispiel: Für den Solarpark Barth Flughafen wurden oben schon ausgerechnet</w:t>
      </w:r>
      <w:r w:rsidRPr="006D6AEF">
        <w:t>, dass man hier bei einer Kreditlaufzeit von 20 Jahren gerade so einen Strompreis von 15 Cent anbieten kann</w:t>
      </w:r>
      <w:r>
        <w:t xml:space="preserve"> und bei Werder </w:t>
      </w:r>
      <w:proofErr w:type="spellStart"/>
      <w:r>
        <w:t>Kessin</w:t>
      </w:r>
      <w:proofErr w:type="spellEnd"/>
      <w:r>
        <w:t xml:space="preserve"> bei einer Kreditlaufzeit von 10 Jahren 15 Cent / kWh realisieren könnte, </w:t>
      </w:r>
      <w:r w:rsidRPr="006D6AEF">
        <w:t xml:space="preserve">bei 20 Jahren Kreditlaufzeit gingen auch 7 Cent / kWh. </w:t>
      </w:r>
      <w:r>
        <w:t xml:space="preserve">Man braucht also offenkundig Kreditlaufzeiten oberhalb von 10 Jahre, um zu erträglichen Strompreisen zu kommen, dies ist der Grund, warum eine solche Projektfinanzierung weder den Banken und noch den Projektbetreibern Spaß macht. </w:t>
      </w:r>
    </w:p>
    <w:p w14:paraId="49053942" w14:textId="77777777" w:rsidR="006D6AEF" w:rsidRDefault="006D6AEF" w:rsidP="0052049D"/>
    <w:p w14:paraId="2D164F59" w14:textId="63F76369" w:rsidR="001E0E3D" w:rsidRDefault="001E0E3D" w:rsidP="0052049D">
      <w:r>
        <w:t xml:space="preserve">In solchen Fällen können Investitionskostenzuschüsse oder Betriebskostenzuschüsse helfen die Kreditlaufzeiten zu verkürzen. In den USA wurden im Inflation </w:t>
      </w:r>
      <w:proofErr w:type="spellStart"/>
      <w:r>
        <w:t>Reduction</w:t>
      </w:r>
      <w:proofErr w:type="spellEnd"/>
      <w:r>
        <w:t xml:space="preserve"> Act Steuergutschriften eingesetzt, die wie ein Bar-Zuschuss zu den operativen Kosten wirken. Diese Steuergutschriften würden aber der </w:t>
      </w:r>
      <w:proofErr w:type="gramStart"/>
      <w:r>
        <w:t>EU Beihilfekontrolle</w:t>
      </w:r>
      <w:proofErr w:type="gramEnd"/>
      <w:r>
        <w:t xml:space="preserve"> widersprechen, hier wurden bereits über eine mögliche Reform diskutiert.</w:t>
      </w:r>
      <w:r>
        <w:rPr>
          <w:rStyle w:val="Funotenzeichen"/>
        </w:rPr>
        <w:footnoteReference w:id="2399"/>
      </w:r>
      <w:r>
        <w:t xml:space="preserve"> </w:t>
      </w:r>
    </w:p>
    <w:p w14:paraId="26152617" w14:textId="77777777" w:rsidR="001E0E3D" w:rsidRDefault="001E0E3D" w:rsidP="0052049D"/>
    <w:p w14:paraId="4199859B" w14:textId="31B05234" w:rsidR="0052049D" w:rsidRPr="0052049D" w:rsidRDefault="00DA30C3" w:rsidP="0052049D">
      <w:r>
        <w:t>N</w:t>
      </w:r>
      <w:r w:rsidR="00D53F02">
        <w:t>ach dem Auslaufen de</w:t>
      </w:r>
      <w:r w:rsidR="00183EDF">
        <w:t>r</w:t>
      </w:r>
      <w:r w:rsidR="00D53F02">
        <w:t xml:space="preserve"> EEG</w:t>
      </w:r>
      <w:r w:rsidR="00183EDF">
        <w:t>-Einspeisevergütung</w:t>
      </w:r>
      <w:r w:rsidR="00D53F02">
        <w:t xml:space="preserve">, </w:t>
      </w:r>
      <w:r>
        <w:t>wird nun eine</w:t>
      </w:r>
      <w:r w:rsidR="00183EDF">
        <w:t xml:space="preserve"> </w:t>
      </w:r>
      <w:r w:rsidR="008859AD">
        <w:t>festgelegte</w:t>
      </w:r>
      <w:r w:rsidR="00D53F02">
        <w:t xml:space="preserve"> Kapazitätszahlung mit Refinanzierungsbeitrag</w:t>
      </w:r>
      <w:r>
        <w:t xml:space="preserve"> für erneuerbare Energieprojekte favorisiert, hier wird langfristig ein bestimmter Betrag vom Staat bezahlt</w:t>
      </w:r>
      <w:r w:rsidR="00C66D1E">
        <w:t>, die die „Wirtschaftlichkeitslücke“ schließt</w:t>
      </w:r>
      <w:r>
        <w:t>, und man muss sehen, dass der Refinanzierungsbeitrag nicht zu schnell fällig wird</w:t>
      </w:r>
      <w:r w:rsidR="00C66D1E">
        <w:t>, Vorteil ist hier, dass man keinen Anreiz hat, bei negativen Preisen die Anlage weiterlaufen zu lassen und man braucht hier keine komplizierten Regelungen dafür</w:t>
      </w:r>
      <w:r w:rsidR="00B85616">
        <w:t xml:space="preserve"> (BMWK Strommarktdesign der Zukunft 2024)</w:t>
      </w:r>
      <w:r w:rsidR="000815E5">
        <w:t>.</w:t>
      </w:r>
      <w:r w:rsidR="00C66D1E">
        <w:rPr>
          <w:rStyle w:val="Funotenzeichen"/>
        </w:rPr>
        <w:footnoteReference w:id="2400"/>
      </w:r>
      <w:r w:rsidR="000815E5">
        <w:t xml:space="preserve"> </w:t>
      </w:r>
      <w:r w:rsidR="0052049D">
        <w:t xml:space="preserve">Ein weiteres Beispiel wären sog. Differenzverträge </w:t>
      </w:r>
      <w:proofErr w:type="spellStart"/>
      <w:r w:rsidR="0052049D">
        <w:t>Contracts</w:t>
      </w:r>
      <w:proofErr w:type="spellEnd"/>
      <w:r w:rsidR="0052049D">
        <w:t xml:space="preserve"> </w:t>
      </w:r>
      <w:proofErr w:type="spellStart"/>
      <w:r w:rsidR="0052049D">
        <w:t>of</w:t>
      </w:r>
      <w:proofErr w:type="spellEnd"/>
      <w:r w:rsidR="0052049D">
        <w:t xml:space="preserve"> </w:t>
      </w:r>
      <w:proofErr w:type="spellStart"/>
      <w:r w:rsidR="0052049D">
        <w:t>Difference</w:t>
      </w:r>
      <w:proofErr w:type="spellEnd"/>
      <w:r w:rsidR="0052049D">
        <w:t xml:space="preserve"> </w:t>
      </w:r>
      <w:proofErr w:type="spellStart"/>
      <w:r w:rsidR="0052049D">
        <w:t>CfD</w:t>
      </w:r>
      <w:proofErr w:type="spellEnd"/>
      <w:r w:rsidR="008859AD">
        <w:t xml:space="preserve">, etwa ein zweiseitiger Differenzvertrag, mit einem Referenzmarktpreis. Liegen die Preise darunter, zahlt der Staat dazu, liegen die Preise höher, </w:t>
      </w:r>
      <w:r w:rsidR="00CA78DE">
        <w:t xml:space="preserve">muss an den Staat (neuerdings) zurückgezahlt werden. Beim Kapazitätsmechanismus werden mehrere Optionen diskutiert, etwa ein Spitzenpreis Hedging, ergänzt durch </w:t>
      </w:r>
      <w:r w:rsidR="000045D2">
        <w:t xml:space="preserve">einen staatlichen Mindestpreis beim Verkauf. Oder ein dezentraler Kapazitätsmarkt, bei dem die Energieversorger verantwortlich sind ihre Stromlieferungen abzusichern, wobei die Absicherung auf Leistung z.B. MW ausgeweitet wird, um diese Absicherung durchführen zu können, müssen sie (wasserstofffähige) Kraftwerke bauen oder </w:t>
      </w:r>
      <w:proofErr w:type="gramStart"/>
      <w:r w:rsidR="000045D2">
        <w:t>von anderen Zertifikate</w:t>
      </w:r>
      <w:proofErr w:type="gramEnd"/>
      <w:r w:rsidR="000045D2">
        <w:t xml:space="preserve"> kaufen, die über solche Kraftwerke verfügen, wobei die Übertragungsnetzbetreiber überprüfen, ob dies alles funktioniert. </w:t>
      </w:r>
      <w:r w:rsidR="00CA78DE">
        <w:t xml:space="preserve">Ausführlich hierzu: </w:t>
      </w:r>
      <w:proofErr w:type="gramStart"/>
      <w:r w:rsidR="00CA78DE">
        <w:t>BMWK Strommarktdesign</w:t>
      </w:r>
      <w:proofErr w:type="gramEnd"/>
      <w:r w:rsidR="00CA78DE">
        <w:t xml:space="preserve"> der Zukunft 2024.</w:t>
      </w:r>
      <w:r w:rsidR="00CA78DE">
        <w:rPr>
          <w:rStyle w:val="Funotenzeichen"/>
        </w:rPr>
        <w:footnoteReference w:id="2401"/>
      </w:r>
      <w:r w:rsidR="000045D2">
        <w:t xml:space="preserve"> Eine Sammlung solcher</w:t>
      </w:r>
      <w:r w:rsidR="0052049D">
        <w:t xml:space="preserve"> </w:t>
      </w:r>
      <w:r w:rsidR="0052049D" w:rsidRPr="0052049D">
        <w:t>Instrumente</w:t>
      </w:r>
      <w:r w:rsidR="000045D2">
        <w:t xml:space="preserve"> wurde</w:t>
      </w:r>
      <w:r w:rsidR="0052049D">
        <w:t xml:space="preserve"> von der</w:t>
      </w:r>
      <w:r w:rsidR="0052049D" w:rsidRPr="0052049D">
        <w:t xml:space="preserve"> IEA </w:t>
      </w:r>
      <w:r w:rsidR="0052049D">
        <w:t xml:space="preserve">in </w:t>
      </w:r>
      <w:r w:rsidR="0052049D" w:rsidRPr="0052049D">
        <w:t>eine</w:t>
      </w:r>
      <w:r w:rsidR="0052049D">
        <w:t>r</w:t>
      </w:r>
      <w:r w:rsidR="0052049D" w:rsidRPr="0052049D">
        <w:t xml:space="preserve"> Policy Toolbox </w:t>
      </w:r>
      <w:proofErr w:type="spellStart"/>
      <w:r w:rsidR="0052049D" w:rsidRPr="0052049D">
        <w:t>for</w:t>
      </w:r>
      <w:proofErr w:type="spellEnd"/>
      <w:r w:rsidR="0052049D" w:rsidRPr="0052049D">
        <w:t xml:space="preserve"> Industrial </w:t>
      </w:r>
      <w:proofErr w:type="spellStart"/>
      <w:r w:rsidR="0052049D" w:rsidRPr="0052049D">
        <w:t>Decarbonization</w:t>
      </w:r>
      <w:proofErr w:type="spellEnd"/>
      <w:r w:rsidR="0052049D" w:rsidRPr="0052049D">
        <w:t xml:space="preserve"> 202</w:t>
      </w:r>
      <w:r w:rsidR="0052049D">
        <w:t xml:space="preserve">5 </w:t>
      </w:r>
      <w:r w:rsidR="000045D2">
        <w:t>zusammengestellt</w:t>
      </w:r>
      <w:r w:rsidR="0052049D">
        <w:t>.</w:t>
      </w:r>
      <w:r w:rsidR="0052049D">
        <w:rPr>
          <w:rStyle w:val="Funotenzeichen"/>
        </w:rPr>
        <w:footnoteReference w:id="2402"/>
      </w:r>
      <w:r w:rsidR="00B85616">
        <w:t xml:space="preserve"> Eine </w:t>
      </w:r>
      <w:r w:rsidR="007E007E">
        <w:lastRenderedPageBreak/>
        <w:t xml:space="preserve">sehr </w:t>
      </w:r>
      <w:r w:rsidR="00B85616">
        <w:t xml:space="preserve">gute Diskussion von Industriepolitik für erneuerbare Energien generell und von Anreizinstrumenten finden sich in Dena </w:t>
      </w:r>
      <w:proofErr w:type="spellStart"/>
      <w:r w:rsidR="00B85616">
        <w:t>StiPE</w:t>
      </w:r>
      <w:proofErr w:type="spellEnd"/>
      <w:r w:rsidR="00B85616">
        <w:t xml:space="preserve"> 2022.</w:t>
      </w:r>
      <w:r w:rsidR="00B85616">
        <w:rPr>
          <w:rStyle w:val="Funotenzeichen"/>
        </w:rPr>
        <w:footnoteReference w:id="2403"/>
      </w:r>
    </w:p>
    <w:p w14:paraId="2CFCBD11" w14:textId="77777777" w:rsidR="00A405C4" w:rsidRDefault="00A405C4" w:rsidP="004B2396"/>
    <w:p w14:paraId="6BBD37FC" w14:textId="30EDC71F" w:rsidR="000815E5" w:rsidRDefault="000815E5" w:rsidP="004B2396">
      <w:r>
        <w:t xml:space="preserve">Dazu </w:t>
      </w:r>
      <w:r w:rsidR="00C66D1E">
        <w:t xml:space="preserve">kommt die Möglichkeit, dass etwa </w:t>
      </w:r>
      <w:r>
        <w:t xml:space="preserve">die Europäische Investitionsbank EIB und </w:t>
      </w:r>
      <w:r w:rsidR="00C66D1E">
        <w:t>nationale Entwicklungsbanken, in</w:t>
      </w:r>
      <w:r>
        <w:t xml:space="preserve"> Deutschland die KfW, </w:t>
      </w:r>
      <w:proofErr w:type="gramStart"/>
      <w:r>
        <w:t>die zinsgünstigste Darlehen</w:t>
      </w:r>
      <w:proofErr w:type="gramEnd"/>
      <w:r>
        <w:t xml:space="preserve"> vergeben können, teils mit Garantien vom Staat im Hintergrund, auch Bundesländer </w:t>
      </w:r>
      <w:r w:rsidR="00C66D1E">
        <w:t xml:space="preserve">verfügen teils noch über Landesbanken und </w:t>
      </w:r>
      <w:r>
        <w:t xml:space="preserve">können </w:t>
      </w:r>
      <w:r w:rsidR="00C66D1E">
        <w:t xml:space="preserve">dafür sorgen, dass Kredite und </w:t>
      </w:r>
      <w:r>
        <w:t>Garantien vergeben</w:t>
      </w:r>
      <w:r w:rsidR="00C66D1E">
        <w:t xml:space="preserve"> werden</w:t>
      </w:r>
      <w:r>
        <w:t>.</w:t>
      </w:r>
      <w:r w:rsidR="000D2AA3">
        <w:t xml:space="preserve"> Der Dena </w:t>
      </w:r>
      <w:proofErr w:type="spellStart"/>
      <w:r w:rsidR="000D2AA3">
        <w:t>StiPE</w:t>
      </w:r>
      <w:proofErr w:type="spellEnd"/>
      <w:r w:rsidR="000D2AA3">
        <w:t xml:space="preserve"> Bericht 2022 schlägt hier auch eine Lockerung der Bedingungen vor, etwa hinsichtlich der Sicherheiten.</w:t>
      </w:r>
      <w:r w:rsidR="000D2AA3">
        <w:rPr>
          <w:rStyle w:val="Funotenzeichen"/>
        </w:rPr>
        <w:footnoteReference w:id="2404"/>
      </w:r>
      <w:r>
        <w:t xml:space="preserve"> </w:t>
      </w:r>
      <w:r w:rsidR="007E007E">
        <w:t>Aus der Sicht der Solarindustrie ist dies aber oft nicht genügend, um wirklich den erneuten Aufbau von Industrie zu ermöglichen, auch weil das Volumen nicht hoch genug ist. Problem sei das Eigenkapital, vorgeschlagen wird deshalb eine Eigenkapitalbeteiligungsprogramm.</w:t>
      </w:r>
      <w:r w:rsidR="007E007E">
        <w:rPr>
          <w:rStyle w:val="Funotenzeichen"/>
        </w:rPr>
        <w:footnoteReference w:id="2405"/>
      </w:r>
      <w:r w:rsidR="007E007E">
        <w:t xml:space="preserve"> Vorgeschlagen werden auch Steuererleichterungen wie der Inflation </w:t>
      </w:r>
      <w:proofErr w:type="spellStart"/>
      <w:r w:rsidR="007E007E">
        <w:t>Reduction</w:t>
      </w:r>
      <w:proofErr w:type="spellEnd"/>
      <w:r w:rsidR="007E007E">
        <w:t xml:space="preserve"> Act in den USA.</w:t>
      </w:r>
      <w:r w:rsidR="007E007E">
        <w:rPr>
          <w:rStyle w:val="Funotenzeichen"/>
        </w:rPr>
        <w:footnoteReference w:id="2406"/>
      </w:r>
      <w:r w:rsidR="000D2AA3">
        <w:t xml:space="preserve"> Auch Sonderabschreibungen werden erwähnt, etwa 80 % im ersten Jahr, 20 % im zweiten Jahr, dadurch wird die Liquidität des Unternehmens kurzfristig erhöht.</w:t>
      </w:r>
      <w:r w:rsidR="000D2AA3">
        <w:rPr>
          <w:rStyle w:val="Funotenzeichen"/>
        </w:rPr>
        <w:footnoteReference w:id="2407"/>
      </w:r>
    </w:p>
    <w:p w14:paraId="77C331AE" w14:textId="77777777" w:rsidR="006D6AEF" w:rsidRDefault="006D6AEF" w:rsidP="006D6AEF"/>
    <w:p w14:paraId="4719F8A3" w14:textId="4C814F2B" w:rsidR="000D2AA3" w:rsidRDefault="000D2AA3" w:rsidP="000D2AA3">
      <w:r>
        <w:t>In diesem Zusammenhang fü</w:t>
      </w:r>
      <w:r w:rsidR="005E2FEA">
        <w:t>h</w:t>
      </w:r>
      <w:r>
        <w:t>r</w:t>
      </w:r>
      <w:r w:rsidR="005E2FEA">
        <w:t>t</w:t>
      </w:r>
      <w:r>
        <w:t xml:space="preserve"> der Dena </w:t>
      </w:r>
      <w:proofErr w:type="spellStart"/>
      <w:r>
        <w:t>StiPE</w:t>
      </w:r>
      <w:proofErr w:type="spellEnd"/>
      <w:r>
        <w:t xml:space="preserve">-Bericht 2022 folgendes aus: „Eigenkapitalähnliche Hybridinstrumente. Bei hybrider oder </w:t>
      </w:r>
      <w:proofErr w:type="spellStart"/>
      <w:r>
        <w:t>mezzaniner</w:t>
      </w:r>
      <w:proofErr w:type="spellEnd"/>
      <w:r>
        <w:t xml:space="preserve"> Finanzierung akquiriert ein Unternehmen Kapital, das sowohl Fremd- als auch Eigenkapitalcharakter hat. Dies gilt beispielsweise für Stille Einlagen, Genussscheine oder Nachrangdarlehen, wobei eine flexible individuelle Vertragsausgestaltung eine eindeutige Zuordnung nicht immer möglich macht. Kapitalgeber könnten zum Beispiel der Staat oder öffentliche Beteiligungsgesellschaften sein. Das Instrument könnte den Unternehmen durch eine gestärkte Eigenkapitalbasis auch bessere Finanzierungsmöglichkeiten am (Fremd-)Kapitalmarkt verschaffen und hätte damit eine Hebelwirkung. Die </w:t>
      </w:r>
      <w:proofErr w:type="spellStart"/>
      <w:r>
        <w:t>dena</w:t>
      </w:r>
      <w:proofErr w:type="spellEnd"/>
      <w:r>
        <w:t xml:space="preserve"> hat im Rahmen eines Projekts für das BMWK (Referat I D 3) geprüft, inwieweit ein hybrides Finanzierungsinstrument eine sinnvolle Fördermaßnahme zur Dekarbonisierung energieintensiver Unternehmen sein kann. Wesentlicher Baustein des Projekts war die Befragung von Unternehmen verschiedener Größe und unterschiedlicher Branchen. Das Instrument wurde von der Mehrzahl der Beteiligten begrüßt und könne ihnen zufolge ein wichtiges Instrument für eine (schnellere) Kapitalaufnahme sein und damit Investments ermöglichen oder beschleunigen. Die Fremdkapitalakquise dauere mitunter zu lange oder sei gar nicht möglich.“</w:t>
      </w:r>
      <w:r>
        <w:rPr>
          <w:rStyle w:val="Funotenzeichen"/>
        </w:rPr>
        <w:footnoteReference w:id="2408"/>
      </w:r>
    </w:p>
    <w:p w14:paraId="0801295D" w14:textId="77777777" w:rsidR="000D2AA3" w:rsidRDefault="000D2AA3" w:rsidP="006D6AEF"/>
    <w:p w14:paraId="63EE7E94" w14:textId="15238157" w:rsidR="00EB3080" w:rsidRDefault="00FF79AE" w:rsidP="006D6AEF">
      <w:bookmarkStart w:id="123" w:name="_Hlk200399012"/>
      <w:r>
        <w:t xml:space="preserve">Vorgeschlagen werden staatliche Bürgschaften für Hersteller von Windenergieanlagen, etwa ab Erhalt der Genehmigung, beim Genehmigungsverfahren oder beim Vorliegen des Zuschlags bei der Ausschreibung, damit sie </w:t>
      </w:r>
      <w:r w:rsidR="00EB3080">
        <w:t xml:space="preserve">vorproduzieren können und dann nach einer Auktion sofort mit der Errichtung beginnen können oder damit </w:t>
      </w:r>
      <w:r>
        <w:t>beim Hochfahren der Produktion von ihren Zulieferern sorglos bestellen können.</w:t>
      </w:r>
      <w:r>
        <w:rPr>
          <w:rStyle w:val="Funotenzeichen"/>
        </w:rPr>
        <w:footnoteReference w:id="2409"/>
      </w:r>
      <w:r>
        <w:t xml:space="preserve"> </w:t>
      </w:r>
      <w:r w:rsidR="00511B31">
        <w:t>Es wurde auch darüber diskutiert, ob es sinnvoll ist eine staatliche Abnahmegarantie zu etabliert, damit Windenergieanlagen nicht projektbasiert, sondern in Massenproduktion kontinuierlich gefertigt werden können.</w:t>
      </w:r>
      <w:r w:rsidR="00511B31">
        <w:rPr>
          <w:rStyle w:val="Funotenzeichen"/>
        </w:rPr>
        <w:footnoteReference w:id="2410"/>
      </w:r>
    </w:p>
    <w:bookmarkEnd w:id="123"/>
    <w:p w14:paraId="35E67CB4" w14:textId="77777777" w:rsidR="00EB3080" w:rsidRDefault="00EB3080" w:rsidP="006D6AEF"/>
    <w:tbl>
      <w:tblPr>
        <w:tblStyle w:val="Tabellenraster"/>
        <w:tblW w:w="0" w:type="auto"/>
        <w:tblLook w:val="04A0" w:firstRow="1" w:lastRow="0" w:firstColumn="1" w:lastColumn="0" w:noHBand="0" w:noVBand="1"/>
      </w:tblPr>
      <w:tblGrid>
        <w:gridCol w:w="9062"/>
      </w:tblGrid>
      <w:tr w:rsidR="00EB3080" w14:paraId="6A2710D8" w14:textId="77777777">
        <w:tc>
          <w:tcPr>
            <w:tcW w:w="9062" w:type="dxa"/>
          </w:tcPr>
          <w:p w14:paraId="12588D07" w14:textId="2707FA1A" w:rsidR="00EB3080" w:rsidRDefault="00EB3080" w:rsidP="006D6AEF">
            <w:r>
              <w:lastRenderedPageBreak/>
              <w:t>Siemens Gamesa bzw. Siemens Energy hatte 2023 staatliche Garantien bekommen, und zwar sehr hohe Summen, eine Bürgschaft von 7,5 Mrd. Euro. Damit konnten Bestellungen von Teilen für zukünftige Aufträge vorgenommen werden, obwohl der Siemens Teil Gamesa in der Krise war und dadurch ein Verlust von 4,6 Mrd. Euro gemacht wurde. Der Auftragsbestand lag bei 112 Mrd. Der Bund übernahm eine Bürgschaft von 7,5 Mrd. Euro, Banken 11 Mrd. Euro.</w:t>
            </w:r>
            <w:r>
              <w:rPr>
                <w:rStyle w:val="Funotenzeichen"/>
              </w:rPr>
              <w:footnoteReference w:id="2411"/>
            </w:r>
            <w:r>
              <w:t xml:space="preserve">  </w:t>
            </w:r>
            <w:r w:rsidR="00921A10">
              <w:t>Siemens Energy, die konnten durch die guten Geschäfte, u.a. siehe oben die Transformatoren, die 11 Mrd. Garantievereinbarung / Fazilität, die die Bundesregierung mitsamt von Banken garantiert hatte, abgelöst und eine neue 9 Mrd. Garantie mit der Laufzeit von 5 Jahren bekommen, die nur noch von Banken garantiert wird.</w:t>
            </w:r>
            <w:r w:rsidR="00921A10">
              <w:rPr>
                <w:rStyle w:val="Funotenzeichen"/>
              </w:rPr>
              <w:footnoteReference w:id="2412"/>
            </w:r>
            <w:r w:rsidR="00921A10">
              <w:t xml:space="preserve"> Siehe auch diesen FAZ-Artikel.</w:t>
            </w:r>
            <w:r w:rsidR="00921A10">
              <w:rPr>
                <w:rStyle w:val="Funotenzeichen"/>
              </w:rPr>
              <w:footnoteReference w:id="2413"/>
            </w:r>
          </w:p>
        </w:tc>
      </w:tr>
    </w:tbl>
    <w:p w14:paraId="31650F95" w14:textId="4F7AD266" w:rsidR="00FF79AE" w:rsidRDefault="00FF79AE" w:rsidP="006D6AEF">
      <w:r>
        <w:t xml:space="preserve"> </w:t>
      </w:r>
    </w:p>
    <w:p w14:paraId="420DDE8E" w14:textId="7108E101" w:rsidR="00FF79AE" w:rsidRDefault="00EB3080" w:rsidP="006D6AEF">
      <w:r>
        <w:t>Staatliche Bürgschaften können auch sinnvoll bei großen Offshore-Projekten eingesetzt werden, wenn ein Unternehmen für andere Partner die gesamtschuldnerische Haftung übernimmt.</w:t>
      </w:r>
      <w:r>
        <w:rPr>
          <w:rStyle w:val="Funotenzeichen"/>
        </w:rPr>
        <w:footnoteReference w:id="2414"/>
      </w:r>
      <w:r w:rsidR="007E007E">
        <w:t xml:space="preserve"> Beim Thema Solar wird deutlich, dass z.B. ein Top-Runner-Programm, das hohe Moduleffizienz bei Ausschreibungen belohnt, jetzt nicht mehr funktioniert, da China nun auch solche hochwertigen Zellen herstellen kann.</w:t>
      </w:r>
      <w:r w:rsidR="007E007E">
        <w:rPr>
          <w:rStyle w:val="Funotenzeichen"/>
        </w:rPr>
        <w:footnoteReference w:id="2415"/>
      </w:r>
      <w:r w:rsidR="007E007E">
        <w:t xml:space="preserve"> Diskutiert wird, ob große PV-Projektentwickler (privat) Abnahmegarantien mit europäischen Herstellern vereinbaren können, aber hier wird bezweifelt, ob dies gegenüber Investoren eine ausreichend Sicherheit ist, um in neue Fertigungsstätten zu investieren.</w:t>
      </w:r>
      <w:r w:rsidR="007E007E" w:rsidRPr="007E007E">
        <w:rPr>
          <w:rStyle w:val="Funotenzeichen"/>
        </w:rPr>
        <w:t xml:space="preserve"> </w:t>
      </w:r>
      <w:r w:rsidR="007E007E">
        <w:rPr>
          <w:rStyle w:val="Funotenzeichen"/>
        </w:rPr>
        <w:footnoteReference w:id="2416"/>
      </w:r>
      <w:r w:rsidR="007E007E">
        <w:t xml:space="preserve">   </w:t>
      </w:r>
    </w:p>
    <w:p w14:paraId="1BF33DC0" w14:textId="77777777" w:rsidR="007B6F0D" w:rsidRDefault="007B6F0D" w:rsidP="006D6AEF"/>
    <w:p w14:paraId="49AA74AD" w14:textId="2C2D3D9C" w:rsidR="006D6AEF" w:rsidRDefault="006D6AEF" w:rsidP="006D6AEF">
      <w:r>
        <w:t>Für den Ausbau des Wasserstof</w:t>
      </w:r>
      <w:r w:rsidR="007B6F0D">
        <w:t>fkernnetzes</w:t>
      </w:r>
      <w:r>
        <w:t xml:space="preserve"> wird ein Amortisationskonto </w:t>
      </w:r>
      <w:r w:rsidR="007B6F0D">
        <w:t>eingerichtet</w:t>
      </w:r>
      <w:r>
        <w:t>.</w:t>
      </w:r>
      <w:r w:rsidR="007B6F0D">
        <w:t xml:space="preserve"> Das Amortisationskonto wird von der KfW verwaltet, die KfW finanziert das Amortisationskonto mit einem Kreditrahmen von 24 Mrd., die erste Zahlung auf das Konto der H2 Amortisationskonto GmbH erfolgte am 24. März 2025 mit 172 Mill. Euro, dies wird dann zu den Wasserstoff-Kernnetzbetreibern weitergeleitet. Die können damit dann die Netzentgelte zahlen, die die Bundesnetzagentur festgelegt hat. Die Idee des Amortisationskontos ist, dass das Netzentgelt am Anfang nur von wenigen Benutzern gezahlt wird, später erhöht sich die Zahl. Mit den späteren erhöhten Einnahmen kann man die anfänglichen Mindererlöse ausgleichen.</w:t>
      </w:r>
      <w:r w:rsidR="007B6F0D">
        <w:rPr>
          <w:rStyle w:val="Funotenzeichen"/>
        </w:rPr>
        <w:footnoteReference w:id="2417"/>
      </w:r>
      <w:r>
        <w:t xml:space="preserve"> </w:t>
      </w:r>
    </w:p>
    <w:p w14:paraId="723806D5" w14:textId="77777777" w:rsidR="00183EDF" w:rsidRDefault="00183EDF" w:rsidP="004B2396"/>
    <w:tbl>
      <w:tblPr>
        <w:tblStyle w:val="Tabellenraster"/>
        <w:tblW w:w="0" w:type="auto"/>
        <w:tblLook w:val="04A0" w:firstRow="1" w:lastRow="0" w:firstColumn="1" w:lastColumn="0" w:noHBand="0" w:noVBand="1"/>
      </w:tblPr>
      <w:tblGrid>
        <w:gridCol w:w="9062"/>
      </w:tblGrid>
      <w:tr w:rsidR="0046154A" w14:paraId="01DE1B59" w14:textId="77777777">
        <w:tc>
          <w:tcPr>
            <w:tcW w:w="9062" w:type="dxa"/>
          </w:tcPr>
          <w:p w14:paraId="5DAAF0A0" w14:textId="6B2D4EF0" w:rsidR="0046154A" w:rsidRDefault="0046154A" w:rsidP="004B2396">
            <w:r>
              <w:t xml:space="preserve">Auch die Finanzmärkte / und Firmen können in Zusammenarbeit neue Geschäftsmodelle zur Finanzierung der Energiewende entwickeln. So hat die Europäische Investitionsbank (EIB) sich mit 50 Mill. Euro an einer forderungsbesicherten Anleihe des Berliner Startups </w:t>
            </w:r>
            <w:proofErr w:type="spellStart"/>
            <w:r>
              <w:t>Enpal</w:t>
            </w:r>
            <w:proofErr w:type="spellEnd"/>
            <w:r w:rsidR="00097EA2">
              <w:rPr>
                <w:rStyle w:val="Funotenzeichen"/>
              </w:rPr>
              <w:footnoteReference w:id="2418"/>
            </w:r>
            <w:r>
              <w:t xml:space="preserve"> bezeichnet. </w:t>
            </w:r>
            <w:proofErr w:type="spellStart"/>
            <w:r>
              <w:t>Enpal</w:t>
            </w:r>
            <w:proofErr w:type="spellEnd"/>
            <w:r>
              <w:t xml:space="preserve"> bietet Kunden Solaranlagen, Akkus, Ladestationen und Wärmepumpen zum Ratenkauf oder zur Miete an und hat 2023 einen Umsatz von 900 Mill. Euro erzielt. Die neue Verbriefung </w:t>
            </w:r>
            <w:r w:rsidR="00097EA2">
              <w:t>hat den Wert von</w:t>
            </w:r>
            <w:r>
              <w:t xml:space="preserve"> 240 Mill. Euro</w:t>
            </w:r>
            <w:r w:rsidR="00097EA2">
              <w:t xml:space="preserve"> und wird von den 50 Mill. der EIB ergänzt, und ist abgesichert durch 8000 Finanzierungen von Solaranalgen auf Eigenheimen in Deutschland. </w:t>
            </w:r>
            <w:proofErr w:type="gramStart"/>
            <w:r w:rsidR="00097EA2">
              <w:t>Dieses Verbriefung</w:t>
            </w:r>
            <w:proofErr w:type="gramEnd"/>
            <w:r w:rsidR="00097EA2">
              <w:t xml:space="preserve"> kann von der Öffentlichkeit gezeichnet werden, zuvor hatte </w:t>
            </w:r>
            <w:proofErr w:type="spellStart"/>
            <w:r w:rsidR="00097EA2">
              <w:t>Enpal</w:t>
            </w:r>
            <w:proofErr w:type="spellEnd"/>
            <w:r w:rsidR="00097EA2">
              <w:t xml:space="preserve"> 3,6 Mrd. Euro von institutionellen Investoren eingeworben. Auch in den USA ist ein zweistelliger Milliarden-Markt von forderungsbesicherten Anleihen entstanden</w:t>
            </w:r>
            <w:r w:rsidR="00097EA2">
              <w:rPr>
                <w:rStyle w:val="Funotenzeichen"/>
              </w:rPr>
              <w:footnoteReference w:id="2419"/>
            </w:r>
            <w:r w:rsidR="00097EA2">
              <w:t xml:space="preserve"> </w:t>
            </w:r>
          </w:p>
        </w:tc>
      </w:tr>
    </w:tbl>
    <w:p w14:paraId="0C868099" w14:textId="77777777" w:rsidR="0046154A" w:rsidRDefault="0046154A" w:rsidP="004B2396"/>
    <w:p w14:paraId="460FC411" w14:textId="1F0FFBE3" w:rsidR="002476D9" w:rsidRDefault="002476D9" w:rsidP="002476D9">
      <w:r>
        <w:lastRenderedPageBreak/>
        <w:t>Es muss sicher nicht überall so gemacht werden wie in Deutschland. Der Kapitalmarkt mag zwar risikoscheu seien, e</w:t>
      </w:r>
      <w:r w:rsidR="00F00EEF">
        <w:t xml:space="preserve">r </w:t>
      </w:r>
      <w:r>
        <w:t xml:space="preserve">ist aber </w:t>
      </w:r>
      <w:r w:rsidR="00F00EEF">
        <w:t xml:space="preserve">offenbar </w:t>
      </w:r>
      <w:r>
        <w:t>bereit, bei guten Konditionen, in die Energiewende zu investieren, siehe Punkt 12, aber auch dort tauchen z.B. staatliche Garantien auf, die immer gern gesehen werden.</w:t>
      </w:r>
    </w:p>
    <w:p w14:paraId="55C5F5F3" w14:textId="77777777" w:rsidR="00EE442D" w:rsidRDefault="00EE442D" w:rsidP="006D6AEF"/>
    <w:p w14:paraId="2088CC56" w14:textId="397B99BF" w:rsidR="001674DB" w:rsidRDefault="001674DB" w:rsidP="006D6AEF">
      <w:r>
        <w:t>16.</w:t>
      </w:r>
      <w:r w:rsidR="00B85616">
        <w:t>4</w:t>
      </w:r>
      <w:r>
        <w:t xml:space="preserve"> Pläne zum Umbau der Industrie</w:t>
      </w:r>
    </w:p>
    <w:p w14:paraId="7EFE0007" w14:textId="77777777" w:rsidR="001674DB" w:rsidRDefault="001674DB" w:rsidP="006D6AEF"/>
    <w:p w14:paraId="72A40720" w14:textId="6923BCE2" w:rsidR="00444C26" w:rsidRDefault="00EE442D" w:rsidP="004B2396">
      <w:r>
        <w:t>E</w:t>
      </w:r>
      <w:r w:rsidR="00B85616">
        <w:t xml:space="preserve">s gibt viele Publikationen, in denen </w:t>
      </w:r>
      <w:r w:rsidR="00531E5E">
        <w:t xml:space="preserve">die </w:t>
      </w:r>
      <w:r>
        <w:t>technischen</w:t>
      </w:r>
      <w:r w:rsidR="00B85616">
        <w:t xml:space="preserve"> Prozesse</w:t>
      </w:r>
      <w:r>
        <w:t xml:space="preserve"> </w:t>
      </w:r>
      <w:r w:rsidR="00531E5E">
        <w:t xml:space="preserve">in Stahl und Chemie </w:t>
      </w:r>
      <w:r>
        <w:t xml:space="preserve">nach der Energiewende </w:t>
      </w:r>
      <w:r w:rsidR="00531E5E">
        <w:t>beschrieben werden</w:t>
      </w:r>
      <w:r>
        <w:t>,</w:t>
      </w:r>
      <w:r w:rsidR="00531E5E">
        <w:t xml:space="preserve"> siehe auch</w:t>
      </w:r>
      <w:r>
        <w:t xml:space="preserve"> Teil 2</w:t>
      </w:r>
      <w:r w:rsidR="004722B2">
        <w:t xml:space="preserve">. </w:t>
      </w:r>
      <w:r>
        <w:t>Die EU selbst hat viele kleinere</w:t>
      </w:r>
      <w:r w:rsidR="00E70CCE">
        <w:t xml:space="preserve"> und mittelgroße</w:t>
      </w:r>
      <w:r>
        <w:t xml:space="preserve"> </w:t>
      </w:r>
      <w:r w:rsidR="00531E5E">
        <w:t>Umbaup</w:t>
      </w:r>
      <w:r>
        <w:t>rojekte angestoßen</w:t>
      </w:r>
      <w:r w:rsidR="00E70CCE">
        <w:t xml:space="preserve">, als mittelgroßes Projekt würde ich etwa Zuschüsse für den Aufbau einer </w:t>
      </w:r>
      <w:proofErr w:type="spellStart"/>
      <w:r w:rsidR="00E70CCE">
        <w:t>Oxyfuel</w:t>
      </w:r>
      <w:proofErr w:type="spellEnd"/>
      <w:r w:rsidR="00E70CCE">
        <w:t>-Anlage in der Zementindustrie beschreiben. Aber größere</w:t>
      </w:r>
      <w:r w:rsidR="00531E5E">
        <w:t>, milliardenschwere</w:t>
      </w:r>
      <w:r w:rsidR="00E70CCE">
        <w:t xml:space="preserve"> Subventionen für den Umbau einer Industrie gab es erst auf </w:t>
      </w:r>
      <w:r w:rsidR="00531E5E">
        <w:t xml:space="preserve">der </w:t>
      </w:r>
      <w:r w:rsidR="004722B2">
        <w:t>nationalstaatliche</w:t>
      </w:r>
      <w:r w:rsidR="00531E5E">
        <w:t>n</w:t>
      </w:r>
      <w:r w:rsidR="00E70CCE">
        <w:t xml:space="preserve"> Ebene, </w:t>
      </w:r>
      <w:r w:rsidR="00531E5E">
        <w:t xml:space="preserve">nämlich die Hilfen </w:t>
      </w:r>
      <w:r w:rsidR="00E70CCE">
        <w:t xml:space="preserve">mehrerer EU-Länder </w:t>
      </w:r>
      <w:r w:rsidR="004722B2">
        <w:t>für den Umbau</w:t>
      </w:r>
      <w:r w:rsidR="00E70CCE">
        <w:t xml:space="preserve"> einiger</w:t>
      </w:r>
      <w:r w:rsidR="004722B2">
        <w:t xml:space="preserve"> </w:t>
      </w:r>
      <w:r w:rsidR="00E70CCE">
        <w:t>Hochöfen. Hierbei geht es nicht um den Umbau eines gesamten Stahlwerks und auch</w:t>
      </w:r>
      <w:r w:rsidR="004722B2">
        <w:t xml:space="preserve"> </w:t>
      </w:r>
      <w:r w:rsidR="00531E5E">
        <w:t xml:space="preserve">nicht </w:t>
      </w:r>
      <w:r w:rsidR="00E70CCE">
        <w:t>um den Umbau aller Stahlwerke in der EU. Die Politik will offenbar</w:t>
      </w:r>
      <w:r w:rsidR="00DB2A0B">
        <w:t xml:space="preserve"> dem</w:t>
      </w:r>
      <w:r w:rsidR="004722B2">
        <w:t xml:space="preserve"> europäischen Emissionshandel ETS überlassen, wann d</w:t>
      </w:r>
      <w:r w:rsidR="00DB2A0B">
        <w:t>er Umbau</w:t>
      </w:r>
      <w:r w:rsidR="004722B2">
        <w:t xml:space="preserve"> </w:t>
      </w:r>
      <w:r w:rsidR="00DB2A0B">
        <w:t xml:space="preserve">der Industrie </w:t>
      </w:r>
      <w:r w:rsidR="004722B2">
        <w:t>passieren soll.</w:t>
      </w:r>
      <w:r w:rsidR="00B85616">
        <w:t xml:space="preserve">   </w:t>
      </w:r>
    </w:p>
    <w:p w14:paraId="021C1865" w14:textId="77777777" w:rsidR="00B85616" w:rsidRDefault="00B85616" w:rsidP="004B2396"/>
    <w:p w14:paraId="50F2DD74" w14:textId="08F567BC" w:rsidR="003D0B7F" w:rsidRDefault="00E70CCE" w:rsidP="00183EDF">
      <w:r>
        <w:t xml:space="preserve">Aus meiner Sicht ist es aber nur menschlich, wenn man einen Plan macht. Gibt es in </w:t>
      </w:r>
      <w:r w:rsidR="00531E5E">
        <w:t xml:space="preserve">den Veröffentlichungen </w:t>
      </w:r>
      <w:r>
        <w:t>nicht doch irgendwo einen Plan, wie in</w:t>
      </w:r>
      <w:r w:rsidR="003D0B7F" w:rsidRPr="00223EC9">
        <w:rPr>
          <w:b/>
          <w:bCs/>
        </w:rPr>
        <w:t xml:space="preserve"> Deutschland </w:t>
      </w:r>
      <w:r>
        <w:rPr>
          <w:b/>
          <w:bCs/>
        </w:rPr>
        <w:t>oder</w:t>
      </w:r>
      <w:r w:rsidR="00183EDF" w:rsidRPr="00223EC9">
        <w:rPr>
          <w:b/>
          <w:bCs/>
        </w:rPr>
        <w:t xml:space="preserve"> der EU </w:t>
      </w:r>
      <w:r>
        <w:rPr>
          <w:b/>
          <w:bCs/>
        </w:rPr>
        <w:t xml:space="preserve">der </w:t>
      </w:r>
      <w:r w:rsidR="00183EDF" w:rsidRPr="00223EC9">
        <w:rPr>
          <w:b/>
          <w:bCs/>
        </w:rPr>
        <w:t>Umbau</w:t>
      </w:r>
      <w:r>
        <w:rPr>
          <w:b/>
          <w:bCs/>
        </w:rPr>
        <w:t xml:space="preserve"> der</w:t>
      </w:r>
      <w:r w:rsidR="00183EDF" w:rsidRPr="00223EC9">
        <w:rPr>
          <w:b/>
          <w:bCs/>
        </w:rPr>
        <w:t xml:space="preserve"> Stahl- und Chemieindustrie</w:t>
      </w:r>
      <w:r>
        <w:rPr>
          <w:b/>
          <w:bCs/>
        </w:rPr>
        <w:t xml:space="preserve"> aussehen könnte</w:t>
      </w:r>
      <w:r w:rsidR="00223EC9">
        <w:t>?</w:t>
      </w:r>
    </w:p>
    <w:p w14:paraId="6EC0FB90" w14:textId="77777777" w:rsidR="00823342" w:rsidRDefault="00823342" w:rsidP="00823342"/>
    <w:p w14:paraId="1700EADB" w14:textId="4D98FA15" w:rsidR="00823342" w:rsidRDefault="00823342" w:rsidP="00823342">
      <w:r>
        <w:t xml:space="preserve">In Deutschland gibt es immerhin nun die </w:t>
      </w:r>
      <w:r w:rsidRPr="00F00EEF">
        <w:rPr>
          <w:u w:val="single"/>
        </w:rPr>
        <w:t>Systementwicklungsstrategie 2024</w:t>
      </w:r>
      <w:r>
        <w:t>, die konkret den Umbau der Industrie bespricht, und Zeitpunkte und Größenordnungen benennt, etwa dass bis 2030 1/3 der deutschen Stahlindustrie in Direktreduktionsverfahren umgebaut werden sein wird und dafür 20 bis 30 TWh Wasserstoff nötig ist.</w:t>
      </w:r>
      <w:r>
        <w:rPr>
          <w:rStyle w:val="Funotenzeichen"/>
        </w:rPr>
        <w:footnoteReference w:id="2420"/>
      </w:r>
      <w:r>
        <w:t xml:space="preserve"> </w:t>
      </w:r>
      <w:r w:rsidR="00531E5E">
        <w:t>Dies ist die neue</w:t>
      </w:r>
      <w:r>
        <w:t xml:space="preserve"> Darstellungsweise von Wasserstoff in TWh, die man sich nicht konkret vorstellen kann und bei der die Umrechnung nicht standardisiert ist: Also, mal </w:t>
      </w:r>
      <w:r w:rsidR="00E70CCE">
        <w:t xml:space="preserve">auf dem Bierdeckel </w:t>
      </w:r>
      <w:r>
        <w:t xml:space="preserve">gerechnet: </w:t>
      </w:r>
      <w:bookmarkStart w:id="124" w:name="_Hlk199680882"/>
      <w:r>
        <w:t>1 kg Wasserstoff hat 33 kWh, 1 Tonne hat 33.333 kWh</w:t>
      </w:r>
      <w:bookmarkEnd w:id="124"/>
      <w:r>
        <w:t>. Dreisatz: 1 Terawattstunde: 1.000.000.000 / 33.333 = 30.000 Tonnen Wasserstoff. 10 mal 30.000 = 300.000 Tonnen Wasserstoff. 10 mal 30.000 = 600.000 Tonnen Wasserstoff. 30 mal 30.000 = 900.000 Tonnen Wasserstoff. Beim Umbau von Thyssenkrupp in Duisburg (wohl mit 4 Hochöfen) wird 720.000 Tonnen Wasserstoff benötigt, dies wurde einmal auf einer Webseite von Thyssenkrupp so veröffentlich.</w:t>
      </w:r>
      <w:r>
        <w:rPr>
          <w:rStyle w:val="Funotenzeichen"/>
        </w:rPr>
        <w:footnoteReference w:id="2421"/>
      </w:r>
      <w:r>
        <w:t xml:space="preserve"> Also sind die Zahlen hier stimmig, es wird offenbar von den Autoren der Systementwicklungsstrategie 2024 davon ausgegangen, dass bis 2030 die derzeit angekündigten 4 Direktreduktionsprojekte durchgeführt werden (Duisburg, Saarland SHS, Bremen Arcelor Mittal, Salzgitter …) </w:t>
      </w:r>
    </w:p>
    <w:p w14:paraId="193E8F6E" w14:textId="77777777" w:rsidR="00823342" w:rsidRDefault="00823342" w:rsidP="00823342">
      <w:pPr>
        <w:rPr>
          <w:b/>
          <w:bCs/>
        </w:rPr>
      </w:pPr>
    </w:p>
    <w:p w14:paraId="2869DD64" w14:textId="44B7F31B" w:rsidR="00E70CCE" w:rsidRDefault="00823342" w:rsidP="00823342">
      <w:r w:rsidRPr="004722B2">
        <w:t xml:space="preserve">In der Systementwicklungsstrategie 2024 finden sich allgemeine Beschreibungen </w:t>
      </w:r>
      <w:proofErr w:type="gramStart"/>
      <w:r w:rsidRPr="004722B2">
        <w:t xml:space="preserve">des </w:t>
      </w:r>
      <w:r w:rsidR="00531E5E">
        <w:t>Umstellung</w:t>
      </w:r>
      <w:proofErr w:type="gramEnd"/>
      <w:r w:rsidR="00531E5E">
        <w:t xml:space="preserve"> der Technologie in der Stahl- und Chemieindustrie und der Elektrifizierung sowie Bedarfszahlen für Wasserstoff </w:t>
      </w:r>
      <w:r w:rsidRPr="004722B2">
        <w:t xml:space="preserve">auf den Seiten 14-20. </w:t>
      </w:r>
      <w:r w:rsidR="00E70CCE">
        <w:t xml:space="preserve">Mehr allerdings nicht. </w:t>
      </w:r>
      <w:r>
        <w:t>Es wird auf Seite 20 behauptet, dass das BMWK bereits eine Industriestrategie vorgelegt hätte, „in der unter anderem die Transformation zur Treibhausgasneutralität bis 2045 beschrieben wird.“</w:t>
      </w:r>
      <w:r>
        <w:rPr>
          <w:rStyle w:val="Funotenzeichen"/>
        </w:rPr>
        <w:footnoteReference w:id="2422"/>
      </w:r>
      <w:r>
        <w:t xml:space="preserve"> </w:t>
      </w:r>
      <w:r w:rsidR="00531E5E">
        <w:t xml:space="preserve">Auch </w:t>
      </w:r>
      <w:r>
        <w:t>die</w:t>
      </w:r>
      <w:r w:rsidR="00531E5E">
        <w:t>se</w:t>
      </w:r>
      <w:r>
        <w:t xml:space="preserve"> </w:t>
      </w:r>
      <w:r w:rsidR="00531E5E">
        <w:t xml:space="preserve">frühere </w:t>
      </w:r>
      <w:r>
        <w:t xml:space="preserve">BMWK Publikation Industriepolitik in der Zeitenwende 2023 enthält </w:t>
      </w:r>
      <w:r w:rsidR="00531E5E">
        <w:t xml:space="preserve">allerdings </w:t>
      </w:r>
      <w:r>
        <w:t xml:space="preserve">keine Industriestrategie, wie ich sie mir </w:t>
      </w:r>
      <w:r>
        <w:lastRenderedPageBreak/>
        <w:t>vorstelle.</w:t>
      </w:r>
      <w:r>
        <w:rPr>
          <w:rStyle w:val="Funotenzeichen"/>
        </w:rPr>
        <w:footnoteReference w:id="2423"/>
      </w:r>
      <w:r>
        <w:t xml:space="preserve"> </w:t>
      </w:r>
      <w:r w:rsidR="00531E5E">
        <w:t>Ebenfalls nicht das frühe</w:t>
      </w:r>
      <w:r>
        <w:t xml:space="preserve"> BMWK Handlungskonzept Stahl 2020</w:t>
      </w:r>
      <w:r w:rsidR="00531E5E">
        <w:t xml:space="preserve">, dort findet sich keine Darstellung wie eine Umbau der </w:t>
      </w:r>
      <w:r w:rsidR="00E70CCE">
        <w:t>Stahlindustrie</w:t>
      </w:r>
      <w:r w:rsidR="00531E5E">
        <w:t xml:space="preserve"> durchgeführt werde könnte</w:t>
      </w:r>
      <w:r>
        <w:t>.</w:t>
      </w:r>
      <w:r>
        <w:rPr>
          <w:rStyle w:val="Funotenzeichen"/>
        </w:rPr>
        <w:footnoteReference w:id="2424"/>
      </w:r>
      <w:r w:rsidR="00E70CCE">
        <w:t xml:space="preserve"> In der Publikation Industriepolitik in der Zeitenwende </w:t>
      </w:r>
      <w:r w:rsidR="00531E5E">
        <w:t xml:space="preserve">2023 </w:t>
      </w:r>
      <w:r w:rsidR="00E70CCE">
        <w:t>findet sich</w:t>
      </w:r>
      <w:r>
        <w:t xml:space="preserve"> eine gute Beschreibung der allgemeinen Lage, Ukraine-Krieg, Energiepreise, Fachkräftemangel, Steuerpolitik, eine allgemeine Darstellung auch der Kritik an Industriepolitik und Verteidigung, dass man in der jetzigen Situation auch industriepolitisch aktiv sein muss, gespickt mit offenen, selbstkritischen Anmerkungen beim Thema Industriepolitik: </w:t>
      </w:r>
    </w:p>
    <w:p w14:paraId="5BF96944" w14:textId="77777777" w:rsidR="00E70CCE" w:rsidRDefault="00E70CCE" w:rsidP="00823342"/>
    <w:p w14:paraId="10F8492A" w14:textId="77777777" w:rsidR="00E70CCE" w:rsidRDefault="00823342" w:rsidP="00823342">
      <w:r>
        <w:t>„Es wäre dabei sinnvoll, die Industriepolitik stärker europäisch zu denken, auch um die Integrität des Binnenmarkts zu stärken. Allerdings fehlen dafür gegenwärtig sowohl die finanzielle Ausstattung als auch die Entscheidungsstrukturen und -fähigkeit zum Treffen strategischer Förderentscheidungen in relevanten Größenordnungen. An diesen Voraussetzungen sollten wir arbeiten. Bis diese allerdings gegeben sind, sind starke nationale Industriepolitiken – eingebettet in die europäische Industriestrategie und entlang der europäischen Regeln – für den Wohlstand und die Wirtschaftssicherheit in Europa weiter unabdingbar.“</w:t>
      </w:r>
      <w:r>
        <w:rPr>
          <w:rStyle w:val="Funotenzeichen"/>
        </w:rPr>
        <w:footnoteReference w:id="2425"/>
      </w:r>
      <w:r w:rsidR="00616021">
        <w:t xml:space="preserve"> </w:t>
      </w:r>
    </w:p>
    <w:p w14:paraId="5E28CBF9" w14:textId="77777777" w:rsidR="00E70CCE" w:rsidRDefault="00E70CCE" w:rsidP="00823342"/>
    <w:p w14:paraId="6F14FE8C" w14:textId="77777777" w:rsidR="00E70CCE" w:rsidRDefault="00823342" w:rsidP="00823342">
      <w:r>
        <w:t xml:space="preserve">Zum Klima- und Transformationsfonds wird </w:t>
      </w:r>
      <w:r w:rsidR="00616021">
        <w:t>ehrlich und offen gesagt, dass nicht ausreichend Finanzmittel enthält, um den Umbau zu finanzieren, siehe die folgenden Zitate</w:t>
      </w:r>
      <w:r>
        <w:t xml:space="preserve">: </w:t>
      </w:r>
    </w:p>
    <w:p w14:paraId="37FBD365" w14:textId="77777777" w:rsidR="00E70CCE" w:rsidRDefault="00E70CCE" w:rsidP="00823342"/>
    <w:p w14:paraId="66422073" w14:textId="77777777" w:rsidR="00E70CCE" w:rsidRDefault="00823342" w:rsidP="00823342">
      <w:r>
        <w:t>„Allerdings passt der KTF aufgrund seiner derzeitigen Finanzierungsstruktur – seine Einnahmen speisen sich alleine aus dem EU-Emissionshandel und den Einnahmen über das deutsche BEHG – nicht zum mittel- und langfristigen Förderhorizont und -volumen vieler industriepolitischer Vorhaben, die wir nun gemeinsam begonnen haben.“</w:t>
      </w:r>
      <w:r>
        <w:rPr>
          <w:rStyle w:val="Funotenzeichen"/>
        </w:rPr>
        <w:footnoteReference w:id="2426"/>
      </w:r>
      <w:r w:rsidR="00616021">
        <w:t xml:space="preserve"> </w:t>
      </w:r>
    </w:p>
    <w:p w14:paraId="6B057A2D" w14:textId="77777777" w:rsidR="00E70CCE" w:rsidRDefault="00E70CCE" w:rsidP="00823342"/>
    <w:p w14:paraId="0418AF89" w14:textId="0C4B66AC" w:rsidR="00823342" w:rsidRDefault="00823342" w:rsidP="00823342">
      <w:r>
        <w:t>„Deshalb steht spätestens mit Beginn der nächsten Legislaturperiode eine Richtungsentscheidung an, wie die notwendige strategische Industriepolitik zur Sicherung des Standorts, zur Erneuerung unseres Wohlstands und zur Stärkung unserer Wirtschaftssicherheit auf finanziell nachhaltig</w:t>
      </w:r>
      <w:r w:rsidR="00616021">
        <w:t xml:space="preserve"> </w:t>
      </w:r>
      <w:r>
        <w:t>belastbare Füße gestellt werden kann.“</w:t>
      </w:r>
      <w:r>
        <w:rPr>
          <w:rStyle w:val="Funotenzeichen"/>
        </w:rPr>
        <w:footnoteReference w:id="2427"/>
      </w:r>
      <w:r w:rsidR="00616021">
        <w:t xml:space="preserve"> </w:t>
      </w:r>
      <w:r>
        <w:t>Als zentrales Förderprogramm werden die Klimaschutzverträge und die EU IPCEIs präsentiert.</w:t>
      </w:r>
      <w:r>
        <w:rPr>
          <w:rStyle w:val="Funotenzeichen"/>
        </w:rPr>
        <w:footnoteReference w:id="2428"/>
      </w:r>
      <w:r w:rsidR="00E70CCE">
        <w:t xml:space="preserve"> Interessanterweise </w:t>
      </w:r>
      <w:r w:rsidR="00DB5472">
        <w:t>verweist das BMWK</w:t>
      </w:r>
      <w:r w:rsidR="00E70CCE">
        <w:t xml:space="preserve"> also </w:t>
      </w:r>
      <w:r w:rsidR="00DB5472">
        <w:t>für seine Industriepolitik auf eine</w:t>
      </w:r>
      <w:r w:rsidR="00E70CCE">
        <w:t xml:space="preserve"> Publikation </w:t>
      </w:r>
      <w:r w:rsidR="00980D47">
        <w:t>‚</w:t>
      </w:r>
      <w:r w:rsidR="00E70CCE">
        <w:t>Industriepolitik in der Zeitenwende</w:t>
      </w:r>
      <w:r w:rsidR="00DB5472">
        <w:t xml:space="preserve"> 2023</w:t>
      </w:r>
      <w:r w:rsidR="00980D47">
        <w:t>‘</w:t>
      </w:r>
      <w:r w:rsidR="00DB5472">
        <w:t>, d</w:t>
      </w:r>
      <w:r w:rsidR="00980D47">
        <w:t xml:space="preserve">er ein </w:t>
      </w:r>
      <w:r w:rsidR="00DB5472">
        <w:t xml:space="preserve">Umbauplan </w:t>
      </w:r>
      <w:r w:rsidR="00980D47">
        <w:t>fehlt</w:t>
      </w:r>
      <w:r w:rsidR="00DB5472">
        <w:t xml:space="preserve"> und </w:t>
      </w:r>
      <w:r w:rsidR="00980D47">
        <w:t>der dazu</w:t>
      </w:r>
      <w:r w:rsidR="00DB5472">
        <w:t xml:space="preserve"> noch</w:t>
      </w:r>
      <w:r w:rsidR="00E70CCE">
        <w:t xml:space="preserve"> </w:t>
      </w:r>
      <w:r w:rsidR="00980D47">
        <w:t>eingesteht</w:t>
      </w:r>
      <w:r w:rsidR="00E70CCE">
        <w:t>, dass</w:t>
      </w:r>
      <w:r w:rsidR="00DB5472">
        <w:t xml:space="preserve"> für eine ‚richtige‘ Industriepolitik die Geldmittel fehlen!!</w:t>
      </w:r>
      <w:r w:rsidR="00980D47">
        <w:t>!</w:t>
      </w:r>
      <w:r w:rsidR="00E70CCE">
        <w:t xml:space="preserve"> </w:t>
      </w:r>
    </w:p>
    <w:p w14:paraId="4212D271" w14:textId="77777777" w:rsidR="00823342" w:rsidRPr="004722B2" w:rsidRDefault="00823342" w:rsidP="00823342"/>
    <w:p w14:paraId="6AD4EEA0" w14:textId="7CBFE08B" w:rsidR="00823342" w:rsidRDefault="00823342" w:rsidP="00616021">
      <w:r w:rsidRPr="007B766C">
        <w:rPr>
          <w:b/>
          <w:bCs/>
        </w:rPr>
        <w:t xml:space="preserve">Dies </w:t>
      </w:r>
      <w:r w:rsidR="00980D47">
        <w:rPr>
          <w:b/>
          <w:bCs/>
        </w:rPr>
        <w:t xml:space="preserve">sind </w:t>
      </w:r>
      <w:r w:rsidRPr="007B766C">
        <w:rPr>
          <w:b/>
          <w:bCs/>
        </w:rPr>
        <w:t>alles aus meiner Sicht kein</w:t>
      </w:r>
      <w:r w:rsidR="00980D47">
        <w:rPr>
          <w:b/>
          <w:bCs/>
        </w:rPr>
        <w:t>e</w:t>
      </w:r>
      <w:r w:rsidRPr="007B766C">
        <w:rPr>
          <w:b/>
          <w:bCs/>
        </w:rPr>
        <w:t xml:space="preserve"> richtige</w:t>
      </w:r>
      <w:r w:rsidR="00980D47">
        <w:rPr>
          <w:b/>
          <w:bCs/>
        </w:rPr>
        <w:t>n</w:t>
      </w:r>
      <w:r w:rsidRPr="007B766C">
        <w:rPr>
          <w:b/>
          <w:bCs/>
        </w:rPr>
        <w:t xml:space="preserve"> Umbaupl</w:t>
      </w:r>
      <w:r w:rsidR="00980D47">
        <w:rPr>
          <w:b/>
          <w:bCs/>
        </w:rPr>
        <w:t>äne</w:t>
      </w:r>
      <w:r w:rsidRPr="007B766C">
        <w:rPr>
          <w:b/>
          <w:bCs/>
        </w:rPr>
        <w:t>:</w:t>
      </w:r>
      <w:r>
        <w:t xml:space="preserve"> </w:t>
      </w:r>
      <w:r w:rsidRPr="007B766C">
        <w:t>D</w:t>
      </w:r>
      <w:r w:rsidR="00DB5472">
        <w:t xml:space="preserve">ie kurze </w:t>
      </w:r>
      <w:r w:rsidRPr="007B766C">
        <w:t>Erwähn</w:t>
      </w:r>
      <w:r w:rsidR="00DB5472">
        <w:t>ung</w:t>
      </w:r>
      <w:r w:rsidRPr="007B766C">
        <w:t xml:space="preserve"> des teilweisen subventionierten Umbaus der Stahlindustrie in der Systementwicklungsstrategie 2024 ist aus meiner Sicht kein wirklicher Umbauplan, weil </w:t>
      </w:r>
      <w:r w:rsidR="00980D47">
        <w:t xml:space="preserve">eben </w:t>
      </w:r>
      <w:r w:rsidRPr="007B766C">
        <w:t>nur ein Teil der Industrie umgebaut wird, es danach unterschiedliche Preisniveaus gibt und der Staat kaum danach alle höher liegenden Preise</w:t>
      </w:r>
      <w:r>
        <w:t xml:space="preserve"> einzelner Hochöfen</w:t>
      </w:r>
      <w:r w:rsidRPr="007B766C">
        <w:t xml:space="preserve"> heruntersubventionieren kann</w:t>
      </w:r>
      <w:r w:rsidRPr="003D0B7F">
        <w:rPr>
          <w:b/>
          <w:bCs/>
        </w:rPr>
        <w:t xml:space="preserve"> …</w:t>
      </w:r>
      <w:r>
        <w:t xml:space="preserve"> weiterhin werden in der Systementwicklungsstrategie 2024 hervorgehoben:</w:t>
      </w:r>
      <w:r w:rsidRPr="006A0891">
        <w:rPr>
          <w:b/>
          <w:bCs/>
        </w:rPr>
        <w:t xml:space="preserve"> </w:t>
      </w:r>
      <w:r w:rsidRPr="00247700">
        <w:t>die Klimaschutzverträge, mit denen aus meiner Sicht allerdings der Umbau ganzer Industriebereiche nicht gelingen kann, weil dies zu teuer wäre</w:t>
      </w:r>
      <w:r>
        <w:t xml:space="preserve"> und eben der Europäische Emissionshandel ETS, dann noch die Bundesförderung Ressourceneffizienz, die Standards im Rahmen der grünen Leitmärkten und es wird die Kreislaufwirtschaftsstrategie genannt … von beiden Publikationen werden die Klimaschutzverträge und die EU IPCEIs hervorgehoben genannt … die IPCEIs </w:t>
      </w:r>
      <w:r>
        <w:lastRenderedPageBreak/>
        <w:t xml:space="preserve">wurden oben schon diskutiert, sie stoßen viele positive Entwicklungen an und sind speziell beim Aufbau der Strom- und Wasserstoffinfrastruktur und bei Wasserstoffprojekten sehr gut! … in der Publikation Industriepolitik zur Zeitenwende 2023 wird aber die Mittelausstattung dieser Programme kritisch gesehen, etwa des Klima- und Transformationsfonds KTF und auch die Fähigkeiten der EU … </w:t>
      </w:r>
    </w:p>
    <w:p w14:paraId="4E827A32" w14:textId="77777777" w:rsidR="00616021" w:rsidRDefault="00616021" w:rsidP="00616021"/>
    <w:p w14:paraId="6B17594A" w14:textId="27292E44" w:rsidR="00E45E10" w:rsidRDefault="00E45E10" w:rsidP="00E45E10">
      <w:r>
        <w:t xml:space="preserve">Der aktuell von der neuen </w:t>
      </w:r>
      <w:proofErr w:type="gramStart"/>
      <w:r>
        <w:t>EU Kommission</w:t>
      </w:r>
      <w:proofErr w:type="gramEnd"/>
      <w:r>
        <w:t xml:space="preserve"> veröffentlichte </w:t>
      </w:r>
      <w:r w:rsidRPr="00F00EEF">
        <w:rPr>
          <w:u w:val="single"/>
        </w:rPr>
        <w:t xml:space="preserve">Steel and </w:t>
      </w:r>
      <w:proofErr w:type="spellStart"/>
      <w:r w:rsidRPr="00F00EEF">
        <w:rPr>
          <w:u w:val="single"/>
        </w:rPr>
        <w:t>Metals</w:t>
      </w:r>
      <w:proofErr w:type="spellEnd"/>
      <w:r w:rsidRPr="00F00EEF">
        <w:rPr>
          <w:u w:val="single"/>
        </w:rPr>
        <w:t xml:space="preserve"> Action Plan</w:t>
      </w:r>
      <w:r w:rsidR="00F00EEF" w:rsidRPr="00F00EEF">
        <w:rPr>
          <w:u w:val="single"/>
        </w:rPr>
        <w:t xml:space="preserve"> 2025</w:t>
      </w:r>
      <w:r>
        <w:t xml:space="preserve"> enthält </w:t>
      </w:r>
      <w:r w:rsidR="00980D47">
        <w:t>ebenfalls</w:t>
      </w:r>
      <w:r>
        <w:t xml:space="preserve"> keinen Umbauplan. Für die Chemie liegt von der </w:t>
      </w:r>
      <w:proofErr w:type="gramStart"/>
      <w:r>
        <w:t>EU Kommission</w:t>
      </w:r>
      <w:proofErr w:type="gramEnd"/>
      <w:r>
        <w:t xml:space="preserve"> noch kein </w:t>
      </w:r>
      <w:r w:rsidR="00DB5472">
        <w:t>‚Action‘-</w:t>
      </w:r>
      <w:r>
        <w:t xml:space="preserve">Plan vor. Frühere EU Publikationen, etwa die </w:t>
      </w:r>
      <w:r w:rsidRPr="00F00EEF">
        <w:rPr>
          <w:u w:val="single"/>
        </w:rPr>
        <w:t>New Industrial Strategie</w:t>
      </w:r>
      <w:r w:rsidR="00F00EEF" w:rsidRPr="00F00EEF">
        <w:rPr>
          <w:u w:val="single"/>
        </w:rPr>
        <w:t xml:space="preserve"> 2020</w:t>
      </w:r>
      <w:r>
        <w:t xml:space="preserve"> der EU, die auch eine Publikation zum Umbau der Stahlindustrie enthalten, hatten noch nicht einmal eine klare Idee davon, dass Stahl in </w:t>
      </w:r>
      <w:proofErr w:type="spellStart"/>
      <w:r>
        <w:t>Midrex</w:t>
      </w:r>
      <w:proofErr w:type="spellEnd"/>
      <w:r>
        <w:t xml:space="preserve">-Direktreduktionsanlagen umgebaut werden wird, </w:t>
      </w:r>
      <w:r w:rsidR="00DB5472">
        <w:t>für das Problem</w:t>
      </w:r>
      <w:r>
        <w:t xml:space="preserve"> höhere</w:t>
      </w:r>
      <w:r w:rsidR="00DB5472">
        <w:t>r</w:t>
      </w:r>
      <w:r>
        <w:t xml:space="preserve"> Preise für grünen Stahl </w:t>
      </w:r>
      <w:r w:rsidR="00DB5472">
        <w:t xml:space="preserve">wird vorschlage, das diese eben </w:t>
      </w:r>
      <w:r>
        <w:t>der Staat heruntersubventionieren</w:t>
      </w:r>
      <w:r w:rsidR="00DB5472">
        <w:t xml:space="preserve"> sollte.</w:t>
      </w:r>
      <w:r>
        <w:rPr>
          <w:rStyle w:val="Funotenzeichen"/>
        </w:rPr>
        <w:footnoteReference w:id="2429"/>
      </w:r>
      <w:r>
        <w:t xml:space="preserve"> Im Bereich Stahl haben die einzelnen Länder mit dem Umbau einzelner Stahlwerke begonnen und einzelne, höheren Subventionen wurden von der EU Beihilfekontrolle genehmigt. Auf der Ebene dieser Länder werden einzelne Werke, und nicht alle Werke, umgebaut. </w:t>
      </w:r>
      <w:r w:rsidRPr="00437CB6">
        <w:rPr>
          <w:lang w:val="en-US"/>
        </w:rPr>
        <w:t xml:space="preserve">Der Action Plan on Steel and Metals, 19.03.2025, </w:t>
      </w:r>
      <w:proofErr w:type="spellStart"/>
      <w:r w:rsidRPr="00437CB6">
        <w:rPr>
          <w:lang w:val="en-US"/>
        </w:rPr>
        <w:t>erwähnt</w:t>
      </w:r>
      <w:proofErr w:type="spellEnd"/>
      <w:r w:rsidRPr="00437CB6">
        <w:rPr>
          <w:lang w:val="en-US"/>
        </w:rPr>
        <w:t xml:space="preserve"> </w:t>
      </w:r>
      <w:proofErr w:type="spellStart"/>
      <w:r w:rsidRPr="00437CB6">
        <w:rPr>
          <w:lang w:val="en-US"/>
        </w:rPr>
        <w:t>eine</w:t>
      </w:r>
      <w:proofErr w:type="spellEnd"/>
      <w:r w:rsidRPr="00437CB6">
        <w:rPr>
          <w:lang w:val="en-US"/>
        </w:rPr>
        <w:t xml:space="preserve"> Reihe von, von der </w:t>
      </w:r>
      <w:proofErr w:type="spellStart"/>
      <w:r w:rsidRPr="00437CB6">
        <w:rPr>
          <w:lang w:val="en-US"/>
        </w:rPr>
        <w:t>Beihilfekontrolle</w:t>
      </w:r>
      <w:proofErr w:type="spellEnd"/>
      <w:r w:rsidRPr="00437CB6">
        <w:rPr>
          <w:lang w:val="en-US"/>
        </w:rPr>
        <w:t xml:space="preserve"> </w:t>
      </w:r>
      <w:proofErr w:type="spellStart"/>
      <w:r w:rsidRPr="00437CB6">
        <w:rPr>
          <w:lang w:val="en-US"/>
        </w:rPr>
        <w:t>genehmigten</w:t>
      </w:r>
      <w:proofErr w:type="spellEnd"/>
      <w:r w:rsidRPr="00437CB6">
        <w:rPr>
          <w:lang w:val="en-US"/>
        </w:rPr>
        <w:t xml:space="preserve">, </w:t>
      </w:r>
      <w:proofErr w:type="spellStart"/>
      <w:r w:rsidRPr="00437CB6">
        <w:rPr>
          <w:lang w:val="en-US"/>
        </w:rPr>
        <w:t>nationalstaatlichen</w:t>
      </w:r>
      <w:proofErr w:type="spellEnd"/>
      <w:r w:rsidRPr="00437CB6">
        <w:rPr>
          <w:lang w:val="en-US"/>
        </w:rPr>
        <w:t xml:space="preserve"> </w:t>
      </w:r>
      <w:proofErr w:type="spellStart"/>
      <w:r w:rsidRPr="00437CB6">
        <w:rPr>
          <w:lang w:val="en-US"/>
        </w:rPr>
        <w:t>Stahlbeihilfen</w:t>
      </w:r>
      <w:proofErr w:type="spellEnd"/>
      <w:r w:rsidRPr="00437CB6">
        <w:rPr>
          <w:lang w:val="en-US"/>
        </w:rPr>
        <w:t>: “Recent examples of approved schemes which will or can also benefit the steel industry are two Slovak schemes with a total budget of EUR 1.1 billion, a EUR 550 million Italian scheme, a EUR 4 billion German scheme, a EUR 3 billion French scheme, a EUR 2.7 billion Austrian scheme and a EUR 2.5 billion Czech scheme.“</w:t>
      </w:r>
      <w:r>
        <w:rPr>
          <w:rStyle w:val="Funotenzeichen"/>
        </w:rPr>
        <w:footnoteReference w:id="2430"/>
      </w:r>
      <w:r w:rsidRPr="00437CB6">
        <w:rPr>
          <w:lang w:val="en-US"/>
        </w:rPr>
        <w:t xml:space="preserve"> </w:t>
      </w:r>
      <w:r>
        <w:t xml:space="preserve">Diese Geldbeträge können natürlich noch durch die Stahlunternehmen ergänzt worden sein, aber viel spricht dafür, dass es sich nur in Deutschland, Frankreich, Österreich und der Tschechei von der Höhe der Geldsumme her um den Umbau in eine </w:t>
      </w:r>
      <w:proofErr w:type="spellStart"/>
      <w:r>
        <w:t>Midrex</w:t>
      </w:r>
      <w:proofErr w:type="spellEnd"/>
      <w:r>
        <w:t>-Direktreduktionsanlage handeln wird und in keinem d</w:t>
      </w:r>
      <w:r w:rsidR="00DB5472">
        <w:t>ieser</w:t>
      </w:r>
      <w:r>
        <w:t xml:space="preserve"> Länder </w:t>
      </w:r>
      <w:r w:rsidR="00DB5472">
        <w:t xml:space="preserve">geht es </w:t>
      </w:r>
      <w:r>
        <w:t>um den Umbau der gesamten Stahlindustrie. Die</w:t>
      </w:r>
      <w:r w:rsidR="00DB5472">
        <w:t xml:space="preserve"> schon oben erwähnte</w:t>
      </w:r>
      <w:r>
        <w:t xml:space="preserve"> Idee mit der Quote für grünen Stahl für die europäische Automobilindustrie hat es nicht in den Steel and </w:t>
      </w:r>
      <w:proofErr w:type="spellStart"/>
      <w:r>
        <w:t>Metals</w:t>
      </w:r>
      <w:proofErr w:type="spellEnd"/>
      <w:r>
        <w:t xml:space="preserve"> Action Plan geschafft. </w:t>
      </w:r>
    </w:p>
    <w:p w14:paraId="4DF71107" w14:textId="77777777" w:rsidR="00F00EEF" w:rsidRPr="006C6D5E" w:rsidRDefault="00F00EEF" w:rsidP="00E45E10"/>
    <w:p w14:paraId="50F1C3E8" w14:textId="45681D30" w:rsidR="00F115AE" w:rsidRDefault="00F115AE" w:rsidP="00E45E10">
      <w:proofErr w:type="spellStart"/>
      <w:r>
        <w:t>Eurofer</w:t>
      </w:r>
      <w:proofErr w:type="spellEnd"/>
      <w:r>
        <w:t>, der Brancheverband der europäischen Stahlindustrie hat auch einen ‚A European Steel Action Plan‘ 2025</w:t>
      </w:r>
      <w:r>
        <w:rPr>
          <w:rStyle w:val="Funotenzeichen"/>
        </w:rPr>
        <w:footnoteReference w:id="2431"/>
      </w:r>
      <w:r>
        <w:t xml:space="preserve"> veröffentlicht, hier findet sich die Forderung nach der Verringerung nach Energiekosten im Zusammenhang mit der Forderung nach kostengünstigem Wasserstoff und nach dem Aufbau von mehr grünem und </w:t>
      </w:r>
      <w:proofErr w:type="spellStart"/>
      <w:r>
        <w:t>low-carbon</w:t>
      </w:r>
      <w:proofErr w:type="spellEnd"/>
      <w:r>
        <w:t xml:space="preserve"> Wasserstoff, bis 2030 werden 30 Mrd. Subventionen Kapitalinvestitionen und 85 Mrd. für Betriebskosten gefordert</w:t>
      </w:r>
      <w:r w:rsidR="0020420B">
        <w:t>, erwähnt wird weiterhin, dass es einen Innovation Fund IF2024 Call gegeben hat und dass am 24. April 2025 sich 359 Projekte beworben haben mit einem Volumen von 21,7 Mrd., aber nur ein Budget von 2,4 Mrd. vorliegt.</w:t>
      </w:r>
      <w:r>
        <w:rPr>
          <w:rStyle w:val="Funotenzeichen"/>
        </w:rPr>
        <w:footnoteReference w:id="2432"/>
      </w:r>
      <w:r>
        <w:t xml:space="preserve"> (das ist</w:t>
      </w:r>
      <w:r w:rsidR="00DB5472">
        <w:t xml:space="preserve"> auch wieder</w:t>
      </w:r>
      <w:r>
        <w:t xml:space="preserve"> nicht das, was ich hören, will, mit 30 Mrd. kann man von 50 </w:t>
      </w:r>
      <w:proofErr w:type="spellStart"/>
      <w:r>
        <w:t>Hochöfenanlagen</w:t>
      </w:r>
      <w:proofErr w:type="spellEnd"/>
      <w:r>
        <w:t xml:space="preserve"> nur 10 auf </w:t>
      </w:r>
      <w:proofErr w:type="spellStart"/>
      <w:r>
        <w:t>Midrex</w:t>
      </w:r>
      <w:proofErr w:type="spellEnd"/>
      <w:r>
        <w:t xml:space="preserve">-Direktreduktion umbauen, siehe gleich unten, und dann </w:t>
      </w:r>
      <w:r w:rsidR="00DB5472">
        <w:t xml:space="preserve">will </w:t>
      </w:r>
      <w:proofErr w:type="spellStart"/>
      <w:r w:rsidR="00DB5472">
        <w:t>Eurofer</w:t>
      </w:r>
      <w:proofErr w:type="spellEnd"/>
      <w:r w:rsidR="00DB5472">
        <w:t xml:space="preserve"> </w:t>
      </w:r>
      <w:r>
        <w:t>85 Mrd. für die Förderung von Betriebskosten!!</w:t>
      </w:r>
      <w:r w:rsidR="00DB5472">
        <w:t>!!!</w:t>
      </w:r>
      <w:r>
        <w:t xml:space="preserve"> Genau dies geht eben nicht, dass die Politik Stromkosten, Wasserstoffkosten etc. über Jahre heruntersubventioniert und dies noch bevor der Umbau </w:t>
      </w:r>
      <w:r w:rsidR="00DB5472">
        <w:t xml:space="preserve">der gesamten Industrie </w:t>
      </w:r>
      <w:r>
        <w:t xml:space="preserve">überhaupt ernsthaft bekommen wurde … dazu kommt, dass </w:t>
      </w:r>
      <w:proofErr w:type="spellStart"/>
      <w:r>
        <w:t>Eurofer</w:t>
      </w:r>
      <w:proofErr w:type="spellEnd"/>
      <w:r>
        <w:t xml:space="preserve"> es nicht erklärt, was es damit meint</w:t>
      </w:r>
      <w:r w:rsidR="00DB5472">
        <w:t>.</w:t>
      </w:r>
    </w:p>
    <w:p w14:paraId="4C4DDDF7" w14:textId="77777777" w:rsidR="005E138A" w:rsidRDefault="005E138A" w:rsidP="00E45E10"/>
    <w:p w14:paraId="2D1CCDCA" w14:textId="28EE04B6" w:rsidR="008631FA" w:rsidRPr="00DE1FDA" w:rsidRDefault="005E138A" w:rsidP="00E45E10">
      <w:r>
        <w:t xml:space="preserve">In einem weiteren Bericht fordert </w:t>
      </w:r>
      <w:proofErr w:type="spellStart"/>
      <w:r>
        <w:t>Eurofer</w:t>
      </w:r>
      <w:proofErr w:type="spellEnd"/>
      <w:r>
        <w:t xml:space="preserve"> ein mit 200 Mrd. ausgestatteten Horizon Europe Forschungsfund, mit Fokus auf Öffentlich-Private Projekte. Dies wird in der EU auch Framework </w:t>
      </w:r>
      <w:r>
        <w:lastRenderedPageBreak/>
        <w:t>Programm 10 bzw. FT 10 genannt.</w:t>
      </w:r>
      <w:r>
        <w:rPr>
          <w:rStyle w:val="Funotenzeichen"/>
        </w:rPr>
        <w:footnoteReference w:id="2433"/>
      </w:r>
      <w:r>
        <w:t xml:space="preserve"> </w:t>
      </w:r>
      <w:r w:rsidR="00172057">
        <w:t xml:space="preserve">(Dabei haben wir im Stahlbereich schon genug geforscht, wir könnten nun mal umbauen) </w:t>
      </w:r>
      <w:r>
        <w:t xml:space="preserve">Weiterhin soll das Clean Steel Partnership CSP weiterverfolgt werden, hier wird ab 2030 angestrebt, in </w:t>
      </w:r>
      <w:r w:rsidR="002A0EAE">
        <w:t>intensiverer</w:t>
      </w:r>
      <w:r>
        <w:t xml:space="preserve"> A</w:t>
      </w:r>
      <w:r w:rsidR="002A0EAE">
        <w:t>ktivität</w:t>
      </w:r>
      <w:r>
        <w:t xml:space="preserve"> ab 2030, die Stahlindustrie sagt hier, dass sie </w:t>
      </w:r>
      <w:r w:rsidR="008631FA">
        <w:t>finanziell zu</w:t>
      </w:r>
      <w:r>
        <w:t xml:space="preserve"> über 50 % an Projekten beteiligt sein will, </w:t>
      </w:r>
      <w:r w:rsidR="008631FA">
        <w:t xml:space="preserve">das ist nett, </w:t>
      </w:r>
      <w:r>
        <w:t xml:space="preserve">es wird dort die Möglichkeit CO2 aufzufangen erwähnt, </w:t>
      </w:r>
      <w:r w:rsidR="008631FA">
        <w:t xml:space="preserve">das ist seltsam, lieber umbauen, </w:t>
      </w:r>
      <w:r>
        <w:t>ein Marktanteil in Europa von grünem Stahl wird erwähnt</w:t>
      </w:r>
      <w:r w:rsidR="008631FA">
        <w:t xml:space="preserve">, es soll </w:t>
      </w:r>
      <w:r>
        <w:t xml:space="preserve">ab 2027 mit </w:t>
      </w:r>
      <w:r w:rsidR="008631FA">
        <w:t>Clean-</w:t>
      </w:r>
      <w:r>
        <w:t>Stahl begonnen werden</w:t>
      </w:r>
      <w:r w:rsidR="008631FA">
        <w:t xml:space="preserve"> (nicht grünem Stahl), 2025 wird +1 % Wertschöpfungssteigerung bei Clean-Stahl benannt, nach 2027 + 2 %, das ist die wirrste Tabelle, die ich je gesehen habe, unklar ist mir auch was ‚Clean Steel‘ ist, </w:t>
      </w:r>
      <w:proofErr w:type="spellStart"/>
      <w:r w:rsidR="008631FA">
        <w:t>low</w:t>
      </w:r>
      <w:proofErr w:type="spellEnd"/>
      <w:r w:rsidR="008631FA">
        <w:t xml:space="preserve"> </w:t>
      </w:r>
      <w:proofErr w:type="spellStart"/>
      <w:r w:rsidR="008631FA">
        <w:t>carbon</w:t>
      </w:r>
      <w:proofErr w:type="spellEnd"/>
      <w:r w:rsidR="008631FA">
        <w:t xml:space="preserve"> </w:t>
      </w:r>
      <w:proofErr w:type="spellStart"/>
      <w:r w:rsidR="008631FA">
        <w:t>ste</w:t>
      </w:r>
      <w:r w:rsidR="002A0EAE">
        <w:t>e</w:t>
      </w:r>
      <w:r w:rsidR="008631FA">
        <w:t>l</w:t>
      </w:r>
      <w:proofErr w:type="spellEnd"/>
      <w:r w:rsidR="008631FA">
        <w:t xml:space="preserve"> und </w:t>
      </w:r>
      <w:proofErr w:type="spellStart"/>
      <w:r w:rsidR="008631FA">
        <w:t>green</w:t>
      </w:r>
      <w:proofErr w:type="spellEnd"/>
      <w:r w:rsidR="008631FA">
        <w:t xml:space="preserve"> </w:t>
      </w:r>
      <w:proofErr w:type="spellStart"/>
      <w:r w:rsidR="008631FA">
        <w:t>steel</w:t>
      </w:r>
      <w:proofErr w:type="spellEnd"/>
      <w:r w:rsidR="008631FA">
        <w:t>?, siehe hier.</w:t>
      </w:r>
      <w:r w:rsidR="008631FA">
        <w:rPr>
          <w:rStyle w:val="Funotenzeichen"/>
        </w:rPr>
        <w:footnoteReference w:id="2434"/>
      </w:r>
      <w:r>
        <w:t xml:space="preserve"> </w:t>
      </w:r>
      <w:r w:rsidR="008631FA">
        <w:t xml:space="preserve">Bei den Stories werden zwei Focus Workshops genannt, die im Rahmen von Horizon Europe sich um </w:t>
      </w:r>
      <w:proofErr w:type="spellStart"/>
      <w:r w:rsidR="008631FA">
        <w:t>low</w:t>
      </w:r>
      <w:proofErr w:type="spellEnd"/>
      <w:r w:rsidR="008631FA">
        <w:t xml:space="preserve"> </w:t>
      </w:r>
      <w:proofErr w:type="spellStart"/>
      <w:r w:rsidR="008631FA">
        <w:t>carbon</w:t>
      </w:r>
      <w:proofErr w:type="spellEnd"/>
      <w:r w:rsidR="008631FA">
        <w:t xml:space="preserve"> Steel und Energieeffizienz kümmern. Einer der Focus Workshop ist Processes4Planet, dies ist eine Partnerschaft, die </w:t>
      </w:r>
      <w:r w:rsidR="002A0EAE">
        <w:t xml:space="preserve">die </w:t>
      </w:r>
      <w:r w:rsidR="008631FA">
        <w:t>europäische Prozessindustrien bis 2050 klimaneutral und im Sinne von Kreislaufwirtschaft umbauen will, gemeinschaftlich finanziert vom Cluster 4 von Horizon Euro, aber als A.SPIRE ein privates Projekt</w:t>
      </w:r>
      <w:r w:rsidR="00DE1FDA">
        <w:t>, gegründet wurde es am 23. Juni 2021</w:t>
      </w:r>
      <w:r w:rsidR="008631FA">
        <w:t>.</w:t>
      </w:r>
      <w:r w:rsidR="008631FA">
        <w:rPr>
          <w:rStyle w:val="Funotenzeichen"/>
        </w:rPr>
        <w:footnoteReference w:id="2435"/>
      </w:r>
      <w:r w:rsidR="008631FA">
        <w:t xml:space="preserve"> </w:t>
      </w:r>
      <w:r w:rsidR="00DE1FDA">
        <w:t xml:space="preserve">A.SPIRE will drei Dinge: Technologie auf TRL 9 (Technological </w:t>
      </w:r>
      <w:proofErr w:type="spellStart"/>
      <w:r w:rsidR="00DE1FDA">
        <w:t>Readyness</w:t>
      </w:r>
      <w:proofErr w:type="spellEnd"/>
      <w:r w:rsidR="00DE1FDA">
        <w:t xml:space="preserve"> Level) bringen, also zur Anwendbarkeit, H4Cs, sog. </w:t>
      </w:r>
      <w:r w:rsidR="00DE1FDA" w:rsidRPr="0060710E">
        <w:t xml:space="preserve">Hubs </w:t>
      </w:r>
      <w:proofErr w:type="spellStart"/>
      <w:r w:rsidR="00DE1FDA" w:rsidRPr="0060710E">
        <w:t>for</w:t>
      </w:r>
      <w:proofErr w:type="spellEnd"/>
      <w:r w:rsidR="00DE1FDA" w:rsidRPr="0060710E">
        <w:t xml:space="preserve"> </w:t>
      </w:r>
      <w:proofErr w:type="spellStart"/>
      <w:r w:rsidR="00DE1FDA" w:rsidRPr="0060710E">
        <w:t>Circularity</w:t>
      </w:r>
      <w:proofErr w:type="spellEnd"/>
      <w:r w:rsidR="00DE1FDA" w:rsidRPr="0060710E">
        <w:t xml:space="preserve"> fördern, und FOAKs gründen, sog. </w:t>
      </w:r>
      <w:r w:rsidR="00DE1FDA" w:rsidRPr="00DE1FDA">
        <w:t>First-</w:t>
      </w:r>
      <w:proofErr w:type="spellStart"/>
      <w:r w:rsidR="00DE1FDA" w:rsidRPr="00DE1FDA">
        <w:t>of</w:t>
      </w:r>
      <w:proofErr w:type="spellEnd"/>
      <w:r w:rsidR="00DE1FDA" w:rsidRPr="00DE1FDA">
        <w:t xml:space="preserve">-a-kind large </w:t>
      </w:r>
      <w:proofErr w:type="spellStart"/>
      <w:r w:rsidR="00DE1FDA" w:rsidRPr="00DE1FDA">
        <w:t>scale</w:t>
      </w:r>
      <w:proofErr w:type="spellEnd"/>
      <w:r w:rsidR="00DE1FDA" w:rsidRPr="00DE1FDA">
        <w:t xml:space="preserve"> plants, auch genannt ‘</w:t>
      </w:r>
      <w:proofErr w:type="spellStart"/>
      <w:r w:rsidR="00DE1FDA" w:rsidRPr="00DE1FDA">
        <w:t>marbels</w:t>
      </w:r>
      <w:proofErr w:type="spellEnd"/>
      <w:r w:rsidR="00DE1FDA" w:rsidRPr="00DE1FDA">
        <w:t>’ (Glaskugeln, Murmeln).</w:t>
      </w:r>
      <w:r w:rsidR="00DE1FDA">
        <w:rPr>
          <w:rStyle w:val="Funotenzeichen"/>
        </w:rPr>
        <w:footnoteReference w:id="2436"/>
      </w:r>
      <w:r w:rsidR="00DE1FDA">
        <w:t xml:space="preserve"> </w:t>
      </w:r>
      <w:r w:rsidR="00DE1FDA" w:rsidRPr="00DE1FDA">
        <w:t>Processes4Planet hat eine 293 Seiten lange Publikation geschrieb</w:t>
      </w:r>
      <w:r w:rsidR="00DE1FDA">
        <w:t>en</w:t>
      </w:r>
      <w:r w:rsidR="00DE1FDA">
        <w:rPr>
          <w:rStyle w:val="Funotenzeichen"/>
        </w:rPr>
        <w:footnoteReference w:id="2437"/>
      </w:r>
      <w:r w:rsidR="00DE1FDA">
        <w:t>,</w:t>
      </w:r>
      <w:r w:rsidR="002A0EAE">
        <w:t xml:space="preserve"> offenkundig soll es darum gehen, wie man die europäischen Prozessindustrien umbauen soll, </w:t>
      </w:r>
      <w:r w:rsidR="00DE1FDA">
        <w:t xml:space="preserve">ich wette auch hier steht </w:t>
      </w:r>
      <w:r w:rsidR="002A0EAE">
        <w:t xml:space="preserve">wieder </w:t>
      </w:r>
      <w:r w:rsidR="00DE1FDA">
        <w:t xml:space="preserve">kein Steel Action Plan nach meinem Geschmack drin: </w:t>
      </w:r>
      <w:r w:rsidR="002A0EAE">
        <w:t xml:space="preserve">… lesen … lesen … lesen … ich haben die </w:t>
      </w:r>
      <w:r w:rsidR="00172057">
        <w:t xml:space="preserve">Wette gewonnen, dort gibt es auf S. 47 nur einen ganze kurzen Abschnitt zur Stahlindustrie, hier wird </w:t>
      </w:r>
      <w:proofErr w:type="spellStart"/>
      <w:r w:rsidR="00172057">
        <w:t>direct</w:t>
      </w:r>
      <w:proofErr w:type="spellEnd"/>
      <w:r w:rsidR="00172057">
        <w:t xml:space="preserve"> </w:t>
      </w:r>
      <w:proofErr w:type="spellStart"/>
      <w:r w:rsidR="00172057">
        <w:t>reduction</w:t>
      </w:r>
      <w:proofErr w:type="spellEnd"/>
      <w:r w:rsidR="00172057">
        <w:t xml:space="preserve"> </w:t>
      </w:r>
      <w:proofErr w:type="spellStart"/>
      <w:r w:rsidR="00172057">
        <w:t>steel</w:t>
      </w:r>
      <w:proofErr w:type="spellEnd"/>
      <w:r w:rsidR="00172057">
        <w:t xml:space="preserve"> als eine Möglichkeit erwähnt, CO2-Emissionen zu verringern, aber nicht erklärt, was dies ist</w:t>
      </w:r>
      <w:r w:rsidR="009E27A9">
        <w:t>, auf S. 149 wird die Direktreduktionstechnik ganz vergessen</w:t>
      </w:r>
      <w:r w:rsidR="00172057">
        <w:t>.</w:t>
      </w:r>
      <w:r w:rsidR="00172057">
        <w:rPr>
          <w:rStyle w:val="Funotenzeichen"/>
        </w:rPr>
        <w:footnoteReference w:id="2438"/>
      </w:r>
      <w:r w:rsidR="009E27A9">
        <w:t xml:space="preserve"> Im Update Dokument vom März 2024</w:t>
      </w:r>
      <w:r w:rsidR="002A0EAE">
        <w:t xml:space="preserve">, dass </w:t>
      </w:r>
      <w:r w:rsidR="009E27A9">
        <w:t>nur noch 29 Seiten</w:t>
      </w:r>
      <w:r w:rsidR="002A0EAE">
        <w:t xml:space="preserve"> lang ist</w:t>
      </w:r>
      <w:r w:rsidR="009E27A9">
        <w:t xml:space="preserve">, wird die Direktreduktionstechnik erwähnt ‚Hydrogen </w:t>
      </w:r>
      <w:proofErr w:type="spellStart"/>
      <w:r w:rsidR="009E27A9">
        <w:t>as</w:t>
      </w:r>
      <w:proofErr w:type="spellEnd"/>
      <w:r w:rsidR="009E27A9">
        <w:t xml:space="preserve"> a </w:t>
      </w:r>
      <w:proofErr w:type="spellStart"/>
      <w:r w:rsidR="009E27A9">
        <w:t>reducing</w:t>
      </w:r>
      <w:proofErr w:type="spellEnd"/>
      <w:r w:rsidR="009E27A9">
        <w:t xml:space="preserve"> </w:t>
      </w:r>
      <w:proofErr w:type="spellStart"/>
      <w:r w:rsidR="009E27A9">
        <w:t>agent</w:t>
      </w:r>
      <w:proofErr w:type="spellEnd"/>
      <w:r w:rsidR="009E27A9">
        <w:t xml:space="preserve">‘, das ist alles, nicht im Zusammenhang mit Stahl und unter der Überschrift ‚Strategic </w:t>
      </w:r>
      <w:proofErr w:type="spellStart"/>
      <w:r w:rsidR="009E27A9">
        <w:t>research</w:t>
      </w:r>
      <w:proofErr w:type="spellEnd"/>
      <w:r w:rsidR="009E27A9">
        <w:t xml:space="preserve"> and </w:t>
      </w:r>
      <w:proofErr w:type="spellStart"/>
      <w:r w:rsidR="009E27A9">
        <w:t>innovation</w:t>
      </w:r>
      <w:proofErr w:type="spellEnd"/>
      <w:r w:rsidR="009E27A9">
        <w:t xml:space="preserve"> </w:t>
      </w:r>
      <w:proofErr w:type="spellStart"/>
      <w:r w:rsidR="009E27A9">
        <w:t>themes</w:t>
      </w:r>
      <w:proofErr w:type="spellEnd"/>
      <w:r w:rsidR="009E27A9">
        <w:t>‘.</w:t>
      </w:r>
      <w:r w:rsidR="009E27A9">
        <w:rPr>
          <w:rStyle w:val="Funotenzeichen"/>
        </w:rPr>
        <w:footnoteReference w:id="2439"/>
      </w:r>
      <w:r w:rsidR="009E27A9">
        <w:t xml:space="preserve"> Dabei ist die Direktreduktionstechnik bereits erforscht. Kurz: </w:t>
      </w:r>
      <w:r w:rsidR="009E27A9" w:rsidRPr="0020420B">
        <w:rPr>
          <w:u w:val="single"/>
        </w:rPr>
        <w:t>der private Sektor</w:t>
      </w:r>
      <w:r w:rsidR="00D821E1">
        <w:rPr>
          <w:u w:val="single"/>
        </w:rPr>
        <w:t xml:space="preserve"> </w:t>
      </w:r>
      <w:r w:rsidR="00E36B97">
        <w:rPr>
          <w:u w:val="single"/>
        </w:rPr>
        <w:t>übernimmt ein</w:t>
      </w:r>
      <w:r w:rsidR="00D821E1">
        <w:rPr>
          <w:u w:val="single"/>
        </w:rPr>
        <w:t xml:space="preserve"> Projek</w:t>
      </w:r>
      <w:r w:rsidR="00E36B97">
        <w:rPr>
          <w:u w:val="single"/>
        </w:rPr>
        <w:t>t</w:t>
      </w:r>
      <w:r w:rsidR="009E27A9" w:rsidRPr="0020420B">
        <w:rPr>
          <w:u w:val="single"/>
        </w:rPr>
        <w:t xml:space="preserve">, </w:t>
      </w:r>
      <w:r w:rsidR="00E36B97">
        <w:rPr>
          <w:u w:val="single"/>
        </w:rPr>
        <w:t>aber es kommt nichts dabei raus</w:t>
      </w:r>
      <w:r w:rsidR="009E27A9">
        <w:t xml:space="preserve">. Was als Eindruck bleibt, ist </w:t>
      </w:r>
      <w:proofErr w:type="spellStart"/>
      <w:r w:rsidR="009E27A9">
        <w:t>dass</w:t>
      </w:r>
      <w:proofErr w:type="spellEnd"/>
      <w:r w:rsidR="009E27A9">
        <w:t xml:space="preserve"> </w:t>
      </w:r>
      <w:proofErr w:type="spellStart"/>
      <w:r w:rsidR="009E27A9">
        <w:t>Eurofer</w:t>
      </w:r>
      <w:proofErr w:type="spellEnd"/>
      <w:r w:rsidR="009E27A9">
        <w:t xml:space="preserve"> die </w:t>
      </w:r>
      <w:proofErr w:type="gramStart"/>
      <w:r w:rsidR="009E27A9">
        <w:t>EU Kommission</w:t>
      </w:r>
      <w:proofErr w:type="gramEnd"/>
      <w:r w:rsidR="009E27A9">
        <w:t xml:space="preserve"> dazu treibt, Forschungs-Programme mit hohen Finanzierungsvolumina aufzulegen, in denen dann halbherzige Transformationsschritte zur Energieeffizienz, CO2-armer Stahl, CCS … erforscht werden. Die sinnvolle Forderung von </w:t>
      </w:r>
      <w:proofErr w:type="spellStart"/>
      <w:r w:rsidR="009E27A9">
        <w:t>Eurofer</w:t>
      </w:r>
      <w:proofErr w:type="spellEnd"/>
      <w:r w:rsidR="009E27A9">
        <w:t>, Quoten für grünen Stahl einzuführen</w:t>
      </w:r>
      <w:r w:rsidR="009E27A9">
        <w:rPr>
          <w:rStyle w:val="Funotenzeichen"/>
        </w:rPr>
        <w:footnoteReference w:id="2440"/>
      </w:r>
      <w:r w:rsidR="009E27A9">
        <w:t xml:space="preserve">, damit erst grüne Werke diesen ‚garantiert‘ loswerden könne, findet ich auf der </w:t>
      </w:r>
      <w:proofErr w:type="spellStart"/>
      <w:r w:rsidR="009E27A9">
        <w:t>Eurofer</w:t>
      </w:r>
      <w:proofErr w:type="spellEnd"/>
      <w:r w:rsidR="009E27A9">
        <w:t xml:space="preserve"> Webseite nicht mehr und auch nicht in diesen Dokumenten. </w:t>
      </w:r>
    </w:p>
    <w:p w14:paraId="16C5BEFA" w14:textId="77777777" w:rsidR="00F115AE" w:rsidRDefault="00F115AE" w:rsidP="00E45E10"/>
    <w:p w14:paraId="3B228955" w14:textId="15740C66" w:rsidR="00E45E10" w:rsidRDefault="00E45E10" w:rsidP="00E45E10">
      <w:r w:rsidRPr="007B5629">
        <w:t xml:space="preserve">Die </w:t>
      </w:r>
      <w:proofErr w:type="spellStart"/>
      <w:r w:rsidRPr="007B5629">
        <w:t>Institutional</w:t>
      </w:r>
      <w:proofErr w:type="spellEnd"/>
      <w:r w:rsidRPr="007B5629">
        <w:t xml:space="preserve"> Investors Group on Climate Change IIGCC</w:t>
      </w:r>
      <w:r>
        <w:rPr>
          <w:rStyle w:val="Funotenzeichen"/>
          <w:lang w:val="en-GB"/>
        </w:rPr>
        <w:footnoteReference w:id="2441"/>
      </w:r>
      <w:r w:rsidRPr="007B5629">
        <w:t xml:space="preserve"> hat</w:t>
      </w:r>
      <w:r w:rsidR="009E27A9">
        <w:t xml:space="preserve"> </w:t>
      </w:r>
      <w:r w:rsidR="009E27A9" w:rsidRPr="0020420B">
        <w:rPr>
          <w:b/>
          <w:bCs/>
        </w:rPr>
        <w:t>dagegen klare und überzeugende</w:t>
      </w:r>
      <w:r w:rsidRPr="0020420B">
        <w:rPr>
          <w:b/>
          <w:bCs/>
        </w:rPr>
        <w:t xml:space="preserve"> </w:t>
      </w:r>
      <w:r w:rsidR="00DB2A0B" w:rsidRPr="0020420B">
        <w:rPr>
          <w:b/>
          <w:bCs/>
        </w:rPr>
        <w:t xml:space="preserve">Prinzipien für die Entwicklung von sektoralen </w:t>
      </w:r>
      <w:proofErr w:type="spellStart"/>
      <w:r w:rsidR="00DB2A0B" w:rsidRPr="0020420B">
        <w:rPr>
          <w:b/>
          <w:bCs/>
        </w:rPr>
        <w:t>Dekarbonisierungsplänen</w:t>
      </w:r>
      <w:proofErr w:type="spellEnd"/>
      <w:r w:rsidR="00DB2A0B" w:rsidRPr="0020420B">
        <w:rPr>
          <w:b/>
          <w:bCs/>
        </w:rPr>
        <w:t xml:space="preserve"> bzw. -Roadmaps‘ aufgestellt</w:t>
      </w:r>
      <w:r w:rsidR="00DB2A0B">
        <w:t xml:space="preserve">: </w:t>
      </w:r>
      <w:r w:rsidRPr="007B5629">
        <w:t>‚</w:t>
      </w:r>
      <w:proofErr w:type="spellStart"/>
      <w:r w:rsidRPr="007B5629">
        <w:t>Principles</w:t>
      </w:r>
      <w:proofErr w:type="spellEnd"/>
      <w:r w:rsidRPr="007B5629">
        <w:t xml:space="preserve"> </w:t>
      </w:r>
      <w:proofErr w:type="spellStart"/>
      <w:r w:rsidRPr="007B5629">
        <w:t>for</w:t>
      </w:r>
      <w:proofErr w:type="spellEnd"/>
      <w:r w:rsidRPr="007B5629">
        <w:t xml:space="preserve"> </w:t>
      </w:r>
      <w:proofErr w:type="spellStart"/>
      <w:r w:rsidRPr="007B5629">
        <w:t>developing</w:t>
      </w:r>
      <w:proofErr w:type="spellEnd"/>
      <w:r w:rsidRPr="007B5629">
        <w:t xml:space="preserve"> </w:t>
      </w:r>
      <w:proofErr w:type="spellStart"/>
      <w:r w:rsidRPr="007B5629">
        <w:t>sector</w:t>
      </w:r>
      <w:proofErr w:type="spellEnd"/>
      <w:r w:rsidRPr="007B5629">
        <w:t xml:space="preserve"> </w:t>
      </w:r>
      <w:proofErr w:type="spellStart"/>
      <w:r w:rsidRPr="007B5629">
        <w:t>decarbonization</w:t>
      </w:r>
      <w:proofErr w:type="spellEnd"/>
      <w:r w:rsidRPr="007B5629">
        <w:t xml:space="preserve"> </w:t>
      </w:r>
      <w:proofErr w:type="spellStart"/>
      <w:r w:rsidRPr="007B5629">
        <w:t>roadmaps</w:t>
      </w:r>
      <w:proofErr w:type="spellEnd"/>
      <w:r w:rsidRPr="007B5629">
        <w:t xml:space="preserve"> – </w:t>
      </w:r>
      <w:proofErr w:type="spellStart"/>
      <w:r w:rsidRPr="007B5629">
        <w:t>the</w:t>
      </w:r>
      <w:proofErr w:type="spellEnd"/>
      <w:r w:rsidRPr="007B5629">
        <w:t xml:space="preserve"> </w:t>
      </w:r>
      <w:proofErr w:type="spellStart"/>
      <w:r w:rsidRPr="007B5629">
        <w:t>investor</w:t>
      </w:r>
      <w:proofErr w:type="spellEnd"/>
      <w:r w:rsidRPr="007B5629">
        <w:t xml:space="preserve"> </w:t>
      </w:r>
      <w:proofErr w:type="spellStart"/>
      <w:r w:rsidRPr="007B5629">
        <w:t>perspective</w:t>
      </w:r>
      <w:proofErr w:type="spellEnd"/>
      <w:r w:rsidRPr="007B5629">
        <w:t xml:space="preserve"> </w:t>
      </w:r>
      <w:proofErr w:type="spellStart"/>
      <w:r w:rsidRPr="007B5629">
        <w:t>for</w:t>
      </w:r>
      <w:proofErr w:type="spellEnd"/>
      <w:r w:rsidRPr="007B5629">
        <w:t xml:space="preserve"> </w:t>
      </w:r>
      <w:proofErr w:type="spellStart"/>
      <w:r w:rsidRPr="007B5629">
        <w:lastRenderedPageBreak/>
        <w:t>policymakers</w:t>
      </w:r>
      <w:proofErr w:type="spellEnd"/>
      <w:r w:rsidRPr="007B5629">
        <w:t>’</w:t>
      </w:r>
      <w:r w:rsidR="007B5629" w:rsidRPr="007B5629">
        <w:t xml:space="preserve"> </w:t>
      </w:r>
      <w:r w:rsidR="007B5629">
        <w:t>aufgestellt:</w:t>
      </w:r>
      <w:r w:rsidRPr="007B5629">
        <w:t xml:space="preserve"> </w:t>
      </w:r>
      <w:r w:rsidRPr="001B1F1C">
        <w:t xml:space="preserve">Hier ist die Rede davon, dass man </w:t>
      </w:r>
      <w:r>
        <w:t>bei einem</w:t>
      </w:r>
      <w:r w:rsidRPr="001B1F1C">
        <w:t xml:space="preserve"> </w:t>
      </w:r>
      <w:proofErr w:type="spellStart"/>
      <w:r>
        <w:t>Dekarbonisierungsplan</w:t>
      </w:r>
      <w:proofErr w:type="spellEnd"/>
      <w:r>
        <w:t xml:space="preserve"> für eine </w:t>
      </w:r>
      <w:bookmarkStart w:id="125" w:name="_Hlk202200713"/>
      <w:r>
        <w:t>Sektor alle Stakeholder an der Wertschöpfungskette einbeziehen solle, dass man klar sagen sollte, wann ein Umbau des gesamten Sektors stattgefunden haben soll, mit einem Enddatum, dann sollte es Zwischenziele geben, es sollte klar gesagt werden, wie Wettbewerbsfähigkeit erhalten bzw. wie mit Kosten und Preisniveaus umgegangen wird, welche Kosten insgesamt zu erwarten sind, welche Anreizpolitiken vorliegen werden und wie ein Monitoring stattfindet und wer dafür verantwortlich ist</w:t>
      </w:r>
      <w:bookmarkEnd w:id="125"/>
      <w:r>
        <w:t>.</w:t>
      </w:r>
      <w:r>
        <w:rPr>
          <w:rStyle w:val="Funotenzeichen"/>
          <w:lang w:val="en-GB"/>
        </w:rPr>
        <w:footnoteReference w:id="2442"/>
      </w:r>
      <w:r>
        <w:t xml:space="preserve"> Dann können Banken auch Projekte finanzieren!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p w14:paraId="36FB5054" w14:textId="77777777" w:rsidR="00E45E10" w:rsidRDefault="00E45E10" w:rsidP="00E45E10">
      <w:pPr>
        <w:rPr>
          <w:u w:val="single"/>
        </w:rPr>
      </w:pPr>
    </w:p>
    <w:p w14:paraId="6245872C" w14:textId="634D17AC" w:rsidR="00E45E10" w:rsidRDefault="00E45E10" w:rsidP="00E45E10">
      <w:r w:rsidRPr="006A0891">
        <w:rPr>
          <w:u w:val="single"/>
        </w:rPr>
        <w:t xml:space="preserve">Der deutsche Umbau von nur 4 </w:t>
      </w:r>
      <w:r>
        <w:rPr>
          <w:u w:val="single"/>
        </w:rPr>
        <w:t xml:space="preserve">Hochöfen in 4 </w:t>
      </w:r>
      <w:r w:rsidRPr="006A0891">
        <w:rPr>
          <w:u w:val="single"/>
        </w:rPr>
        <w:t xml:space="preserve">Stahlwerken, ohne Enddatum und ohne Plan, wann der Rest erfolgen soll, ohne eine klare Idee wie man </w:t>
      </w:r>
      <w:proofErr w:type="gramStart"/>
      <w:r w:rsidRPr="006A0891">
        <w:rPr>
          <w:u w:val="single"/>
        </w:rPr>
        <w:t>mit den höhere Kosten</w:t>
      </w:r>
      <w:proofErr w:type="gramEnd"/>
      <w:r w:rsidRPr="006A0891">
        <w:rPr>
          <w:u w:val="single"/>
        </w:rPr>
        <w:t xml:space="preserve"> umgehen soll, scheint keinem der Kriterien in dieser Liste zu entsprechen</w:t>
      </w:r>
      <w:r>
        <w:t xml:space="preserve">. Immerhin </w:t>
      </w:r>
      <w:r w:rsidR="002D052E">
        <w:t>könnte es man als</w:t>
      </w:r>
      <w:r>
        <w:t xml:space="preserve"> </w:t>
      </w:r>
      <w:r w:rsidR="0020420B">
        <w:t>‚</w:t>
      </w:r>
      <w:r>
        <w:t>Zwischenziel</w:t>
      </w:r>
      <w:r w:rsidR="0020420B">
        <w:t>‘ bezeichnen</w:t>
      </w:r>
      <w:r>
        <w:t xml:space="preserve">, dass der Umbau </w:t>
      </w:r>
      <w:r w:rsidR="0020420B">
        <w:t xml:space="preserve">von 4 Hochöfen </w:t>
      </w:r>
      <w:r>
        <w:t xml:space="preserve">das Hochlaufen der Wasserstoffwirtschaft ermöglichen soll, die 4 Hochöfen brauchen vielleicht 720.000 Tonnen Wasserstoff, bis 2027 sind ‚nur‘ oder ‚immerhin schon‘ 128.000 Tonnen </w:t>
      </w:r>
      <w:r w:rsidR="00E056CF">
        <w:t xml:space="preserve">Wasserstoff in Deutschland </w:t>
      </w:r>
      <w:r>
        <w:t>vorhanden,</w:t>
      </w:r>
      <w:r w:rsidR="002A0EAE">
        <w:t xml:space="preserve"> siehe Teil 2,</w:t>
      </w:r>
      <w:r>
        <w:t xml:space="preserve"> </w:t>
      </w:r>
      <w:r w:rsidR="002A0EAE">
        <w:t xml:space="preserve">zumindest dann, </w:t>
      </w:r>
      <w:r>
        <w:t>wenn der Thyssen Nucera Elektrolyseur in Duisburg</w:t>
      </w:r>
      <w:r w:rsidR="00E056CF">
        <w:t xml:space="preserve"> gebaut werden sollte</w:t>
      </w:r>
      <w:r w:rsidR="002A0EAE">
        <w:t xml:space="preserve"> (Siegfried </w:t>
      </w:r>
      <w:proofErr w:type="spellStart"/>
      <w:r w:rsidR="002A0EAE">
        <w:t>Russwurm</w:t>
      </w:r>
      <w:proofErr w:type="spellEnd"/>
      <w:r w:rsidR="002A0EAE">
        <w:t xml:space="preserve"> hat aktuelle versprochen, dass Duisburg die Umbaupläne aufrechterhält</w:t>
      </w:r>
      <w:r w:rsidR="002A0EAE">
        <w:rPr>
          <w:rStyle w:val="Funotenzeichen"/>
        </w:rPr>
        <w:footnoteReference w:id="2443"/>
      </w:r>
      <w:r w:rsidR="002A0EAE">
        <w:t>)</w:t>
      </w:r>
      <w:r>
        <w:t xml:space="preserve">, trotz der Krise von Thyssen, sonst sind es 56.000 Tonnen Wasserstoff weniger. </w:t>
      </w:r>
    </w:p>
    <w:p w14:paraId="71447A5E" w14:textId="77777777" w:rsidR="00E45E10" w:rsidRDefault="00E45E10" w:rsidP="00183EDF"/>
    <w:p w14:paraId="34448DFF" w14:textId="7DBE93CD" w:rsidR="000D6C74" w:rsidRDefault="009F7637" w:rsidP="00183EDF">
      <w:r w:rsidRPr="0020420B">
        <w:rPr>
          <w:b/>
          <w:bCs/>
          <w:u w:val="single"/>
        </w:rPr>
        <w:t>Wie würde ein</w:t>
      </w:r>
      <w:r w:rsidR="00AA101B" w:rsidRPr="0020420B">
        <w:rPr>
          <w:b/>
          <w:bCs/>
          <w:u w:val="single"/>
        </w:rPr>
        <w:t xml:space="preserve"> wirklicher Umbaup</w:t>
      </w:r>
      <w:r w:rsidR="00183EDF" w:rsidRPr="0020420B">
        <w:rPr>
          <w:b/>
          <w:bCs/>
          <w:u w:val="single"/>
        </w:rPr>
        <w:t xml:space="preserve">lan </w:t>
      </w:r>
      <w:r w:rsidRPr="0020420B">
        <w:rPr>
          <w:b/>
          <w:bCs/>
          <w:u w:val="single"/>
        </w:rPr>
        <w:t xml:space="preserve">für die </w:t>
      </w:r>
      <w:r w:rsidR="00546595" w:rsidRPr="0020420B">
        <w:rPr>
          <w:b/>
          <w:bCs/>
          <w:u w:val="single"/>
        </w:rPr>
        <w:t xml:space="preserve">deutsche und europäische </w:t>
      </w:r>
      <w:r w:rsidRPr="0020420B">
        <w:rPr>
          <w:b/>
          <w:bCs/>
          <w:u w:val="single"/>
        </w:rPr>
        <w:t xml:space="preserve">Stahlindustrie aussehen? </w:t>
      </w:r>
      <w:r w:rsidR="002954B1">
        <w:t>Derzeit liegt die Rohstahlerzeugung in Deutschland bei 35,4 Mill. t, davon 70 %, als 24 Mill. in integrierten Hüttenwerken (2023).</w:t>
      </w:r>
      <w:r w:rsidR="002954B1">
        <w:rPr>
          <w:rStyle w:val="Funotenzeichen"/>
        </w:rPr>
        <w:footnoteReference w:id="2444"/>
      </w:r>
      <w:r w:rsidR="002954B1">
        <w:t xml:space="preserve"> </w:t>
      </w:r>
      <w:r>
        <w:t>W</w:t>
      </w:r>
      <w:r w:rsidR="00183EDF">
        <w:t xml:space="preserve">ir bauen in Deutschland </w:t>
      </w:r>
      <w:r w:rsidR="00546595">
        <w:t>20</w:t>
      </w:r>
      <w:r w:rsidR="002954B1">
        <w:t xml:space="preserve"> </w:t>
      </w:r>
      <w:r w:rsidR="00183EDF">
        <w:t xml:space="preserve">Direktreduktionsanalagen auf, mit </w:t>
      </w:r>
      <w:r w:rsidR="00546595">
        <w:t>1.0</w:t>
      </w:r>
      <w:r>
        <w:t xml:space="preserve">00.000 Tonnen Kapazität, </w:t>
      </w:r>
      <w:r w:rsidR="00272261">
        <w:t xml:space="preserve">weil es </w:t>
      </w:r>
      <w:r w:rsidR="002954B1">
        <w:t>Sinn</w:t>
      </w:r>
      <w:r w:rsidR="00272261">
        <w:t xml:space="preserve"> macht</w:t>
      </w:r>
      <w:r w:rsidR="002954B1">
        <w:t>, etwa</w:t>
      </w:r>
      <w:r w:rsidR="00272261">
        <w:t>s</w:t>
      </w:r>
      <w:r w:rsidR="002954B1">
        <w:t xml:space="preserve"> </w:t>
      </w:r>
      <w:r w:rsidR="00546595">
        <w:t>Kapazität ab</w:t>
      </w:r>
      <w:r w:rsidR="002954B1">
        <w:t>zu</w:t>
      </w:r>
      <w:r w:rsidR="00546595">
        <w:t>bau</w:t>
      </w:r>
      <w:r w:rsidR="002954B1">
        <w:t>en</w:t>
      </w:r>
      <w:r w:rsidR="00AA101B">
        <w:t>.</w:t>
      </w:r>
      <w:r w:rsidR="005575FB">
        <w:t xml:space="preserve"> </w:t>
      </w:r>
      <w:r w:rsidR="00272261">
        <w:t>Kosten</w:t>
      </w:r>
      <w:r w:rsidR="00C27529">
        <w:t xml:space="preserve"> geschätzt</w:t>
      </w:r>
      <w:r w:rsidR="00272261">
        <w:t xml:space="preserve">: </w:t>
      </w:r>
      <w:r w:rsidR="00C27529">
        <w:t>20</w:t>
      </w:r>
      <w:r w:rsidR="00272261">
        <w:t xml:space="preserve"> * </w:t>
      </w:r>
      <w:r w:rsidR="00C27529">
        <w:t>3</w:t>
      </w:r>
      <w:r w:rsidR="00272261">
        <w:t xml:space="preserve"> Mrd. = </w:t>
      </w:r>
      <w:r w:rsidR="00C27529">
        <w:t>60</w:t>
      </w:r>
      <w:r w:rsidR="00272261">
        <w:t xml:space="preserve"> Mrd. Euro</w:t>
      </w:r>
      <w:r w:rsidR="00757165">
        <w:t xml:space="preserve">, SHS im Saarland braucht 4,6 Mrd. für den Umbau, hier wird eine 2.000.000 Tonnen Direktreduktionsanlagen gebaut. </w:t>
      </w:r>
      <w:r w:rsidR="002954B1">
        <w:t>D</w:t>
      </w:r>
      <w:r>
        <w:t>er Rest der Stahlwerke wird von d</w:t>
      </w:r>
      <w:r w:rsidR="00AA101B">
        <w:t>en Direktreduktionsw</w:t>
      </w:r>
      <w:r>
        <w:t>erken mit Eisenschwamm beliefert und auf Elektrostahlschmelzen umgestellt</w:t>
      </w:r>
      <w:r w:rsidR="00757165">
        <w:t xml:space="preserve"> und sie b</w:t>
      </w:r>
      <w:r>
        <w:t>ekommen eine Strompreiskompensation (siehe das Beispiel Georgsmarienhütte in Teil 2)</w:t>
      </w:r>
      <w:r w:rsidR="00272261">
        <w:t>.</w:t>
      </w:r>
      <w:r>
        <w:t xml:space="preserve"> </w:t>
      </w:r>
      <w:r w:rsidR="00757165">
        <w:t>Man betreibt</w:t>
      </w:r>
      <w:r w:rsidR="00272261">
        <w:t xml:space="preserve"> Recycling, </w:t>
      </w:r>
      <w:r w:rsidR="00757165">
        <w:t xml:space="preserve">um mehr Schrott für die Elektrostahlwerke zu haben, </w:t>
      </w:r>
      <w:r w:rsidR="00272261">
        <w:t>aber dies hat Grenzen, wegen dem Qualitätsverlust durch die Kupferkontamination. D</w:t>
      </w:r>
      <w:r>
        <w:t xml:space="preserve">ies wird </w:t>
      </w:r>
      <w:r w:rsidR="00546595">
        <w:t>auch in anderen Ländern</w:t>
      </w:r>
      <w:r>
        <w:t xml:space="preserve"> Europa</w:t>
      </w:r>
      <w:r w:rsidR="00546595">
        <w:t>s</w:t>
      </w:r>
      <w:r>
        <w:t xml:space="preserve"> </w:t>
      </w:r>
      <w:r w:rsidR="00272261">
        <w:t xml:space="preserve">so </w:t>
      </w:r>
      <w:r w:rsidR="00546595">
        <w:t>durchgeführt und</w:t>
      </w:r>
      <w:r w:rsidR="002954B1">
        <w:t xml:space="preserve"> durch ein </w:t>
      </w:r>
      <w:proofErr w:type="gramStart"/>
      <w:r w:rsidR="002954B1">
        <w:t>EU Gremium</w:t>
      </w:r>
      <w:proofErr w:type="gramEnd"/>
      <w:r w:rsidR="00546595">
        <w:t xml:space="preserve"> </w:t>
      </w:r>
      <w:r>
        <w:t xml:space="preserve">zeitlich koordiniert, </w:t>
      </w:r>
      <w:r w:rsidR="002954B1">
        <w:t>man könnte</w:t>
      </w:r>
      <w:r w:rsidR="00272261">
        <w:t xml:space="preserve"> </w:t>
      </w:r>
      <w:r w:rsidR="00757165">
        <w:t xml:space="preserve">auch die Europäische Gemeinschaft für Kohle und Stahl wiederbeleben und dieses </w:t>
      </w:r>
      <w:r w:rsidR="00272261">
        <w:t>Gremium Green</w:t>
      </w:r>
      <w:r w:rsidR="002954B1">
        <w:t xml:space="preserve"> </w:t>
      </w:r>
      <w:r>
        <w:t>E</w:t>
      </w:r>
      <w:r w:rsidR="00272261">
        <w:t>CSC bzw. Grüne</w:t>
      </w:r>
      <w:r w:rsidR="00757165">
        <w:t>s</w:t>
      </w:r>
      <w:r w:rsidR="00272261">
        <w:t xml:space="preserve"> EGKS nennen. </w:t>
      </w:r>
      <w:r w:rsidR="00B140BB">
        <w:t xml:space="preserve">In Europa befinden </w:t>
      </w:r>
      <w:r w:rsidR="00FB0574">
        <w:t xml:space="preserve">ca. 52 </w:t>
      </w:r>
      <w:r w:rsidR="00B140BB">
        <w:t>Hochöfen</w:t>
      </w:r>
      <w:r w:rsidR="00B140BB">
        <w:rPr>
          <w:rStyle w:val="Funotenzeichen"/>
        </w:rPr>
        <w:footnoteReference w:id="2445"/>
      </w:r>
      <w:r w:rsidR="00FB0574">
        <w:t xml:space="preserve">, geht man von einem Kapazitätsabbau aus, aber auch davon, dass kleinere Länder eine Stahlproduktion behalten wollen, sind dies vielleicht </w:t>
      </w:r>
      <w:r w:rsidR="00C27529">
        <w:t>40</w:t>
      </w:r>
      <w:r w:rsidR="00FB0574">
        <w:t xml:space="preserve"> </w:t>
      </w:r>
      <w:proofErr w:type="spellStart"/>
      <w:r w:rsidR="00FB0574">
        <w:t>Midrex</w:t>
      </w:r>
      <w:proofErr w:type="spellEnd"/>
      <w:r w:rsidR="00FB0574">
        <w:t>-Direktreduktionsanlagen, mit 1.000.000 Tonnen Kapazität</w:t>
      </w:r>
      <w:r w:rsidR="00C27529">
        <w:t>, für jeweils 3 Mrd. Euro, das sind 120 Mrd. Euro.</w:t>
      </w:r>
      <w:r w:rsidR="00FB0574">
        <w:t xml:space="preserve"> </w:t>
      </w:r>
      <w:r w:rsidR="00546595">
        <w:t xml:space="preserve">Der Aufbau der </w:t>
      </w:r>
      <w:proofErr w:type="spellStart"/>
      <w:r w:rsidR="00546595">
        <w:t>Midre</w:t>
      </w:r>
      <w:r w:rsidR="00757165">
        <w:t>x</w:t>
      </w:r>
      <w:proofErr w:type="spellEnd"/>
      <w:r w:rsidR="00757165">
        <w:t>-Direktreduktionsanlagen</w:t>
      </w:r>
      <w:r>
        <w:t xml:space="preserve"> findet bis 203</w:t>
      </w:r>
      <w:r w:rsidR="00A36CFC">
        <w:t>3</w:t>
      </w:r>
      <w:r>
        <w:t xml:space="preserve"> statt, im Jahr 203</w:t>
      </w:r>
      <w:r w:rsidR="00A36CFC">
        <w:t>4</w:t>
      </w:r>
      <w:r>
        <w:t xml:space="preserve"> erfolgt die gemeinsame</w:t>
      </w:r>
      <w:r w:rsidR="00546595">
        <w:t>, europaweite, koordinierte</w:t>
      </w:r>
      <w:r>
        <w:t xml:space="preserve"> Umstellung auf die neuen Prozess</w:t>
      </w:r>
      <w:r w:rsidR="00546595">
        <w:t>e</w:t>
      </w:r>
      <w:r>
        <w:t xml:space="preserve"> und </w:t>
      </w:r>
      <w:r w:rsidR="00546595">
        <w:t>auf ein</w:t>
      </w:r>
      <w:r>
        <w:t xml:space="preserve"> neues, höheres Preisniveau für grünen Stahl. </w:t>
      </w:r>
      <w:r w:rsidR="00EE4534">
        <w:t xml:space="preserve">Dafür </w:t>
      </w:r>
      <w:r w:rsidR="00616021">
        <w:t xml:space="preserve">könnte </w:t>
      </w:r>
      <w:r w:rsidR="00EE4534">
        <w:t>die Europäische Gemeinschaft für Kohle und Stahl reaktivier</w:t>
      </w:r>
      <w:r w:rsidR="00616021">
        <w:t>t werden</w:t>
      </w:r>
      <w:r w:rsidR="00BE4F46">
        <w:t>, z.B. als Europäische Gemeinschaft für Energiewende bei Stahl- und Chemie</w:t>
      </w:r>
      <w:r w:rsidR="00EE4534">
        <w:t>, die,</w:t>
      </w:r>
      <w:r w:rsidR="00AE54AC">
        <w:t xml:space="preserve"> wie dies früher war,</w:t>
      </w:r>
      <w:r>
        <w:t xml:space="preserve"> im </w:t>
      </w:r>
      <w:r w:rsidR="00AE54AC">
        <w:t>D</w:t>
      </w:r>
      <w:r>
        <w:t xml:space="preserve">urchgriffsrechte </w:t>
      </w:r>
      <w:r w:rsidR="00EE4534">
        <w:t xml:space="preserve">hat </w:t>
      </w:r>
      <w:r>
        <w:t xml:space="preserve">und </w:t>
      </w:r>
      <w:r w:rsidR="00EE4534">
        <w:t>sie kann</w:t>
      </w:r>
      <w:r>
        <w:t xml:space="preserve"> beim Sprung auf das neue Preisniveau zur Not auch </w:t>
      </w:r>
      <w:r w:rsidR="00BE4F46">
        <w:t xml:space="preserve">Abnahmeverpflichtungen, </w:t>
      </w:r>
      <w:r>
        <w:t>Preiskontrollen</w:t>
      </w:r>
      <w:r w:rsidR="00BE4F46">
        <w:t>, auch gegen Übergewinne von noch nicht umgebauten Firmen</w:t>
      </w:r>
      <w:r w:rsidR="00616021">
        <w:t xml:space="preserve">, </w:t>
      </w:r>
      <w:r>
        <w:t xml:space="preserve">Mindestpreise </w:t>
      </w:r>
      <w:r w:rsidR="00616021">
        <w:t xml:space="preserve">oder Mengenbeschränkungen </w:t>
      </w:r>
      <w:r>
        <w:t>einführen</w:t>
      </w:r>
      <w:r w:rsidR="00BE4F46">
        <w:t xml:space="preserve"> kann</w:t>
      </w:r>
      <w:r>
        <w:t xml:space="preserve">, damit die Kosten </w:t>
      </w:r>
      <w:r w:rsidR="00546595">
        <w:t xml:space="preserve">u.a. für die Nutzung von Wasserstoff </w:t>
      </w:r>
      <w:r>
        <w:t xml:space="preserve">gedeckt sind und nicht neu </w:t>
      </w:r>
      <w:r w:rsidR="00546595">
        <w:t xml:space="preserve">staatlich </w:t>
      </w:r>
      <w:r>
        <w:t xml:space="preserve">subventioniert werden muss. </w:t>
      </w:r>
      <w:r w:rsidR="00757165">
        <w:t xml:space="preserve">Für Deutschland wären dies 180.000 Tonnen Wasserstoff pro Anlage, hier nur </w:t>
      </w:r>
      <w:r w:rsidR="00757165">
        <w:lastRenderedPageBreak/>
        <w:t xml:space="preserve">geschätzt: </w:t>
      </w:r>
      <w:r w:rsidR="00C27529">
        <w:t>20</w:t>
      </w:r>
      <w:r w:rsidR="00757165">
        <w:t xml:space="preserve"> mal 180.000 = </w:t>
      </w:r>
      <w:r w:rsidR="00C27529">
        <w:t>3</w:t>
      </w:r>
      <w:r w:rsidR="00757165">
        <w:t>.</w:t>
      </w:r>
      <w:r w:rsidR="00C27529">
        <w:t>6</w:t>
      </w:r>
      <w:r w:rsidR="00757165">
        <w:t xml:space="preserve">00.000 Tonnen, das sind </w:t>
      </w:r>
      <w:r w:rsidR="00C27529">
        <w:t>3,6</w:t>
      </w:r>
      <w:r w:rsidR="00757165">
        <w:t xml:space="preserve"> Mill. Tonnen. 10.000 Tonnen brauchen einen 100 MW Elektrolyseur, der 0,8 TWh braucht, also braucht man hier </w:t>
      </w:r>
      <w:r w:rsidR="00C27529">
        <w:t>360</w:t>
      </w:r>
      <w:r w:rsidR="00757165">
        <w:t xml:space="preserve"> davon, a 100 Mill. Euro oder, bei Preissenkung 50 Mill., 1</w:t>
      </w:r>
      <w:r w:rsidR="00C27529">
        <w:t>8</w:t>
      </w:r>
      <w:r w:rsidR="00757165">
        <w:t xml:space="preserve"> Mrd. </w:t>
      </w:r>
      <w:r w:rsidR="00C27529">
        <w:t>360</w:t>
      </w:r>
      <w:r w:rsidR="00757165">
        <w:t xml:space="preserve"> mal 0,8 TWh = 2</w:t>
      </w:r>
      <w:r w:rsidR="00C27529">
        <w:t>88</w:t>
      </w:r>
      <w:r w:rsidR="00757165">
        <w:t xml:space="preserve"> TWh Strom … / 0,3 = </w:t>
      </w:r>
      <w:proofErr w:type="gramStart"/>
      <w:r w:rsidR="00C27529">
        <w:t>960</w:t>
      </w:r>
      <w:r w:rsidR="00757165">
        <w:t xml:space="preserve"> mal</w:t>
      </w:r>
      <w:proofErr w:type="gramEnd"/>
      <w:r w:rsidR="00757165">
        <w:t xml:space="preserve"> der Windpark Werder </w:t>
      </w:r>
      <w:proofErr w:type="spellStart"/>
      <w:r w:rsidR="00757165">
        <w:t>Kessin</w:t>
      </w:r>
      <w:proofErr w:type="spellEnd"/>
      <w:r w:rsidR="00757165">
        <w:t xml:space="preserve">, </w:t>
      </w:r>
      <w:r w:rsidR="00C27529">
        <w:t>960</w:t>
      </w:r>
      <w:r w:rsidR="00757165">
        <w:t xml:space="preserve"> mal 220 Mill.</w:t>
      </w:r>
      <w:r w:rsidR="005C4FCE">
        <w:t xml:space="preserve"> = </w:t>
      </w:r>
      <w:r w:rsidR="00C27529">
        <w:t>211</w:t>
      </w:r>
      <w:r w:rsidR="005C4FCE">
        <w:t xml:space="preserve"> Mrd. Der Aufbau der Erneuerbaren Energien kostet </w:t>
      </w:r>
      <w:r w:rsidR="00C27529">
        <w:t xml:space="preserve">also </w:t>
      </w:r>
      <w:r w:rsidR="005C4FCE">
        <w:t>1</w:t>
      </w:r>
      <w:r w:rsidR="00C27529">
        <w:t xml:space="preserve">8 </w:t>
      </w:r>
      <w:r w:rsidR="005C4FCE">
        <w:t xml:space="preserve">Mrd. plus </w:t>
      </w:r>
      <w:r w:rsidR="00C27529">
        <w:t>211</w:t>
      </w:r>
      <w:r w:rsidR="005C4FCE">
        <w:t xml:space="preserve"> Mrd. = </w:t>
      </w:r>
      <w:r w:rsidR="00C27529">
        <w:t>229</w:t>
      </w:r>
      <w:r w:rsidR="005C4FCE">
        <w:t xml:space="preserve"> Mrd., dazu noch Großbatterien und wasserstofffähige Gaskraftwerke</w:t>
      </w:r>
      <w:r w:rsidR="005066F5">
        <w:t xml:space="preserve"> (für Europa wäre es ca. doppelt so viel, also etwa mehr als 700 Elektrolyseure und etwas mehr als 1920 Landwindparks, etwas mehr als Kosten von 460 Mrd.)</w:t>
      </w:r>
      <w:r w:rsidR="005C4FCE">
        <w:t xml:space="preserve"> … </w:t>
      </w:r>
      <w:r w:rsidR="005066F5">
        <w:t>und</w:t>
      </w:r>
      <w:r w:rsidR="005C4FCE">
        <w:t xml:space="preserve">: </w:t>
      </w:r>
      <w:r w:rsidR="005066F5" w:rsidRPr="005066F5">
        <w:rPr>
          <w:u w:val="single"/>
        </w:rPr>
        <w:t xml:space="preserve">jedenfalls in Deutschland </w:t>
      </w:r>
      <w:r w:rsidR="005C4FCE" w:rsidRPr="005066F5">
        <w:rPr>
          <w:u w:val="single"/>
        </w:rPr>
        <w:t xml:space="preserve">braucht </w:t>
      </w:r>
      <w:r w:rsidR="000D6C74">
        <w:rPr>
          <w:u w:val="single"/>
        </w:rPr>
        <w:t>die Industrie</w:t>
      </w:r>
      <w:r w:rsidR="005C4FCE" w:rsidRPr="005066F5">
        <w:rPr>
          <w:u w:val="single"/>
        </w:rPr>
        <w:t xml:space="preserve"> </w:t>
      </w:r>
      <w:r w:rsidR="005066F5" w:rsidRPr="005066F5">
        <w:rPr>
          <w:u w:val="single"/>
        </w:rPr>
        <w:t xml:space="preserve">den Aufbau der erneuerbaren Energien </w:t>
      </w:r>
      <w:r w:rsidR="005C4FCE" w:rsidRPr="005066F5">
        <w:rPr>
          <w:u w:val="single"/>
        </w:rPr>
        <w:t>nicht bezahlen</w:t>
      </w:r>
      <w:r w:rsidR="005C4FCE">
        <w:t>, das bezahlen Investoren</w:t>
      </w:r>
      <w:r w:rsidR="005066F5">
        <w:t>, f</w:t>
      </w:r>
      <w:r w:rsidR="005C4FCE">
        <w:t xml:space="preserve">ür die Investitionen in erneuerbare Energien gibt es Anreizinstrumente vom Staat bzw. von der Bundesnetzagentur. Bleibt vielleicht noch der ein oder andere Elektrolyseur, den die Stahlindustrie dann selbst bezahlen muss bzw. will. </w:t>
      </w:r>
      <w:r w:rsidR="005066F5">
        <w:t>Mit dem Umbau der</w:t>
      </w:r>
      <w:r w:rsidR="00ED2F55">
        <w:t xml:space="preserve"> gesamten</w:t>
      </w:r>
      <w:r w:rsidR="005066F5">
        <w:t xml:space="preserve"> Stahlindustrie</w:t>
      </w:r>
      <w:r w:rsidR="00ED2F55">
        <w:t>,</w:t>
      </w:r>
      <w:r w:rsidR="005066F5">
        <w:t xml:space="preserve"> dem Aufbau der Elektrolyseure und erneuerbaren Energien kann man </w:t>
      </w:r>
      <w:r w:rsidR="005C4FCE">
        <w:t xml:space="preserve">jetzt schon anfangen und der Staat </w:t>
      </w:r>
      <w:r w:rsidR="005066F5">
        <w:t xml:space="preserve">kann die direkten Investitionskosten in die Stahlanlagen </w:t>
      </w:r>
      <w:r w:rsidR="005C4FCE">
        <w:t xml:space="preserve">teils über Kredite, die staatlich garantiert sind, teils über Subventionen finanzieren. </w:t>
      </w:r>
      <w:r w:rsidR="005951AC">
        <w:t>Für die erneuerbaren Energien werden in Deutschland nur die</w:t>
      </w:r>
      <w:r w:rsidR="005C4FCE">
        <w:t xml:space="preserve"> Anreizinstrumente bezahlt, also </w:t>
      </w:r>
      <w:r w:rsidR="00A425EF">
        <w:t xml:space="preserve">z.B. </w:t>
      </w:r>
      <w:r w:rsidR="00C27529">
        <w:t>960</w:t>
      </w:r>
      <w:r w:rsidR="00A425EF">
        <w:t xml:space="preserve"> Landwindparks</w:t>
      </w:r>
      <w:r w:rsidR="005C4FCE">
        <w:t xml:space="preserve"> mal eine jährliche Kapazitätszahlung an die Landwindparkbetreiber über mehrere Jahre, das kann ich hier nicht schätzen, es sind auf jeden</w:t>
      </w:r>
      <w:r w:rsidR="00491BB7">
        <w:t xml:space="preserve"> F</w:t>
      </w:r>
      <w:r w:rsidR="005C4FCE">
        <w:t xml:space="preserve">all weniger als 200 Mrd. und wird vielleicht über 10 Jahre gezahlt … </w:t>
      </w:r>
      <w:r w:rsidR="00C27529">
        <w:t xml:space="preserve">setzt man </w:t>
      </w:r>
      <w:r w:rsidR="005951AC">
        <w:t xml:space="preserve">eine relativ hohe Summe von </w:t>
      </w:r>
      <w:r w:rsidR="00C27529">
        <w:t>50</w:t>
      </w:r>
      <w:r w:rsidR="005C4FCE">
        <w:t xml:space="preserve"> Mrd. </w:t>
      </w:r>
      <w:r w:rsidR="00C27529">
        <w:t xml:space="preserve">über 10 Jahre an </w:t>
      </w:r>
      <w:r w:rsidR="00ED2F55">
        <w:t xml:space="preserve">sind dies </w:t>
      </w:r>
      <w:r w:rsidR="005C4FCE">
        <w:t xml:space="preserve">/ 10 = </w:t>
      </w:r>
      <w:r w:rsidR="00C27529">
        <w:t>5</w:t>
      </w:r>
      <w:r w:rsidR="005C4FCE">
        <w:t xml:space="preserve"> Mrd. pro Jahr. Wenn die Stahlindustrie wieder Gewinne macht, kann sie dies dann ganz langsam, wie beim Bafög, wieder zurückzahlen</w:t>
      </w:r>
      <w:r w:rsidR="000D6C74">
        <w:t xml:space="preserve"> bzw. eine Rückzahlungskomponente </w:t>
      </w:r>
      <w:r w:rsidR="00ED2F55">
        <w:t>wirkt</w:t>
      </w:r>
      <w:r w:rsidR="005C4FCE">
        <w:t xml:space="preserve">. </w:t>
      </w:r>
      <w:r w:rsidR="00D56C36">
        <w:t>Das etwas höhere Preisniveau wird ab 203</w:t>
      </w:r>
      <w:r w:rsidR="005951AC">
        <w:t>3</w:t>
      </w:r>
      <w:r w:rsidR="00D56C36">
        <w:t xml:space="preserve"> vom CBAM abgesichert, Umgehung wird verhindert, Importe zur Not mit Antidumping- und </w:t>
      </w:r>
      <w:proofErr w:type="spellStart"/>
      <w:r w:rsidR="00D56C36">
        <w:t>Schutzklauselzöllen</w:t>
      </w:r>
      <w:proofErr w:type="spellEnd"/>
      <w:r w:rsidR="00D56C36">
        <w:t xml:space="preserve"> verringert, um das neue Preisniveau für eine Vielzahl von Stahlprodukten zu halten. </w:t>
      </w:r>
    </w:p>
    <w:p w14:paraId="5CDC4AA8" w14:textId="77777777" w:rsidR="00F00EEF" w:rsidRDefault="00F00EEF" w:rsidP="00F00EEF"/>
    <w:p w14:paraId="3F9A0FA3" w14:textId="77777777" w:rsidR="00980D47" w:rsidRDefault="00980D47" w:rsidP="00980D47">
      <w:r w:rsidRPr="00F00EEF">
        <w:rPr>
          <w:u w:val="single"/>
        </w:rPr>
        <w:t>Was ist, wenn der Umbau gar nicht so aufwendig ist und gar nicht so viel kostet wie immer gedacht</w:t>
      </w:r>
      <w:r>
        <w:rPr>
          <w:u w:val="single"/>
        </w:rPr>
        <w:t>?</w:t>
      </w:r>
      <w:r>
        <w:t xml:space="preserve"> In Europa befinden ca. 52 Hochöfen</w:t>
      </w:r>
      <w:r>
        <w:rPr>
          <w:rStyle w:val="Funotenzeichen"/>
        </w:rPr>
        <w:footnoteReference w:id="2446"/>
      </w:r>
      <w:r>
        <w:t xml:space="preserve">, 2023 wurde in Europa 69.783.000 Tonnen Hochofenstahl hergestellt </w:t>
      </w:r>
      <w:proofErr w:type="gramStart"/>
      <w:r>
        <w:t>( 58.422.000</w:t>
      </w:r>
      <w:proofErr w:type="gramEnd"/>
      <w:r>
        <w:t xml:space="preserve"> Elektrostahl)</w:t>
      </w:r>
      <w:r>
        <w:rPr>
          <w:rStyle w:val="Funotenzeichen"/>
        </w:rPr>
        <w:footnoteReference w:id="2447"/>
      </w:r>
      <w:r>
        <w:t xml:space="preserve"> rechnet man pro Hochofen eine neue </w:t>
      </w:r>
      <w:proofErr w:type="spellStart"/>
      <w:r>
        <w:t>Midrex</w:t>
      </w:r>
      <w:proofErr w:type="spellEnd"/>
      <w:r>
        <w:t xml:space="preserve">-Direktreduktionsanlagen mit 1.000.000 Tonnen Rohstahl (es gibt auch bis 2 Mill. Tonnen Anlagen) und nimmt pro Anlage Kosten von 3 Mrd. an, dann sind dies vereinfacht (mit ein </w:t>
      </w:r>
      <w:proofErr w:type="spellStart"/>
      <w:r>
        <w:t>bißchen</w:t>
      </w:r>
      <w:proofErr w:type="spellEnd"/>
      <w:r>
        <w:t xml:space="preserve"> Kapazitätsabbau 50 * 3 Mrd. = </w:t>
      </w:r>
      <w:r w:rsidRPr="00811A3B">
        <w:rPr>
          <w:b/>
          <w:bCs/>
          <w:u w:val="single"/>
        </w:rPr>
        <w:t>150 Mrd</w:t>
      </w:r>
      <w:r>
        <w:rPr>
          <w:b/>
          <w:bCs/>
          <w:u w:val="single"/>
        </w:rPr>
        <w:t>. Euro.</w:t>
      </w:r>
      <w:r>
        <w:t xml:space="preserve"> Fertig ist der Umbau der europäischen Stahlindustrie. In Europa sind 49 Steamcracker in Betrieb</w:t>
      </w:r>
      <w:r>
        <w:rPr>
          <w:rStyle w:val="Funotenzeichen"/>
        </w:rPr>
        <w:footnoteReference w:id="2448"/>
      </w:r>
      <w:r>
        <w:t xml:space="preserve">, hier muss entweder Methanol-zu-Olefinen oder eine grüne Fischer-Tropsch-Anlage vorgeschaltet werden (statt dem Spaltofen), der ganze Rest der Anlage kann weiterverwendet werden (bzw. vielleicht noch elektrische </w:t>
      </w:r>
      <w:proofErr w:type="spellStart"/>
      <w:r>
        <w:t>Hitzererzeugung</w:t>
      </w:r>
      <w:proofErr w:type="spellEnd"/>
      <w:r>
        <w:t xml:space="preserve"> eingebaut werden). Nimmt man vereinfacht hier 50 Anlagen an, und rechnet 2 Mrd., pro Anlage, sind es hier </w:t>
      </w:r>
      <w:r w:rsidRPr="00811A3B">
        <w:rPr>
          <w:b/>
          <w:bCs/>
          <w:u w:val="single"/>
        </w:rPr>
        <w:t>100 Mrd</w:t>
      </w:r>
      <w:r w:rsidRPr="00B24B98">
        <w:rPr>
          <w:b/>
          <w:bCs/>
        </w:rPr>
        <w:t>.</w:t>
      </w:r>
      <w:r>
        <w:rPr>
          <w:b/>
          <w:bCs/>
        </w:rPr>
        <w:t xml:space="preserve"> Euro.</w:t>
      </w:r>
      <w:r w:rsidRPr="00B24B98">
        <w:rPr>
          <w:b/>
          <w:bCs/>
        </w:rPr>
        <w:t xml:space="preserve"> Also: der Umbau der Stahl- und Chemieindustrie in ganz Europa ist mit </w:t>
      </w:r>
      <w:r w:rsidRPr="00811A3B">
        <w:rPr>
          <w:b/>
          <w:bCs/>
          <w:u w:val="single"/>
        </w:rPr>
        <w:t>300 Mrd. Euro</w:t>
      </w:r>
      <w:r w:rsidRPr="00B24B98">
        <w:rPr>
          <w:b/>
          <w:bCs/>
        </w:rPr>
        <w:t xml:space="preserve"> gewuppt.</w:t>
      </w:r>
      <w:r>
        <w:t xml:space="preserve"> </w:t>
      </w:r>
    </w:p>
    <w:p w14:paraId="1456B08A" w14:textId="77777777" w:rsidR="00980D47" w:rsidRDefault="00980D47" w:rsidP="00980D47"/>
    <w:p w14:paraId="5CBF6D2E" w14:textId="77777777" w:rsidR="00980D47" w:rsidRPr="00F00EEF" w:rsidRDefault="00980D47" w:rsidP="00980D47">
      <w:r>
        <w:t xml:space="preserve">Zum Vergleich: Die Schätzungen z.B. der Europäischen Investitionsbank für die Klimatransformation gehen viel höher: Wenn man die Ziele vom Green Deal und </w:t>
      </w:r>
      <w:proofErr w:type="spellStart"/>
      <w:r>
        <w:t>REPowerEU</w:t>
      </w:r>
      <w:proofErr w:type="spellEnd"/>
      <w:r>
        <w:t xml:space="preserve"> erreichen wollte, bräuchte man 620 Mrd. </w:t>
      </w:r>
      <w:r w:rsidRPr="00F00EEF">
        <w:rPr>
          <w:u w:val="single"/>
        </w:rPr>
        <w:t>pro Jahr</w:t>
      </w:r>
      <w:r>
        <w:t xml:space="preserve"> (!) (meine Hervorhebung).</w:t>
      </w:r>
      <w:r>
        <w:rPr>
          <w:rStyle w:val="Funotenzeichen"/>
        </w:rPr>
        <w:footnoteReference w:id="2449"/>
      </w:r>
      <w:r>
        <w:t xml:space="preserve"> </w:t>
      </w:r>
      <w:r w:rsidRPr="00F00EEF">
        <w:rPr>
          <w:b/>
          <w:bCs/>
        </w:rPr>
        <w:t>Diese hohen Schätzungen sind entmutigend und erzeugen den Eindruck, als ob die Energiewende gar nicht schaffbar ist.</w:t>
      </w:r>
      <w:r>
        <w:rPr>
          <w:b/>
          <w:bCs/>
        </w:rPr>
        <w:t xml:space="preserve"> Auf welcher Basis erfolgt diese hohe Schätzung (von der EIB)? </w:t>
      </w:r>
      <w:r w:rsidRPr="00F00EEF">
        <w:t>Es is</w:t>
      </w:r>
      <w:r>
        <w:t>t jedenfalls klar, dass diese Kosten nicht nur Kosten sind, die der Staat direkt bezahlen muss (i.S. von Subventionen etwa), sondern</w:t>
      </w:r>
      <w:r w:rsidRPr="00F00EEF">
        <w:t xml:space="preserve"> dass ein Teil dieser </w:t>
      </w:r>
      <w:r w:rsidRPr="00F00EEF">
        <w:lastRenderedPageBreak/>
        <w:t>Kosten eben umgelegt wird, Netzausbau auf die Strompreise und die priv</w:t>
      </w:r>
      <w:r>
        <w:t>a</w:t>
      </w:r>
      <w:r w:rsidRPr="00F00EEF">
        <w:t xml:space="preserve">ten Finanzmärkte finanzieren teils den Aufbau erneuerbarer Energien!!! </w:t>
      </w:r>
      <w:r>
        <w:t>Dies muss aber bei solchen Kostenschätzungen kenntlich gemacht werden!!!</w:t>
      </w:r>
    </w:p>
    <w:p w14:paraId="36CC6FC1" w14:textId="77777777" w:rsidR="00980D47" w:rsidRDefault="00980D47" w:rsidP="00980D47"/>
    <w:p w14:paraId="3A1FF7B1" w14:textId="5BE8041F" w:rsidR="00980D47" w:rsidRDefault="00980D47" w:rsidP="00980D47">
      <w:r>
        <w:t>Nimmt man die niedrigeren, konkreten Zahlen, kann man sich auch wieder vorstellen, dass etwa die EU mal den Umbau einer Stahlanlage fördert: … Die EU-Förderprogramme der letzten Jahren enthielten fast 300 Mrd. Euro … : Horizon Europe, der Forschungs- und Innovationsfond der EU ist von 2021-2027 mit 93,5 Mill. Euro ausgestattet</w:t>
      </w:r>
      <w:r>
        <w:rPr>
          <w:rStyle w:val="Funotenzeichen"/>
        </w:rPr>
        <w:footnoteReference w:id="2450"/>
      </w:r>
      <w:r>
        <w:t>, seit 2018 wurden neun IPCEI Programme, die mehrere Projekte enthalten, ausgerollt, mit einem Volumen von 91 Mrd. Euro.</w:t>
      </w:r>
      <w:r>
        <w:rPr>
          <w:rStyle w:val="Funotenzeichen"/>
        </w:rPr>
        <w:footnoteReference w:id="2451"/>
      </w:r>
      <w:r>
        <w:t xml:space="preserve"> Das Unterzeichnungsvolumen der Europäischen Investitionsbank EIB lag 2024 bei 68,7 Mrd. (in der EU).</w:t>
      </w:r>
      <w:r>
        <w:rPr>
          <w:rStyle w:val="Funotenzeichen"/>
        </w:rPr>
        <w:footnoteReference w:id="2452"/>
      </w:r>
      <w:r>
        <w:t xml:space="preserve"> Das erste Gebotsverfahren der deutschen Klimaschutzverträge war mit 4 Mrd. Euro ausgestattet.</w:t>
      </w:r>
      <w:r>
        <w:rPr>
          <w:rStyle w:val="Funotenzeichen"/>
        </w:rPr>
        <w:footnoteReference w:id="2453"/>
      </w:r>
      <w:r>
        <w:t xml:space="preserve"> … </w:t>
      </w:r>
      <w:r w:rsidRPr="00833CFF">
        <w:rPr>
          <w:b/>
          <w:bCs/>
        </w:rPr>
        <w:t>da fragt man sich schon, warum man sich nicht mal an die großen Projekte drantraut, z.B. erstmal Stahl und dann Chemie umbaut</w:t>
      </w:r>
      <w:r>
        <w:t xml:space="preserve"> … auf der EU Ebene muss man schon deshalb denken, weil bei unterschiedlichen Ausbaugeschwindigkeiten, Technologien etc. unterschiedliche Preisniveaus nach dem Umbau herrschen …</w:t>
      </w:r>
    </w:p>
    <w:p w14:paraId="4FC6E849" w14:textId="77777777" w:rsidR="00980D47" w:rsidRDefault="00980D47" w:rsidP="00183EDF"/>
    <w:p w14:paraId="0736AE09" w14:textId="6EDB5DC8" w:rsidR="00BD07F6" w:rsidRDefault="009E33DF" w:rsidP="00183EDF">
      <w:r>
        <w:t>Nun nehme ich noch Infos von Agora Industrie et al. 2021</w:t>
      </w:r>
      <w:r w:rsidR="00F00EEF">
        <w:t xml:space="preserve"> dazu</w:t>
      </w:r>
      <w:r w:rsidR="00A425EF">
        <w:t>, eine weitere, detaillierte Publikation, mit dem Schwerpunkt</w:t>
      </w:r>
      <w:r w:rsidR="002748A2">
        <w:t xml:space="preserve"> deutsche</w:t>
      </w:r>
      <w:r w:rsidR="00A425EF">
        <w:t xml:space="preserve"> Klimaschutzverträge</w:t>
      </w:r>
      <w:r w:rsidR="002748A2">
        <w:t xml:space="preserve">. </w:t>
      </w:r>
      <w:r w:rsidR="00811A3B">
        <w:t>Hier gibt viele Kostenberechnungen:</w:t>
      </w:r>
      <w:r w:rsidR="00A425EF">
        <w:t xml:space="preserve"> thematisiert wird z.B. ab wann bei Stahl Erdgas und blauer Wasserstoff sinnvoll ist</w:t>
      </w:r>
      <w:r>
        <w:t xml:space="preserve"> </w:t>
      </w:r>
      <w:r w:rsidR="00A425EF">
        <w:t>und es werden detaillierte Kostenschätzungen versucht</w:t>
      </w:r>
      <w:r>
        <w:t xml:space="preserve">: </w:t>
      </w:r>
      <w:r w:rsidR="00A425EF">
        <w:t xml:space="preserve">Beobachtet wird, dass es </w:t>
      </w:r>
      <w:r w:rsidR="000D6C74">
        <w:t xml:space="preserve">bei den </w:t>
      </w:r>
      <w:proofErr w:type="spellStart"/>
      <w:r w:rsidR="000D6C74">
        <w:t>Midrex</w:t>
      </w:r>
      <w:proofErr w:type="spellEnd"/>
      <w:r w:rsidR="000D6C74">
        <w:t>-Direktreduktionsanlagen sogar möglich</w:t>
      </w:r>
      <w:r w:rsidR="00A425EF">
        <w:t xml:space="preserve"> ist</w:t>
      </w:r>
      <w:r w:rsidR="000D6C74">
        <w:t>, diese zuerst von Kokskohle (am bil</w:t>
      </w:r>
      <w:r w:rsidR="00B702F5">
        <w:t>l</w:t>
      </w:r>
      <w:r w:rsidR="000D6C74">
        <w:t>igsten), auf Erdgas (</w:t>
      </w:r>
      <w:r w:rsidR="008A58E2">
        <w:t xml:space="preserve">25 % </w:t>
      </w:r>
      <w:r w:rsidR="000D6C74">
        <w:t>teurer) umzustellen, und dann Wasserstoff (</w:t>
      </w:r>
      <w:r w:rsidR="008A58E2">
        <w:t>noch 43 %</w:t>
      </w:r>
      <w:r w:rsidR="000D6C74">
        <w:t xml:space="preserve"> teu</w:t>
      </w:r>
      <w:r w:rsidR="008A58E2">
        <w:t>rer</w:t>
      </w:r>
      <w:r w:rsidR="000D6C74">
        <w:t xml:space="preserve">) </w:t>
      </w:r>
      <w:r w:rsidR="00A425EF">
        <w:t>Schritt-für-Schritt</w:t>
      </w:r>
      <w:r w:rsidR="000D6C74">
        <w:t xml:space="preserve"> mehr </w:t>
      </w:r>
      <w:proofErr w:type="spellStart"/>
      <w:r w:rsidR="000D6C74">
        <w:t>dazu</w:t>
      </w:r>
      <w:r w:rsidR="008A58E2">
        <w:t>zu</w:t>
      </w:r>
      <w:r w:rsidR="000D6C74">
        <w:t>mischen</w:t>
      </w:r>
      <w:proofErr w:type="spellEnd"/>
      <w:r w:rsidR="00A425EF">
        <w:t>, sprich: man könnten den Kostenanstieg durch grüne Produktion dosiert, Schritt-für-Schritt erfolgen lassen</w:t>
      </w:r>
      <w:r w:rsidR="000D6C74">
        <w:t xml:space="preserve">. </w:t>
      </w:r>
      <w:r w:rsidR="00A425EF">
        <w:t>Berechnet wird, dass w</w:t>
      </w:r>
      <w:r w:rsidR="00D908F1">
        <w:t xml:space="preserve">enn der Staat </w:t>
      </w:r>
      <w:r w:rsidR="00A425EF">
        <w:t>eine</w:t>
      </w:r>
      <w:r w:rsidR="00D908F1">
        <w:t xml:space="preserve"> Direktreduktionsanlage subventioniert, die Produktionskosten nicht über das heutige Kokskohle-Niveau an</w:t>
      </w:r>
      <w:r w:rsidR="00A425EF">
        <w:t>steigen</w:t>
      </w:r>
      <w:r w:rsidR="00D908F1">
        <w:t>, selbst wenn für Erdgas Emissionszertifikate gekauft werden (Preis von 2021). Beim Umbau verliert die Anlage aber das Recht kostenlos Emissionsberechtigungen zugeteilt zu bekommen, dadurch w</w:t>
      </w:r>
      <w:r w:rsidR="00A425EF">
        <w:t>ürde</w:t>
      </w:r>
      <w:r w:rsidR="00D908F1">
        <w:t xml:space="preserve"> die Anlage insgesamt gesehen unrentabe</w:t>
      </w:r>
      <w:r w:rsidR="008A58E2">
        <w:t>l</w:t>
      </w:r>
      <w:r w:rsidR="00811A3B">
        <w:t>, wenn man Erdgas und Wasserstoff mischt</w:t>
      </w:r>
      <w:r w:rsidR="00D908F1">
        <w:t>, trotz einer 66 % CO2-Reduktion durch den Einsatz von Erdgas.</w:t>
      </w:r>
      <w:r w:rsidR="00D908F1" w:rsidRPr="00D908F1">
        <w:rPr>
          <w:rStyle w:val="Funotenzeichen"/>
        </w:rPr>
        <w:t xml:space="preserve"> </w:t>
      </w:r>
      <w:r w:rsidR="00D908F1">
        <w:rPr>
          <w:rStyle w:val="Funotenzeichen"/>
        </w:rPr>
        <w:footnoteReference w:id="2454"/>
      </w:r>
      <w:r w:rsidR="00D908F1">
        <w:t xml:space="preserve"> </w:t>
      </w:r>
      <w:r w:rsidR="002748A2">
        <w:t>Berechnet wird folgende Kostensteigerung: 373 Euro / Tonne Rohstahl heute, auf 646 Euro / Tonne Rohstahl Direktreduktion mit Wasserstoff.</w:t>
      </w:r>
      <w:r w:rsidR="002748A2">
        <w:rPr>
          <w:rStyle w:val="Funotenzeichen"/>
        </w:rPr>
        <w:footnoteReference w:id="2455"/>
      </w:r>
    </w:p>
    <w:p w14:paraId="2B75CBE9" w14:textId="77777777" w:rsidR="00A425EF" w:rsidRDefault="00A425EF" w:rsidP="00183EDF"/>
    <w:p w14:paraId="46B85FF6" w14:textId="77777777" w:rsidR="00E905BB" w:rsidRDefault="00BD07F6" w:rsidP="00183EDF">
      <w:r>
        <w:t xml:space="preserve">Derzeit werden </w:t>
      </w:r>
      <w:r w:rsidR="00A425EF">
        <w:t xml:space="preserve">in Deutschland </w:t>
      </w:r>
      <w:r>
        <w:t xml:space="preserve">4 </w:t>
      </w:r>
      <w:r w:rsidR="00A425EF">
        <w:t xml:space="preserve">Hochöfen </w:t>
      </w:r>
      <w:r>
        <w:t xml:space="preserve">umgebaut. Für die 4 </w:t>
      </w:r>
      <w:r w:rsidR="00A425EF">
        <w:t xml:space="preserve">neuen Direktreduktionsanlagen (DRI) </w:t>
      </w:r>
      <w:r>
        <w:t>wird erst einmal zu wenig Wasserstoff da sein (bis 2027 gibt es in Deutschland erst 128.000 Tonnen, gebraucht werden grob geschätzt 720.000 Tonnen Wasserstoff), also könnte man hier erstmal Erdgas und blauen Wasserstoff einsetzen</w:t>
      </w:r>
      <w:r w:rsidR="008A58E2">
        <w:t>. Von Agora Industrie et al. 2021 wird vorgeschlagen, dass</w:t>
      </w:r>
      <w:r w:rsidR="00603DA0">
        <w:t xml:space="preserve"> neben den 8 Mrd. Euro Investitionskosten</w:t>
      </w:r>
      <w:r w:rsidR="008A58E2">
        <w:t xml:space="preserve"> in dieser Phase </w:t>
      </w:r>
      <w:r w:rsidR="00A425EF">
        <w:t xml:space="preserve">Mehrkosten </w:t>
      </w:r>
      <w:r w:rsidR="008A58E2">
        <w:t xml:space="preserve">durch </w:t>
      </w:r>
      <w:r>
        <w:t>Klimaschutzvertr</w:t>
      </w:r>
      <w:r w:rsidR="008A58E2">
        <w:t>äge</w:t>
      </w:r>
      <w:r>
        <w:t xml:space="preserve"> </w:t>
      </w:r>
      <w:r w:rsidR="005A6DD6">
        <w:t xml:space="preserve">/ oder Differenzverträge </w:t>
      </w:r>
      <w:r w:rsidR="008A58E2">
        <w:t>getragen werden</w:t>
      </w:r>
      <w:r w:rsidR="005A6DD6">
        <w:t xml:space="preserve"> könnten</w:t>
      </w:r>
      <w:r w:rsidR="00603DA0">
        <w:t xml:space="preserve">, </w:t>
      </w:r>
      <w:r w:rsidR="005A6DD6">
        <w:t xml:space="preserve">berechnet </w:t>
      </w:r>
      <w:r w:rsidR="00811A3B">
        <w:t>wird, dass</w:t>
      </w:r>
      <w:r w:rsidR="005A6DD6">
        <w:t xml:space="preserve"> </w:t>
      </w:r>
      <w:r w:rsidR="00811A3B">
        <w:t>höhere</w:t>
      </w:r>
      <w:r w:rsidR="005A6DD6">
        <w:t xml:space="preserve"> Betriebskosten </w:t>
      </w:r>
      <w:r w:rsidR="00603DA0">
        <w:t xml:space="preserve">von 27 Mrd. </w:t>
      </w:r>
      <w:r w:rsidR="005A6DD6">
        <w:lastRenderedPageBreak/>
        <w:t xml:space="preserve">bis 2030 </w:t>
      </w:r>
      <w:r w:rsidR="00603DA0">
        <w:t>entstehen (insgesamt wird b</w:t>
      </w:r>
      <w:r w:rsidR="005A6DD6">
        <w:t>is</w:t>
      </w:r>
      <w:r w:rsidR="00603DA0">
        <w:t xml:space="preserve"> 2030 </w:t>
      </w:r>
      <w:r w:rsidR="005A6DD6">
        <w:t>von Mehrkosten von</w:t>
      </w:r>
      <w:r w:rsidR="00603DA0">
        <w:t xml:space="preserve"> 35 Mrd. </w:t>
      </w:r>
      <w:r w:rsidR="005A6DD6">
        <w:t>ausgegangen</w:t>
      </w:r>
      <w:r w:rsidR="00603DA0">
        <w:t>)</w:t>
      </w:r>
      <w:r w:rsidR="005A6DD6">
        <w:rPr>
          <w:rStyle w:val="Funotenzeichen"/>
        </w:rPr>
        <w:footnoteReference w:id="2456"/>
      </w:r>
      <w:r w:rsidR="00603DA0">
        <w:t xml:space="preserve"> </w:t>
      </w:r>
      <w:r w:rsidR="00AE11B4">
        <w:t xml:space="preserve">(in der </w:t>
      </w:r>
      <w:r w:rsidR="009E33DF">
        <w:t xml:space="preserve">Agora Industrie et al. </w:t>
      </w:r>
      <w:r w:rsidR="00AE11B4">
        <w:t>Sta</w:t>
      </w:r>
      <w:r w:rsidR="009E33DF">
        <w:t>hl Analyse 2021 w</w:t>
      </w:r>
      <w:r w:rsidR="00346D18">
        <w:t>erden</w:t>
      </w:r>
      <w:r w:rsidR="00AE11B4">
        <w:t xml:space="preserve"> bis 20</w:t>
      </w:r>
      <w:r w:rsidR="005C225E">
        <w:t xml:space="preserve">39 </w:t>
      </w:r>
      <w:r w:rsidR="00346D18">
        <w:t xml:space="preserve">Betriebskostenzuschüsse von </w:t>
      </w:r>
      <w:r w:rsidR="005C225E">
        <w:t>27 Mrd. Euro</w:t>
      </w:r>
      <w:r w:rsidR="009E33DF">
        <w:t xml:space="preserve"> berechnet</w:t>
      </w:r>
      <w:r w:rsidR="005C225E">
        <w:rPr>
          <w:rStyle w:val="Funotenzeichen"/>
        </w:rPr>
        <w:footnoteReference w:id="2457"/>
      </w:r>
      <w:r w:rsidR="005C225E">
        <w:t xml:space="preserve">). </w:t>
      </w:r>
      <w:r w:rsidR="009E33DF">
        <w:t>Die Stahl-Analyse</w:t>
      </w:r>
      <w:r w:rsidR="005C225E">
        <w:t xml:space="preserve"> </w:t>
      </w:r>
      <w:r w:rsidR="009E33DF">
        <w:t>fordert</w:t>
      </w:r>
      <w:r w:rsidR="005C225E">
        <w:t xml:space="preserve">, dass alles über </w:t>
      </w:r>
      <w:r w:rsidR="009E33DF">
        <w:t xml:space="preserve">„eine pragmatische Dynamisierung von </w:t>
      </w:r>
      <w:r w:rsidR="005C225E">
        <w:t>Klimaschutz</w:t>
      </w:r>
      <w:r w:rsidR="009E33DF">
        <w:t>verträgen“</w:t>
      </w:r>
      <w:r w:rsidR="005C225E">
        <w:t xml:space="preserve"> oder Differenzverträge</w:t>
      </w:r>
      <w:r w:rsidR="009E33DF">
        <w:t xml:space="preserve"> abgesichert werden soll, S. 52</w:t>
      </w:r>
      <w:r w:rsidR="00A425EF">
        <w:t>.</w:t>
      </w:r>
      <w:r w:rsidR="009E33DF">
        <w:rPr>
          <w:rStyle w:val="Funotenzeichen"/>
        </w:rPr>
        <w:footnoteReference w:id="2458"/>
      </w:r>
      <w:r w:rsidR="005C225E">
        <w:t xml:space="preserve"> </w:t>
      </w:r>
      <w:r w:rsidR="00A425EF">
        <w:t>In der Stahl-Analyse klingt</w:t>
      </w:r>
      <w:r w:rsidR="005C225E">
        <w:t xml:space="preserve"> ein neues Preisniveau </w:t>
      </w:r>
      <w:r w:rsidR="00952BD9">
        <w:t>an</w:t>
      </w:r>
      <w:r w:rsidR="00723FB1">
        <w:t>, eben 398 Euro/Tonne Rohstahl auf 668 Euro/Tonne Rohstahl mit grünem Wasserstoff</w:t>
      </w:r>
      <w:r w:rsidR="00723FB1">
        <w:rPr>
          <w:rStyle w:val="Funotenzeichen"/>
        </w:rPr>
        <w:footnoteReference w:id="2459"/>
      </w:r>
      <w:r w:rsidR="005C225E">
        <w:t>,</w:t>
      </w:r>
      <w:r w:rsidR="00952BD9">
        <w:t xml:space="preserve"> im Fokus stehen </w:t>
      </w:r>
      <w:r w:rsidR="00A425EF">
        <w:t xml:space="preserve">aber </w:t>
      </w:r>
      <w:r w:rsidR="00952BD9">
        <w:t>die Klimaschutzverträge, und es wird genommen, das deren Kosten bei optimalen Verhältnissen deutlich sinken können,</w:t>
      </w:r>
      <w:r w:rsidR="00A425EF">
        <w:t xml:space="preserve"> außerdem wird</w:t>
      </w:r>
      <w:r w:rsidR="00952BD9">
        <w:t xml:space="preserve"> angenommen, dass der</w:t>
      </w:r>
      <w:r w:rsidR="005C225E">
        <w:t xml:space="preserve"> Wasserstoffpreis über die Jahre immer weiter absinkt</w:t>
      </w:r>
      <w:r w:rsidR="00A425EF">
        <w:t>, sodass es bei Stahl nicht mehr zu einer Diskussion von zu hohen Preisen kommt.</w:t>
      </w:r>
      <w:r w:rsidR="009E33DF">
        <w:rPr>
          <w:rStyle w:val="Funotenzeichen"/>
        </w:rPr>
        <w:footnoteReference w:id="2460"/>
      </w:r>
      <w:r w:rsidR="00952BD9">
        <w:t xml:space="preserve"> </w:t>
      </w:r>
      <w:r w:rsidR="00986141">
        <w:t>(an solche niedrigen Wasserstoffpreise glaube ich aber nicht, siehe gleich unten)</w:t>
      </w:r>
    </w:p>
    <w:p w14:paraId="62A6FB43" w14:textId="77777777" w:rsidR="00E905BB" w:rsidRDefault="00E905BB" w:rsidP="00183EDF"/>
    <w:p w14:paraId="4689FFEE" w14:textId="6C4BDBF2" w:rsidR="00E905BB" w:rsidRDefault="00E905BB" w:rsidP="00183EDF">
      <w:r>
        <w:t xml:space="preserve">In meinem Umbauplan für Stahl kann man meinetwegen die 4 Hochöfen früher umbauen, aber der Staat zahlt hierfür keine 27 Mrd. Klimaschutzverträge, </w:t>
      </w:r>
      <w:proofErr w:type="spellStart"/>
      <w:r>
        <w:t>dass</w:t>
      </w:r>
      <w:proofErr w:type="spellEnd"/>
      <w:r>
        <w:t xml:space="preserve"> ist viel zu viel Geld. Hier ist Zeit für die Quotenidee bzw. die Abnahmegarantie, der neue grüne Stahl muss von der europäischen Industrie in der Produktion eingesetzt werden, möglichst gleichmäßig verteilt, und </w:t>
      </w:r>
      <w:proofErr w:type="gramStart"/>
      <w:r>
        <w:t>mit einen klaren Fokus</w:t>
      </w:r>
      <w:proofErr w:type="gramEnd"/>
      <w:r>
        <w:t xml:space="preserve"> auf bestimmte Sektoren, damit es nicht für einige Industrien zu unfairen Kostensteigerungen führt.  </w:t>
      </w:r>
    </w:p>
    <w:p w14:paraId="5B196CB3" w14:textId="77777777" w:rsidR="00E905BB" w:rsidRDefault="00E905BB" w:rsidP="00183EDF"/>
    <w:p w14:paraId="0A8593CD" w14:textId="5E6C7666" w:rsidR="00A425EF" w:rsidRDefault="00E905BB" w:rsidP="00183EDF">
      <w:r>
        <w:t xml:space="preserve">Agora Industrie et al. 2021 ist bei Stahl noch optimistisch, dass man dies mit einem Klimaschutzvertrag schafft: </w:t>
      </w:r>
      <w:r w:rsidR="00A425EF">
        <w:t>bei der</w:t>
      </w:r>
      <w:r w:rsidR="00432F07">
        <w:t xml:space="preserve"> Analyse von Ammoniak</w:t>
      </w:r>
      <w:r>
        <w:t xml:space="preserve"> sieht das Ergebnis anders aus</w:t>
      </w:r>
      <w:r w:rsidR="00432F07">
        <w:t>, hier wird eine Preissteigerung von 255 Euro/Tonne auf 1152 Euro/Tonne berechnet</w:t>
      </w:r>
      <w:r w:rsidR="00A425EF">
        <w:t xml:space="preserve"> und es wird bei </w:t>
      </w:r>
      <w:r w:rsidR="00432F07">
        <w:t xml:space="preserve">Wasserstoff </w:t>
      </w:r>
      <w:r w:rsidR="00A425EF">
        <w:t xml:space="preserve">in mittelhoher Preis </w:t>
      </w:r>
      <w:r w:rsidR="00432F07">
        <w:t xml:space="preserve">angenommen von 5500 Euro pro Tonne, und es werden Kosten für neue Anlagen von 1,5 Mrd. und Mehrkosten von 29 Mrd. berechnet (unklar bis wann), dies wird </w:t>
      </w:r>
      <w:r>
        <w:t xml:space="preserve">für Klimaschutzverträge </w:t>
      </w:r>
      <w:r w:rsidR="00432F07">
        <w:t>als „unrealistisches Szenario“ bezeichnet.</w:t>
      </w:r>
      <w:r w:rsidR="00432F07">
        <w:rPr>
          <w:rStyle w:val="Funotenzeichen"/>
        </w:rPr>
        <w:footnoteReference w:id="2461"/>
      </w:r>
      <w:r w:rsidR="00432F07">
        <w:t xml:space="preserve"> </w:t>
      </w:r>
    </w:p>
    <w:p w14:paraId="60AEDA9F" w14:textId="77777777" w:rsidR="002748A2" w:rsidRDefault="002748A2" w:rsidP="00183EDF"/>
    <w:p w14:paraId="146752B2" w14:textId="4B29CB15" w:rsidR="00A36CFC" w:rsidRDefault="002748A2" w:rsidP="00183EDF">
      <w:r>
        <w:t>Dies bestätigt meine These</w:t>
      </w:r>
      <w:r w:rsidR="00986141">
        <w:t xml:space="preserve"> gleich unten</w:t>
      </w:r>
      <w:r>
        <w:t xml:space="preserve">, dass </w:t>
      </w:r>
      <w:r w:rsidR="00E905BB">
        <w:t xml:space="preserve">der Staat nicht über mehrere Jahre die Preisdifferenz von ‚normalen‘ zu grünen Produkten bezahlen kann. Dies wird ‚immer‘ viel zu teuer. Der einzige Grund warum dies bei der Stahlindustrie für Agora Industrie et al. 2021 noch möglich erscheinen ist, ist dass der </w:t>
      </w:r>
      <w:r>
        <w:t xml:space="preserve">Preissprung </w:t>
      </w:r>
      <w:r w:rsidR="00E905BB">
        <w:t>offenkundig in der</w:t>
      </w:r>
      <w:r>
        <w:t xml:space="preserve"> Stahlindustrie </w:t>
      </w:r>
      <w:r w:rsidR="00E905BB">
        <w:t xml:space="preserve">relativ </w:t>
      </w:r>
      <w:r>
        <w:t>erträglich</w:t>
      </w:r>
      <w:r w:rsidR="00986141">
        <w:t xml:space="preserve"> sein wird</w:t>
      </w:r>
      <w:r>
        <w:t xml:space="preserve">, aber </w:t>
      </w:r>
      <w:r w:rsidR="00E905BB">
        <w:t xml:space="preserve">es ist </w:t>
      </w:r>
      <w:r w:rsidR="00E905BB">
        <w:lastRenderedPageBreak/>
        <w:t xml:space="preserve">immer noch ein Preissprung. Die </w:t>
      </w:r>
      <w:r w:rsidR="00986141">
        <w:t>Preissteigerung bei Ammoniak</w:t>
      </w:r>
      <w:r w:rsidR="00E905BB">
        <w:t xml:space="preserve"> gibt einen Vorgeschmack darauf</w:t>
      </w:r>
      <w:r w:rsidR="00986141">
        <w:t>,</w:t>
      </w:r>
      <w:r w:rsidR="00034741">
        <w:t xml:space="preserve"> dass </w:t>
      </w:r>
      <w:r w:rsidR="00E905BB">
        <w:t>die Energiewende in</w:t>
      </w:r>
      <w:r>
        <w:t xml:space="preserve"> der Chemieindustrie zu größeren Preissprüngen</w:t>
      </w:r>
      <w:r w:rsidR="00E905BB">
        <w:t xml:space="preserve"> führen wird</w:t>
      </w:r>
      <w:r w:rsidR="00723FB1">
        <w:t xml:space="preserve">. </w:t>
      </w:r>
      <w:r>
        <w:t xml:space="preserve"> </w:t>
      </w:r>
      <w:r w:rsidR="00723FB1">
        <w:t>D</w:t>
      </w:r>
      <w:r>
        <w:t xml:space="preserve">ies </w:t>
      </w:r>
      <w:r w:rsidR="00723FB1">
        <w:t xml:space="preserve">kann </w:t>
      </w:r>
      <w:r>
        <w:t>nich</w:t>
      </w:r>
      <w:r w:rsidR="00E905BB">
        <w:t xml:space="preserve">t </w:t>
      </w:r>
      <w:r w:rsidR="00034741">
        <w:t>durch staatliche Subventionen</w:t>
      </w:r>
      <w:r w:rsidR="00E905BB">
        <w:t xml:space="preserve">, etwa durch die deutschen </w:t>
      </w:r>
      <w:r>
        <w:t>Klimaschutzverträge</w:t>
      </w:r>
      <w:r w:rsidR="00E905BB">
        <w:t xml:space="preserve"> für 15 Jahre (!), </w:t>
      </w:r>
      <w:r>
        <w:t>vom Staat aufgefangen werden.</w:t>
      </w:r>
    </w:p>
    <w:p w14:paraId="525B3ECC" w14:textId="77777777" w:rsidR="002748A2" w:rsidRDefault="002748A2" w:rsidP="00183EDF"/>
    <w:p w14:paraId="3E559950" w14:textId="77777777" w:rsidR="008E326A" w:rsidRDefault="00346D18" w:rsidP="00183EDF">
      <w:r>
        <w:t xml:space="preserve">Deshalb sollte, </w:t>
      </w:r>
      <w:r w:rsidR="005A6DD6">
        <w:t>wenn irgend möglich, de</w:t>
      </w:r>
      <w:r>
        <w:t>r</w:t>
      </w:r>
      <w:r w:rsidR="005A6DD6">
        <w:t xml:space="preserve"> zweite Schwung</w:t>
      </w:r>
      <w:r>
        <w:t xml:space="preserve"> des Umbaus der Stahlw</w:t>
      </w:r>
      <w:r w:rsidR="005A6DD6">
        <w:t>erke</w:t>
      </w:r>
      <w:r w:rsidR="00A36CFC">
        <w:t xml:space="preserve"> in </w:t>
      </w:r>
      <w:r w:rsidR="00A36CFC" w:rsidRPr="00A36CFC">
        <w:rPr>
          <w:b/>
          <w:bCs/>
          <w:u w:val="single"/>
        </w:rPr>
        <w:t>Deutschland und Europa</w:t>
      </w:r>
      <w:r w:rsidR="005A6DD6">
        <w:t xml:space="preserve"> </w:t>
      </w:r>
      <w:r w:rsidR="005A6DD6" w:rsidRPr="00A36CFC">
        <w:rPr>
          <w:u w:val="single"/>
        </w:rPr>
        <w:t>koordiniert und grob in derselben Zeit</w:t>
      </w:r>
      <w:r w:rsidRPr="00A36CFC">
        <w:rPr>
          <w:u w:val="single"/>
        </w:rPr>
        <w:t xml:space="preserve"> stattfinden</w:t>
      </w:r>
      <w:r w:rsidR="00B66357">
        <w:t>, um Klimaschutz- oder Differenzverträge nicht bzw. weniger zu benötigen</w:t>
      </w:r>
      <w:r>
        <w:t>.</w:t>
      </w:r>
      <w:r w:rsidR="005A6DD6">
        <w:t xml:space="preserve"> </w:t>
      </w:r>
      <w:r>
        <w:t>M</w:t>
      </w:r>
      <w:r w:rsidR="005A6DD6">
        <w:t xml:space="preserve">an sollte sich </w:t>
      </w:r>
      <w:r w:rsidR="00B66357">
        <w:t xml:space="preserve">in Deutschland </w:t>
      </w:r>
      <w:r w:rsidR="00A36CFC">
        <w:t xml:space="preserve">jetzt bereits </w:t>
      </w:r>
      <w:r w:rsidR="00BD07F6">
        <w:t xml:space="preserve">darauf konzentrieren, </w:t>
      </w:r>
      <w:r w:rsidR="005A6DD6">
        <w:t xml:space="preserve">die 3,6 Mill. Tonnen grünen </w:t>
      </w:r>
      <w:r w:rsidR="00BD07F6">
        <w:t xml:space="preserve">Wasserstoff </w:t>
      </w:r>
      <w:r w:rsidR="00B66357">
        <w:t xml:space="preserve">für </w:t>
      </w:r>
      <w:r w:rsidR="00A36CFC">
        <w:t>den grünen Umbau aller deutschen</w:t>
      </w:r>
      <w:r w:rsidR="00B66357">
        <w:t xml:space="preserve"> Stahlwerke </w:t>
      </w:r>
      <w:r w:rsidR="00A36CFC">
        <w:t>ab</w:t>
      </w:r>
      <w:r w:rsidR="005A6DD6">
        <w:t xml:space="preserve"> </w:t>
      </w:r>
      <w:r w:rsidR="00BD07F6">
        <w:t>2030 bereitzustellen</w:t>
      </w:r>
      <w:r w:rsidR="00A36CFC">
        <w:t>.</w:t>
      </w:r>
      <w:r w:rsidR="005A6DD6">
        <w:t xml:space="preserve"> </w:t>
      </w:r>
      <w:r w:rsidR="00A36CFC">
        <w:t>A</w:t>
      </w:r>
      <w:r w:rsidR="00BD07F6">
        <w:t xml:space="preserve">b 2028 </w:t>
      </w:r>
      <w:r w:rsidR="00B66357">
        <w:t>kann m</w:t>
      </w:r>
      <w:r w:rsidR="00A36CFC">
        <w:t xml:space="preserve">an </w:t>
      </w:r>
      <w:r w:rsidR="005A6DD6">
        <w:t>de</w:t>
      </w:r>
      <w:r w:rsidR="00A36CFC">
        <w:t>n Umbau der noch fehlenden</w:t>
      </w:r>
      <w:r w:rsidR="00BD07F6">
        <w:t xml:space="preserve"> 16 anderen</w:t>
      </w:r>
      <w:r w:rsidR="00A36CFC">
        <w:t xml:space="preserve"> deutschen</w:t>
      </w:r>
      <w:r w:rsidR="00BD07F6">
        <w:t xml:space="preserve"> Werke </w:t>
      </w:r>
      <w:r w:rsidR="00A36CFC">
        <w:t>ge</w:t>
      </w:r>
      <w:r w:rsidR="005A6DD6">
        <w:t>plan</w:t>
      </w:r>
      <w:r w:rsidR="00A36CFC">
        <w:t xml:space="preserve">t werden </w:t>
      </w:r>
      <w:r w:rsidR="00E905BB">
        <w:t xml:space="preserve">und </w:t>
      </w:r>
      <w:r w:rsidR="00A36CFC">
        <w:t>auch der europäischen Werke</w:t>
      </w:r>
      <w:r w:rsidR="005A6DD6">
        <w:t>, dabei kann auch Massenfertigung zum Tragen kommen, ab 2030 kann der Umbau beginnen</w:t>
      </w:r>
      <w:r w:rsidR="00A36CFC">
        <w:t xml:space="preserve">, 2033 ist der Umbau fertig, </w:t>
      </w:r>
      <w:r w:rsidR="00707AA2">
        <w:t>2033-</w:t>
      </w:r>
      <w:r w:rsidR="00A36CFC">
        <w:t xml:space="preserve">2034 erfolgt der Sprung </w:t>
      </w:r>
      <w:proofErr w:type="gramStart"/>
      <w:r w:rsidR="00A36CFC">
        <w:t>auf eine neues Preisniveau</w:t>
      </w:r>
      <w:proofErr w:type="gramEnd"/>
      <w:r w:rsidR="00A36CFC">
        <w:t>, vielleicht in drei Schritten</w:t>
      </w:r>
      <w:r w:rsidR="00BD07F6">
        <w:t xml:space="preserve">. </w:t>
      </w:r>
      <w:r w:rsidR="00A36CFC">
        <w:t xml:space="preserve">Das sind für Europa 8 Jahre Zeit, es müssen in Deutschland 360 mal 100 MW Elektrolyseure (72 mal 500 MW) und 960 Landwindparks in 8 Jahren aufgebaut werden, in Europa in 8 Jahren 700 mal 100 MW Elektrolyseure (oder 140 mal 500 MW) und 1920 Landwindparks vom Typ Werder Kessin aufgebaut werden. </w:t>
      </w:r>
      <w:r w:rsidR="00A36CFC" w:rsidRPr="00A36CFC">
        <w:rPr>
          <w:b/>
          <w:bCs/>
        </w:rPr>
        <w:t>Das ist möglich.</w:t>
      </w:r>
      <w:r w:rsidR="00A36CFC">
        <w:t xml:space="preserve"> </w:t>
      </w:r>
      <w:r w:rsidR="009518AD">
        <w:t>Und so kann man jedenfalls</w:t>
      </w:r>
      <w:r w:rsidR="005A6DD6">
        <w:t xml:space="preserve"> verhindern, dass </w:t>
      </w:r>
      <w:r w:rsidR="009518AD">
        <w:t>vom</w:t>
      </w:r>
      <w:r w:rsidR="005A6DD6">
        <w:t xml:space="preserve"> Staat</w:t>
      </w:r>
      <w:r w:rsidR="009518AD">
        <w:t xml:space="preserve"> etwas durch Klimaschutzverträge</w:t>
      </w:r>
      <w:r w:rsidR="005A6DD6">
        <w:t xml:space="preserve"> „betriebliche Mehrkosten langfristig bezuschusst werden“.</w:t>
      </w:r>
      <w:r w:rsidR="005A6DD6" w:rsidRPr="005A6DD6">
        <w:rPr>
          <w:rStyle w:val="Funotenzeichen"/>
        </w:rPr>
        <w:t xml:space="preserve"> </w:t>
      </w:r>
      <w:r w:rsidR="005A6DD6">
        <w:rPr>
          <w:rStyle w:val="Funotenzeichen"/>
        </w:rPr>
        <w:footnoteReference w:id="2462"/>
      </w:r>
      <w:r w:rsidR="005A6DD6">
        <w:t xml:space="preserve"> </w:t>
      </w:r>
    </w:p>
    <w:p w14:paraId="6F59951C" w14:textId="77777777" w:rsidR="008E326A" w:rsidRDefault="008E326A" w:rsidP="00183EDF"/>
    <w:p w14:paraId="3E855AD0" w14:textId="6DF5EA15" w:rsidR="008E326A" w:rsidRDefault="008E326A" w:rsidP="008E326A">
      <w:r>
        <w:t xml:space="preserve">Weil der Staat durch den Preissprung viel Geld spart, könnte man ggf. </w:t>
      </w:r>
      <w:r w:rsidRPr="00F65A6A">
        <w:rPr>
          <w:u w:val="single"/>
        </w:rPr>
        <w:t>Exportsubventionen</w:t>
      </w:r>
      <w:r>
        <w:t xml:space="preserve"> finanzieren, denn dieser Elefant befindet sich auch noch im Raum: Die europäische Stahlindustrie exportiert viel, 2024 lagen die Exporte der EU bei 77,8 Mrd. Euro, die Importe von 73,1 Mrd. Euro, wobei das Gute ist, dass vielleicht einige der Exportländer ggf. in 5 Jahren bei der Bekämpfung des Klimawandels mitmachen: Türkei 6,2 Mrd. Euro; USA 5,4 Mrd. Euro; England 4,1 Mrd. Euro; Schweiz 2,2 Mrd. Euro.</w:t>
      </w:r>
      <w:r>
        <w:rPr>
          <w:rStyle w:val="Funotenzeichen"/>
        </w:rPr>
        <w:footnoteReference w:id="2463"/>
      </w:r>
      <w:r>
        <w:t xml:space="preserve"> Dies gilt auch für Chemische Erzeugnisse, ohne Pharmazeutische Erzeugnisse, hier hat die EU 2023 einen Exportüberschuss von 35 Mrd. Euro vorzuweisen.</w:t>
      </w:r>
      <w:r>
        <w:rPr>
          <w:rStyle w:val="Funotenzeichen"/>
        </w:rPr>
        <w:footnoteReference w:id="2464"/>
      </w:r>
      <w:r>
        <w:t xml:space="preserve"> Da ist klar, dass man sich nicht unbedingt darauf freut, wenn alles viel teurer wird. </w:t>
      </w:r>
    </w:p>
    <w:p w14:paraId="08A50A35" w14:textId="77777777" w:rsidR="008E326A" w:rsidRDefault="008E326A" w:rsidP="00183EDF"/>
    <w:p w14:paraId="7BB50626" w14:textId="35E761F0" w:rsidR="005C4FCE" w:rsidRPr="00621D05" w:rsidRDefault="005A6DD6" w:rsidP="00183EDF">
      <w:pPr>
        <w:rPr>
          <w:b/>
          <w:bCs/>
          <w:u w:val="single"/>
        </w:rPr>
      </w:pPr>
      <w:r>
        <w:t xml:space="preserve"> </w:t>
      </w:r>
      <w:r w:rsidR="005C4FCE" w:rsidRPr="00621D05">
        <w:rPr>
          <w:b/>
          <w:bCs/>
          <w:u w:val="single"/>
        </w:rPr>
        <w:t xml:space="preserve">Fertig ist der </w:t>
      </w:r>
      <w:r w:rsidR="00E905BB" w:rsidRPr="00621D05">
        <w:rPr>
          <w:b/>
          <w:bCs/>
          <w:u w:val="single"/>
        </w:rPr>
        <w:t>Umbaup</w:t>
      </w:r>
      <w:r w:rsidR="005C4FCE" w:rsidRPr="00621D05">
        <w:rPr>
          <w:b/>
          <w:bCs/>
          <w:u w:val="single"/>
        </w:rPr>
        <w:t>lan</w:t>
      </w:r>
      <w:r w:rsidR="00E905BB" w:rsidRPr="00621D05">
        <w:rPr>
          <w:b/>
          <w:bCs/>
          <w:u w:val="single"/>
        </w:rPr>
        <w:t xml:space="preserve"> Stahl</w:t>
      </w:r>
      <w:r w:rsidR="005C4FCE" w:rsidRPr="00621D05">
        <w:rPr>
          <w:b/>
          <w:bCs/>
          <w:u w:val="single"/>
        </w:rPr>
        <w:t xml:space="preserve">. </w:t>
      </w:r>
    </w:p>
    <w:p w14:paraId="3E686693" w14:textId="77777777" w:rsidR="004F7EEE" w:rsidRDefault="004F7EEE" w:rsidP="00183EDF"/>
    <w:p w14:paraId="56134EB4" w14:textId="33D88E1D" w:rsidR="00183EDF" w:rsidRDefault="00D12525" w:rsidP="004B2396">
      <w:pPr>
        <w:rPr>
          <w:b/>
          <w:bCs/>
          <w:u w:val="single"/>
        </w:rPr>
      </w:pPr>
      <w:r>
        <w:t>Man sieht daran, dass die Frage nach Industriepolitik in der Energiewende mehr als nur die Frage nach Subventionen ist</w:t>
      </w:r>
      <w:r w:rsidR="00AE54AC">
        <w:t xml:space="preserve">, es geht </w:t>
      </w:r>
      <w:r w:rsidR="00034741">
        <w:t xml:space="preserve">mehrere Facetten und auch </w:t>
      </w:r>
      <w:r w:rsidR="00AE54AC">
        <w:t>um einen Plan der Neuausrichtung der Industrie, bei de</w:t>
      </w:r>
      <w:r w:rsidR="00D52643">
        <w:t xml:space="preserve">m sich jedes Unternehmen Gedanken über seine gewünschte Produktion, angesichts der derzeitigen </w:t>
      </w:r>
      <w:r w:rsidR="00AE54AC">
        <w:t>Kapazitätsauslastung der Werke</w:t>
      </w:r>
      <w:r w:rsidR="00D52643">
        <w:t xml:space="preserve"> machen sollte</w:t>
      </w:r>
      <w:r w:rsidR="00756B92">
        <w:t xml:space="preserve">, </w:t>
      </w:r>
      <w:r w:rsidR="00D52643">
        <w:t xml:space="preserve">und </w:t>
      </w:r>
      <w:r w:rsidR="00756B92">
        <w:t>über Meilensteine und ein Enddatum</w:t>
      </w:r>
      <w:r>
        <w:t xml:space="preserve">. </w:t>
      </w:r>
      <w:r w:rsidR="00756B92" w:rsidRPr="00756B92">
        <w:rPr>
          <w:b/>
          <w:bCs/>
          <w:u w:val="single"/>
        </w:rPr>
        <w:t xml:space="preserve">Dies ist </w:t>
      </w:r>
      <w:r w:rsidR="00D56C36" w:rsidRPr="00756B92">
        <w:rPr>
          <w:b/>
          <w:bCs/>
          <w:u w:val="single"/>
        </w:rPr>
        <w:t xml:space="preserve">keine Rocket Science, </w:t>
      </w:r>
      <w:r w:rsidR="00756B92" w:rsidRPr="00756B92">
        <w:rPr>
          <w:b/>
          <w:bCs/>
          <w:u w:val="single"/>
        </w:rPr>
        <w:t xml:space="preserve">die </w:t>
      </w:r>
      <w:r w:rsidR="00756B92">
        <w:rPr>
          <w:b/>
          <w:bCs/>
          <w:u w:val="single"/>
        </w:rPr>
        <w:t>CEOs bzw. Industrievertreter</w:t>
      </w:r>
      <w:r w:rsidR="00756B92" w:rsidRPr="00756B92">
        <w:rPr>
          <w:b/>
          <w:bCs/>
          <w:u w:val="single"/>
        </w:rPr>
        <w:t xml:space="preserve"> </w:t>
      </w:r>
      <w:r w:rsidR="00D52643">
        <w:rPr>
          <w:b/>
          <w:bCs/>
          <w:u w:val="single"/>
        </w:rPr>
        <w:t xml:space="preserve">der Branche </w:t>
      </w:r>
      <w:r w:rsidR="00756B92" w:rsidRPr="00756B92">
        <w:rPr>
          <w:b/>
          <w:bCs/>
          <w:u w:val="single"/>
        </w:rPr>
        <w:t>müssen sich</w:t>
      </w:r>
      <w:r w:rsidR="00034741">
        <w:rPr>
          <w:b/>
          <w:bCs/>
          <w:u w:val="single"/>
        </w:rPr>
        <w:t xml:space="preserve"> eben mal</w:t>
      </w:r>
      <w:r w:rsidR="00756B92" w:rsidRPr="00756B92">
        <w:rPr>
          <w:b/>
          <w:bCs/>
          <w:u w:val="single"/>
        </w:rPr>
        <w:t xml:space="preserve"> </w:t>
      </w:r>
      <w:r w:rsidR="00756B92">
        <w:rPr>
          <w:b/>
          <w:bCs/>
          <w:u w:val="single"/>
        </w:rPr>
        <w:t xml:space="preserve">drei Tage </w:t>
      </w:r>
      <w:r w:rsidR="00D52643">
        <w:rPr>
          <w:b/>
          <w:bCs/>
          <w:u w:val="single"/>
        </w:rPr>
        <w:t>ernsthaft</w:t>
      </w:r>
      <w:r w:rsidR="00756B92">
        <w:rPr>
          <w:b/>
          <w:bCs/>
          <w:u w:val="single"/>
        </w:rPr>
        <w:t xml:space="preserve"> </w:t>
      </w:r>
      <w:r w:rsidR="00D56C36" w:rsidRPr="00756B92">
        <w:rPr>
          <w:b/>
          <w:bCs/>
          <w:u w:val="single"/>
        </w:rPr>
        <w:t>zusammensetzen.</w:t>
      </w:r>
    </w:p>
    <w:p w14:paraId="7C2E536C" w14:textId="77777777" w:rsidR="00621D05" w:rsidRDefault="00621D05" w:rsidP="004B2396">
      <w:pPr>
        <w:rPr>
          <w:b/>
          <w:bCs/>
          <w:u w:val="single"/>
        </w:rPr>
      </w:pPr>
    </w:p>
    <w:p w14:paraId="1FB9C91A" w14:textId="3B8C2B2D" w:rsidR="00621D05" w:rsidRDefault="00621D05" w:rsidP="00621D05">
      <w:r>
        <w:t xml:space="preserve">Wenn niemand mehr in Deutschland oder Europa mehr Stahlwerke oder Steamcracker betreiben will, wir aber diese Grundstoffe brauchen, dann muss eben eine europäische Stahl AG oder ein europäischen </w:t>
      </w:r>
      <w:proofErr w:type="spellStart"/>
      <w:r>
        <w:t>Ethyencrackerverbund</w:t>
      </w:r>
      <w:proofErr w:type="spellEnd"/>
      <w:r>
        <w:t xml:space="preserve"> unter der Haube der Europäischen Gemeinschaft für </w:t>
      </w:r>
      <w:r>
        <w:lastRenderedPageBreak/>
        <w:t>Energiewende in Stahl- und Chemie wenigstens temporär gegründet werden. Dass so etwas möglich wäre, ist bereits angedeutet, als in der Diskussion der Begriff deutsche Stahl AG verwendet wurde.</w:t>
      </w:r>
      <w:r>
        <w:rPr>
          <w:rStyle w:val="Funotenzeichen"/>
        </w:rPr>
        <w:footnoteReference w:id="2465"/>
      </w:r>
    </w:p>
    <w:p w14:paraId="6A497927" w14:textId="77777777" w:rsidR="00621D05" w:rsidRDefault="00621D05" w:rsidP="004B2396"/>
    <w:p w14:paraId="692649ED" w14:textId="62FC73E8" w:rsidR="00756B92" w:rsidRDefault="00621D05" w:rsidP="004B2396">
      <w:r>
        <w:t xml:space="preserve">In Frankreich ist z.B. Alcatel Submarine Networks (ASN) verstaatlicht worden, aus strategischen Gründen, weil um die nationale Souveränität geht, der französische Staat hält am Stichtag Ende Juni 2024 Beteiligungen im Wert von 180 Mrd. Euro, teils über die Förderbank </w:t>
      </w:r>
      <w:proofErr w:type="spellStart"/>
      <w:r>
        <w:t>Bpifrance</w:t>
      </w:r>
      <w:proofErr w:type="spellEnd"/>
      <w:r>
        <w:t xml:space="preserve"> und über die staatliche </w:t>
      </w:r>
      <w:proofErr w:type="spellStart"/>
      <w:r>
        <w:t>Beteiligunggesellschaft</w:t>
      </w:r>
      <w:proofErr w:type="spellEnd"/>
      <w:r>
        <w:t xml:space="preserve"> Agence des </w:t>
      </w:r>
      <w:proofErr w:type="spellStart"/>
      <w:r>
        <w:t>participations</w:t>
      </w:r>
      <w:proofErr w:type="spellEnd"/>
      <w:r>
        <w:t xml:space="preserve"> de </w:t>
      </w:r>
      <w:proofErr w:type="spellStart"/>
      <w:r>
        <w:t>l’Etat</w:t>
      </w:r>
      <w:proofErr w:type="spellEnd"/>
      <w:r>
        <w:t xml:space="preserve"> APE, siehe dazu diesen FAZ-Artikel.</w:t>
      </w:r>
      <w:r>
        <w:rPr>
          <w:rStyle w:val="Funotenzeichen"/>
        </w:rPr>
        <w:footnoteReference w:id="2466"/>
      </w:r>
      <w:r>
        <w:t xml:space="preserve"> </w:t>
      </w:r>
    </w:p>
    <w:p w14:paraId="2879FEAE" w14:textId="77777777" w:rsidR="00980D47" w:rsidRDefault="00980D47" w:rsidP="004B2396"/>
    <w:p w14:paraId="28AF92EA" w14:textId="18DB19D0" w:rsidR="00D51762" w:rsidRDefault="006E5843" w:rsidP="004B2396">
      <w:r>
        <w:t>16.</w:t>
      </w:r>
      <w:r w:rsidR="00247700">
        <w:t>5</w:t>
      </w:r>
      <w:r>
        <w:t xml:space="preserve"> Sprung auf ein neues Preisniveau</w:t>
      </w:r>
      <w:r w:rsidR="00D82270">
        <w:t xml:space="preserve"> </w:t>
      </w:r>
    </w:p>
    <w:p w14:paraId="182DA0F2" w14:textId="77777777" w:rsidR="00D82270" w:rsidRDefault="00D82270" w:rsidP="004B2396"/>
    <w:p w14:paraId="42EEB7D1" w14:textId="75F58AF6" w:rsidR="00756B92" w:rsidRDefault="00E240D0" w:rsidP="002476D9">
      <w:r>
        <w:t xml:space="preserve">Meine </w:t>
      </w:r>
      <w:r w:rsidR="00D12525">
        <w:t xml:space="preserve">wichtigste </w:t>
      </w:r>
      <w:r>
        <w:t>These ist</w:t>
      </w:r>
      <w:r w:rsidR="00D12525">
        <w:t xml:space="preserve">, dass bei der Umstellung auf </w:t>
      </w:r>
      <w:r>
        <w:t xml:space="preserve">grünen Stahl, grünen </w:t>
      </w:r>
      <w:r w:rsidR="00D12525">
        <w:t>Wasserstoff und auf neue Grundstoffe wie grünen Naphtha und grünes Ethylen, ein neues Preisniveau entsteht, dass</w:t>
      </w:r>
      <w:r w:rsidR="00AE54AC">
        <w:t xml:space="preserve"> man nur</w:t>
      </w:r>
      <w:r w:rsidR="00D12525">
        <w:t xml:space="preserve"> mit einem </w:t>
      </w:r>
      <w:r>
        <w:t xml:space="preserve">koordinierten </w:t>
      </w:r>
      <w:r w:rsidR="00D12525">
        <w:t>Sprung erreichen kann</w:t>
      </w:r>
      <w:r w:rsidR="00756B92">
        <w:t xml:space="preserve">. </w:t>
      </w:r>
      <w:r w:rsidR="00034741">
        <w:t xml:space="preserve">Soweit ist das eigentlich nichts Neues, schon oben im Draghi-Bericht wurden höhere Kosten durch erneuerbare Energien beklagt, und gleichzeitig niedrige Kosten für möglich gehalten. Ich glaube allerdings, dass der Preissprung unausweichlich ist und dass man ihn furchtlos angehen und bewältigen muss, auch wenn er ggf. für mehrere Jahren </w:t>
      </w:r>
      <w:proofErr w:type="gramStart"/>
      <w:r w:rsidR="00034741">
        <w:t>ein Preissteigerung</w:t>
      </w:r>
      <w:proofErr w:type="gramEnd"/>
      <w:r w:rsidR="00034741">
        <w:t xml:space="preserve"> bzw. weniger Käufe in einigen Bereichen nach sich ziehen wird.  </w:t>
      </w:r>
    </w:p>
    <w:p w14:paraId="393349B2" w14:textId="77777777" w:rsidR="009518AD" w:rsidRDefault="009518AD" w:rsidP="002476D9"/>
    <w:p w14:paraId="2B0E1C88" w14:textId="77777777" w:rsidR="00B90DE5" w:rsidRDefault="00C23CF9" w:rsidP="002476D9">
      <w:r>
        <w:t xml:space="preserve">Jedenfalls stelle ich mich gegen Autoren, die mit einem H2 Reality Check, davon ausgehen, dass </w:t>
      </w:r>
      <w:r w:rsidR="006B5573">
        <w:t xml:space="preserve">es weitere Kostensteigerungen </w:t>
      </w:r>
      <w:r w:rsidR="000B61A8">
        <w:t>geben wird</w:t>
      </w:r>
      <w:r w:rsidR="006B5573">
        <w:t xml:space="preserve">, </w:t>
      </w:r>
      <w:r w:rsidR="000B61A8">
        <w:t xml:space="preserve">dass </w:t>
      </w:r>
      <w:r w:rsidR="006B5573">
        <w:t>die Industrie Wasserstoff auf einem hohen Preisniveau nicht nutzen wird und eine Erreichung z.B. der EU Ziele</w:t>
      </w:r>
      <w:r>
        <w:t xml:space="preserve"> realistisch kaum möglich ist</w:t>
      </w:r>
      <w:r w:rsidR="006B5573">
        <w:t>, man könne nur mit staatlichen Subventionen weiterkommen.</w:t>
      </w:r>
      <w:r w:rsidR="006B5573">
        <w:rPr>
          <w:rStyle w:val="Funotenzeichen"/>
        </w:rPr>
        <w:footnoteReference w:id="2467"/>
      </w:r>
      <w:r w:rsidR="006B5573">
        <w:t xml:space="preserve"> (bis 2030: 10 Mill. Tonnen Wasserstoff … 200 500 MW Thyssen Nucera Elektrolyseure, d.h. 100 GW, ist tatsächlich sportlich, aber 40 GW wären nur 80 Elektrolyseure)</w:t>
      </w:r>
      <w:r w:rsidR="000B61A8">
        <w:t xml:space="preserve">. Auch Siegfried </w:t>
      </w:r>
      <w:proofErr w:type="spellStart"/>
      <w:r w:rsidR="000B61A8">
        <w:t>Russwurm</w:t>
      </w:r>
      <w:proofErr w:type="spellEnd"/>
      <w:r w:rsidR="000B61A8">
        <w:t xml:space="preserve"> äußert sich im Interview mit der FAZ, </w:t>
      </w:r>
      <w:r w:rsidR="000B61A8" w:rsidRPr="000B61A8">
        <w:t>27.06.2025</w:t>
      </w:r>
      <w:r w:rsidR="000B61A8">
        <w:t>, so: „Rein marktwirtschaftlich ist grüner Stahl aus Deutschland auf absehbare Zeit nicht wettbewerbsfähig“, deshalb wird bald auch die Forderung an die Politik gehen, die Direktreduktionsanlage in Duisburg vorerst mit Gas zu betreiben.</w:t>
      </w:r>
      <w:r w:rsidR="000B61A8">
        <w:rPr>
          <w:rStyle w:val="Funotenzeichen"/>
        </w:rPr>
        <w:footnoteReference w:id="2468"/>
      </w:r>
      <w:r w:rsidR="000B61A8">
        <w:t xml:space="preserve"> </w:t>
      </w:r>
    </w:p>
    <w:p w14:paraId="7CA2E77E" w14:textId="77777777" w:rsidR="00B90DE5" w:rsidRDefault="00B90DE5" w:rsidP="002476D9"/>
    <w:p w14:paraId="7ACF1BFF" w14:textId="576945AD" w:rsidR="000B61A8" w:rsidRDefault="000B61A8" w:rsidP="002476D9">
      <w:r>
        <w:t xml:space="preserve">Aus meiner Sicht darf aber die Energiewende nicht daran scheitern, dass grüne Produkte teurer sind und die Lösung ist aus meiner Sicht, ein weitgehend (über 3 oder mehr Jahre verteilter) gleichzeitiger, koordinierter Umbau alle Anlagen in der EU, weil dann nicht bei einzelnen Anlagen die Differenz zwischen normalem Preis und grünem Preis subventioniert werden muss. Alternativen sind Quote für den Einsatz von grünem Stahl in der Automobilindustrie oder, wie im Interview vom Siegfried </w:t>
      </w:r>
      <w:proofErr w:type="spellStart"/>
      <w:r>
        <w:t>Russwurm</w:t>
      </w:r>
      <w:proofErr w:type="spellEnd"/>
      <w:r>
        <w:t xml:space="preserve"> deutlich wurde, auch der Einsatz von Erdgas im Übergang. </w:t>
      </w:r>
    </w:p>
    <w:p w14:paraId="260ED8DE" w14:textId="085688EA" w:rsidR="00C23CF9" w:rsidRDefault="000B61A8" w:rsidP="002476D9">
      <w:r>
        <w:t xml:space="preserve"> </w:t>
      </w:r>
    </w:p>
    <w:p w14:paraId="1C0E07C6" w14:textId="77777777" w:rsidR="00811A3B" w:rsidRDefault="00756B92" w:rsidP="002476D9">
      <w:r>
        <w:t xml:space="preserve">Ich habe lange daran geglaubt, dass die erneuerbaren Energien und auch Wasserstoff </w:t>
      </w:r>
      <w:r w:rsidR="00914D08">
        <w:t xml:space="preserve">später </w:t>
      </w:r>
      <w:r>
        <w:t>billiger werden</w:t>
      </w:r>
      <w:r w:rsidR="00DA64A2">
        <w:rPr>
          <w:rStyle w:val="Funotenzeichen"/>
        </w:rPr>
        <w:footnoteReference w:id="2469"/>
      </w:r>
      <w:r w:rsidR="00CB48D6">
        <w:t xml:space="preserve"> </w:t>
      </w:r>
      <w:r w:rsidR="00DA64A2">
        <w:t>oder schon jetzt billig sind</w:t>
      </w:r>
      <w:r w:rsidR="00B01E6E">
        <w:t xml:space="preserve">. Ich will hier keineswegs sagen, dass die wichtigste Studie in </w:t>
      </w:r>
      <w:r w:rsidR="00B01E6E">
        <w:lastRenderedPageBreak/>
        <w:t>diesem Bereich, die</w:t>
      </w:r>
      <w:r w:rsidR="00DA64A2">
        <w:t xml:space="preserve"> Fraunhofer Studie zu Stromgestehungskosten</w:t>
      </w:r>
      <w:r w:rsidR="00EC635E">
        <w:t xml:space="preserve"> (die bei Solar auf 4,2 Cent/kWh und Landwind 4,3 Cent/kWh heruntergeht)</w:t>
      </w:r>
      <w:r w:rsidR="00DA64A2">
        <w:rPr>
          <w:rStyle w:val="Funotenzeichen"/>
        </w:rPr>
        <w:footnoteReference w:id="2470"/>
      </w:r>
      <w:r w:rsidR="00B01E6E">
        <w:t xml:space="preserve"> und andere Studien</w:t>
      </w:r>
      <w:r w:rsidR="00DA64A2">
        <w:rPr>
          <w:rStyle w:val="Funotenzeichen"/>
        </w:rPr>
        <w:footnoteReference w:id="2471"/>
      </w:r>
      <w:r w:rsidR="00B01E6E">
        <w:t xml:space="preserve"> über falsche Zahlen verfügen.</w:t>
      </w:r>
      <w:r w:rsidR="00DA64A2">
        <w:t xml:space="preserve"> </w:t>
      </w:r>
    </w:p>
    <w:p w14:paraId="6297DD9C" w14:textId="77777777" w:rsidR="00811A3B" w:rsidRDefault="00811A3B" w:rsidP="002476D9"/>
    <w:p w14:paraId="7C518D35" w14:textId="5EA20EAA" w:rsidR="00B01E6E" w:rsidRDefault="00B01E6E" w:rsidP="002476D9">
      <w:r>
        <w:t xml:space="preserve">Ich habe nur anhand </w:t>
      </w:r>
      <w:r w:rsidR="00756B92">
        <w:t>meine</w:t>
      </w:r>
      <w:r>
        <w:t>r</w:t>
      </w:r>
      <w:r w:rsidR="00756B92">
        <w:t xml:space="preserve"> Bierdeckelrechnungen</w:t>
      </w:r>
      <w:r>
        <w:t>, die nicht professionellen Standards genügen</w:t>
      </w:r>
      <w:r w:rsidR="000B61A8">
        <w:t xml:space="preserve"> (ich kann keine </w:t>
      </w:r>
      <w:proofErr w:type="spellStart"/>
      <w:r w:rsidR="000B61A8">
        <w:t>Levellized</w:t>
      </w:r>
      <w:proofErr w:type="spellEnd"/>
      <w:r w:rsidR="000B61A8">
        <w:t xml:space="preserve"> Costs </w:t>
      </w:r>
      <w:proofErr w:type="spellStart"/>
      <w:r w:rsidR="000B61A8">
        <w:t>of</w:t>
      </w:r>
      <w:proofErr w:type="spellEnd"/>
      <w:r w:rsidR="000B61A8">
        <w:t xml:space="preserve"> </w:t>
      </w:r>
      <w:proofErr w:type="spellStart"/>
      <w:r w:rsidR="000B61A8">
        <w:t>Production</w:t>
      </w:r>
      <w:proofErr w:type="spellEnd"/>
      <w:r w:rsidR="000B61A8">
        <w:t xml:space="preserve"> vorlegen)</w:t>
      </w:r>
      <w:r>
        <w:t xml:space="preserve">, </w:t>
      </w:r>
      <w:r w:rsidR="00EC635E">
        <w:t>berechnet</w:t>
      </w:r>
      <w:r>
        <w:t xml:space="preserve">, dass man </w:t>
      </w:r>
      <w:r w:rsidR="00034741">
        <w:t xml:space="preserve">bei erneuerbare Energien Projekten </w:t>
      </w:r>
      <w:r>
        <w:t xml:space="preserve">bei einem </w:t>
      </w:r>
      <w:r w:rsidR="00CB48D6">
        <w:t>relativ hohe</w:t>
      </w:r>
      <w:r>
        <w:t>n</w:t>
      </w:r>
      <w:r w:rsidR="00CB48D6">
        <w:t xml:space="preserve"> Strompreis von 10 bis 15 Cent/kWh </w:t>
      </w:r>
      <w:r>
        <w:t>landet</w:t>
      </w:r>
      <w:r w:rsidR="00CB48D6">
        <w:t>, um halbwegs vernünftige Kreditlaufzeiten zu erreichen.</w:t>
      </w:r>
      <w:r w:rsidR="00756B92">
        <w:t xml:space="preserve"> Oft wird auch</w:t>
      </w:r>
      <w:r w:rsidR="00034741">
        <w:t xml:space="preserve"> </w:t>
      </w:r>
      <w:r w:rsidR="00756B92">
        <w:t xml:space="preserve">angemerkt, dass Sonne und Wind kostenlos sind, und man später, wenn die Anlagen abbezahlt sind, sogar fast kostenlos Energie hat. </w:t>
      </w:r>
      <w:r>
        <w:t>Das mag auch so eintreffen.</w:t>
      </w:r>
      <w:r w:rsidR="00EC635E">
        <w:t xml:space="preserve"> Aber bei langen Kreditlaufzeiten muss man darauf warten.</w:t>
      </w:r>
      <w:r>
        <w:t xml:space="preserve"> </w:t>
      </w:r>
      <w:r w:rsidR="00055946">
        <w:t xml:space="preserve">Ich hoffe </w:t>
      </w:r>
      <w:r>
        <w:t>deshalb auch</w:t>
      </w:r>
      <w:r w:rsidR="00055946">
        <w:t xml:space="preserve">, dass Solar länger als 20 Jahre hält und Windenergieanlagen noch viel länger laufen können, </w:t>
      </w:r>
      <w:r w:rsidR="00EC635E">
        <w:t xml:space="preserve">und nicht dauernd </w:t>
      </w:r>
      <w:r w:rsidR="00055946">
        <w:t xml:space="preserve">neu </w:t>
      </w:r>
      <w:r w:rsidR="00EC635E">
        <w:t>gebaut und investiert werden muss</w:t>
      </w:r>
      <w:r w:rsidR="00055946">
        <w:t xml:space="preserve">. </w:t>
      </w:r>
    </w:p>
    <w:p w14:paraId="28B532A5" w14:textId="77777777" w:rsidR="00EC635E" w:rsidRDefault="00EC635E" w:rsidP="002476D9"/>
    <w:p w14:paraId="01270B77" w14:textId="77777777" w:rsidR="00B90DE5" w:rsidRDefault="00B90DE5" w:rsidP="00B90DE5">
      <w:r w:rsidRPr="00B90DE5">
        <w:t xml:space="preserve">Einen Strompreis von 10 Cent/kWh in Power </w:t>
      </w:r>
      <w:proofErr w:type="spellStart"/>
      <w:r w:rsidRPr="00B90DE5">
        <w:t>Purchasing</w:t>
      </w:r>
      <w:proofErr w:type="spellEnd"/>
      <w:r w:rsidRPr="00B90DE5">
        <w:t xml:space="preserve"> Agreements, im allergünstigsten</w:t>
      </w:r>
      <w:r>
        <w:t xml:space="preserve"> Fall auch 7 bis 9 Cent/kWh wird auch in Geladen Batteriepodcast, 29.06.2025 genannt.</w:t>
      </w:r>
      <w:r>
        <w:rPr>
          <w:rStyle w:val="Funotenzeichen"/>
        </w:rPr>
        <w:footnoteReference w:id="2472"/>
      </w:r>
      <w:r>
        <w:t xml:space="preserve"> </w:t>
      </w:r>
    </w:p>
    <w:p w14:paraId="6D07FE7E" w14:textId="77777777" w:rsidR="00B90DE5" w:rsidRDefault="00B90DE5" w:rsidP="00B90DE5"/>
    <w:p w14:paraId="679E56D4" w14:textId="1D56E3CF" w:rsidR="00C23CF9" w:rsidRDefault="00B90DE5" w:rsidP="002476D9">
      <w:r>
        <w:t>Natürlich kann der Staat, um Wasserstoff günstiger zu machen, einiges tun</w:t>
      </w:r>
      <w:r w:rsidR="00980D47">
        <w:t xml:space="preserve">. </w:t>
      </w:r>
      <w:r w:rsidR="00B01E6E">
        <w:t>D</w:t>
      </w:r>
      <w:r w:rsidR="00ED2F55">
        <w:t>ennoch ist aus</w:t>
      </w:r>
      <w:r w:rsidR="00B01E6E">
        <w:t xml:space="preserve"> Sicht meiner unprofessionellen Bierdeckelrechnungen</w:t>
      </w:r>
      <w:r w:rsidR="00ED2F55">
        <w:t xml:space="preserve"> </w:t>
      </w:r>
      <w:r w:rsidR="00B01E6E">
        <w:t>ein</w:t>
      </w:r>
      <w:r w:rsidR="00ED2F55">
        <w:t xml:space="preserve"> </w:t>
      </w:r>
      <w:r w:rsidR="00034741">
        <w:t xml:space="preserve">in ganz Deutschland realisierbarer </w:t>
      </w:r>
      <w:r w:rsidR="00ED2F55">
        <w:t xml:space="preserve">4 Cent / kWh Strompreis aus Solar und Windkraft </w:t>
      </w:r>
      <w:r w:rsidR="00980D47">
        <w:t>nur schwer realisierbar</w:t>
      </w:r>
      <w:r w:rsidR="00ED2F55">
        <w:t>.</w:t>
      </w:r>
      <w:r w:rsidR="00B01E6E">
        <w:t xml:space="preserve"> </w:t>
      </w:r>
      <w:r w:rsidR="00ED2F55">
        <w:t xml:space="preserve"> </w:t>
      </w:r>
    </w:p>
    <w:p w14:paraId="0A664D05" w14:textId="77777777" w:rsidR="00C23CF9" w:rsidRDefault="00C23CF9" w:rsidP="002476D9"/>
    <w:p w14:paraId="2778966E" w14:textId="77777777" w:rsidR="00980D47" w:rsidRDefault="00980D47" w:rsidP="00723FB1">
      <w:r>
        <w:t>Es wäre aber schön, wenn es doch gelingen könnte. Der Staat könnte etwa Investitionen in erneuerbare Energien übernehmen (dies wird aber zu teuer) oder höher fördern, dadurch würde Strom aus Solar und Wind günstiger werden und die Kreditlaufzeiten sinken. So könnten</w:t>
      </w:r>
      <w:r w:rsidR="00B01E6E">
        <w:t xml:space="preserve"> durch </w:t>
      </w:r>
      <w:r w:rsidR="007058DE">
        <w:t xml:space="preserve">das Absinken von Kosten für Landwindanlagen die Strompreise absinken, dafür wäre eine Rationalisierung und </w:t>
      </w:r>
      <w:r w:rsidR="00B01E6E" w:rsidRPr="007058DE">
        <w:t>Massenproduktion</w:t>
      </w:r>
      <w:r w:rsidR="00034741">
        <w:t xml:space="preserve">, besonders </w:t>
      </w:r>
      <w:r w:rsidR="007058DE">
        <w:t>von Windkraftanlagen nötig</w:t>
      </w:r>
      <w:r w:rsidR="00034741">
        <w:t xml:space="preserve">, dies wurden oben schon mit dem Zitat aus dem Dena Stipe Bericht beschrieben. </w:t>
      </w:r>
      <w:r w:rsidR="00191212">
        <w:t xml:space="preserve">Um dies zu </w:t>
      </w:r>
      <w:r w:rsidR="00EC635E">
        <w:t>e</w:t>
      </w:r>
      <w:r w:rsidR="00191212">
        <w:t>rreichen kann durchaus der Staat helfen, etwa mit eine Projektvorfinanzierung bzw. Garantie (wie bei Siemens) oder mit einer Abnahmegarantie.</w:t>
      </w:r>
      <w:r w:rsidR="00191212">
        <w:rPr>
          <w:rStyle w:val="Funotenzeichen"/>
        </w:rPr>
        <w:footnoteReference w:id="2473"/>
      </w:r>
      <w:r w:rsidR="00191212">
        <w:t xml:space="preserve"> </w:t>
      </w:r>
    </w:p>
    <w:p w14:paraId="3BA6EA9F" w14:textId="77777777" w:rsidR="00980D47" w:rsidRDefault="00980D47" w:rsidP="00723FB1"/>
    <w:p w14:paraId="210ED644" w14:textId="045FE733" w:rsidR="00172BB9" w:rsidRDefault="00E06D2C" w:rsidP="00723FB1">
      <w:pPr>
        <w:rPr>
          <w:b/>
          <w:bCs/>
        </w:rPr>
      </w:pPr>
      <w:r>
        <w:t>Kostenvorteile durch Massen</w:t>
      </w:r>
      <w:r w:rsidR="00707AA2">
        <w:t>f</w:t>
      </w:r>
      <w:r>
        <w:t>ertigung</w:t>
      </w:r>
      <w:r w:rsidR="00034741">
        <w:t xml:space="preserve"> erreicht man </w:t>
      </w:r>
      <w:r>
        <w:t xml:space="preserve">allerdings </w:t>
      </w:r>
      <w:r w:rsidR="00B01E6E">
        <w:t xml:space="preserve">nicht, wenn man wie Deutschland im Jahr 2024 </w:t>
      </w:r>
      <w:r w:rsidR="007058DE">
        <w:t xml:space="preserve">nur </w:t>
      </w:r>
      <w:r w:rsidR="00B01E6E">
        <w:t>340 Landwindanlagen und 73 Offshore-Windanlagen aufbaut</w:t>
      </w:r>
      <w:r w:rsidR="00172BB9">
        <w:t xml:space="preserve"> (!!!). </w:t>
      </w:r>
      <w:r w:rsidR="00EC635E" w:rsidRPr="00EC635E">
        <w:rPr>
          <w:b/>
          <w:bCs/>
        </w:rPr>
        <w:t xml:space="preserve">Es fehlen also Anstrengungen zu einer Rationalisierung der Produktion bei Landwindanlagen, ausgerechnet dort, wo niedrige Strompreise erreicht werden können. </w:t>
      </w:r>
      <w:r w:rsidR="00172BB9">
        <w:rPr>
          <w:b/>
          <w:bCs/>
        </w:rPr>
        <w:t xml:space="preserve">Ausgerechnet bei einem ganz wichtigen Punkt der Energiewende, liegen </w:t>
      </w:r>
      <w:r w:rsidR="00980D47">
        <w:rPr>
          <w:b/>
          <w:bCs/>
        </w:rPr>
        <w:t>sinnvolle, nicht teure Vorschläge aus</w:t>
      </w:r>
      <w:r w:rsidR="00172BB9">
        <w:rPr>
          <w:b/>
          <w:bCs/>
        </w:rPr>
        <w:t xml:space="preserve"> Studien vor, </w:t>
      </w:r>
      <w:r w:rsidR="00980D47">
        <w:rPr>
          <w:b/>
          <w:bCs/>
        </w:rPr>
        <w:t>aber</w:t>
      </w:r>
      <w:r w:rsidR="00172BB9">
        <w:rPr>
          <w:b/>
          <w:bCs/>
        </w:rPr>
        <w:t xml:space="preserve"> eine Kostensenkung durch Rationalisierung durch eine höhere Produktionsmenge bei Windkraft wurde noch nicht </w:t>
      </w:r>
      <w:r w:rsidR="00980D47">
        <w:rPr>
          <w:b/>
          <w:bCs/>
        </w:rPr>
        <w:t>aus</w:t>
      </w:r>
      <w:r w:rsidR="00172BB9">
        <w:rPr>
          <w:b/>
          <w:bCs/>
        </w:rPr>
        <w:t>probiert.</w:t>
      </w:r>
    </w:p>
    <w:p w14:paraId="6F2A9EFA" w14:textId="77777777" w:rsidR="00172BB9" w:rsidRDefault="00172BB9" w:rsidP="00723FB1">
      <w:pPr>
        <w:rPr>
          <w:b/>
          <w:bCs/>
        </w:rPr>
      </w:pPr>
    </w:p>
    <w:tbl>
      <w:tblPr>
        <w:tblStyle w:val="Tabellenraster"/>
        <w:tblW w:w="0" w:type="auto"/>
        <w:tblLook w:val="04A0" w:firstRow="1" w:lastRow="0" w:firstColumn="1" w:lastColumn="0" w:noHBand="0" w:noVBand="1"/>
      </w:tblPr>
      <w:tblGrid>
        <w:gridCol w:w="9062"/>
      </w:tblGrid>
      <w:tr w:rsidR="004D75FD" w14:paraId="65B5CB37" w14:textId="77777777">
        <w:tc>
          <w:tcPr>
            <w:tcW w:w="9062" w:type="dxa"/>
          </w:tcPr>
          <w:p w14:paraId="5ECE8DC4" w14:textId="2BE694EA" w:rsidR="006F4311" w:rsidRDefault="004D75FD" w:rsidP="004D75FD">
            <w:r>
              <w:lastRenderedPageBreak/>
              <w:t xml:space="preserve">Eine weitere Idee </w:t>
            </w:r>
            <w:r w:rsidR="006F4311">
              <w:t xml:space="preserve">um Stromkosten für Elektrolyseure zu senken, wäre </w:t>
            </w:r>
            <w:r>
              <w:t>wenn man abgeregelten Strom zum Nulltarif bekäme, dies ist derzeit in Deutschland</w:t>
            </w:r>
            <w:r w:rsidR="00980D47">
              <w:t xml:space="preserve"> aufgrund</w:t>
            </w:r>
            <w:r>
              <w:t xml:space="preserve"> nicht möglich. Es wird in Geladen Batteriepodcast, 29.06.2025, beschrieben, dass </w:t>
            </w:r>
            <w:r w:rsidR="00980D47">
              <w:t xml:space="preserve">dieser Strom zum Nulltarif aber nicht überall und immer vorhanden ist, so gibt es </w:t>
            </w:r>
            <w:r>
              <w:t xml:space="preserve">Gegenden, in denen z.B. im März bis Mai </w:t>
            </w:r>
            <w:r w:rsidR="00980D47">
              <w:t xml:space="preserve">beides, </w:t>
            </w:r>
            <w:r>
              <w:t>Wind und Solar</w:t>
            </w:r>
            <w:r w:rsidR="00980D47">
              <w:t>, zu viel da ist</w:t>
            </w:r>
            <w:r>
              <w:t xml:space="preserve"> und </w:t>
            </w:r>
            <w:r w:rsidR="006F4311">
              <w:t>dass dann</w:t>
            </w:r>
            <w:r>
              <w:t xml:space="preserve"> abgeregelt werden muss.</w:t>
            </w:r>
            <w:r>
              <w:rPr>
                <w:rStyle w:val="Funotenzeichen"/>
              </w:rPr>
              <w:footnoteReference w:id="2474"/>
            </w:r>
            <w:r>
              <w:t xml:space="preserve"> </w:t>
            </w:r>
            <w:r w:rsidR="00980D47">
              <w:t>Kann man Wasserstoff günstiger herstellen, wenn man</w:t>
            </w:r>
            <w:r w:rsidR="006F4311">
              <w:t xml:space="preserve"> in drei Monaten des Jahres </w:t>
            </w:r>
            <w:r>
              <w:t xml:space="preserve">Strom zum Nulltarif </w:t>
            </w:r>
            <w:r w:rsidR="00980D47">
              <w:t>bekommt und in den anderen Monaten der Preis normal ist?</w:t>
            </w:r>
            <w:r>
              <w:t xml:space="preserve"> Kurz: damit man den Wasserstoffpreis deutlich herunterbekommt, müsste man Strom zum Nulltarif bei Abregelung </w:t>
            </w:r>
            <w:r w:rsidR="006F4311">
              <w:t xml:space="preserve">erstmal regulatorisch </w:t>
            </w:r>
            <w:r>
              <w:t>zulassen und dann in bestimmten Gegenden, in denen auch Elektrolyseure angesiedelt werden, bewusst Überschussstrom zu</w:t>
            </w:r>
            <w:r w:rsidR="006F4311">
              <w:t>bauen</w:t>
            </w:r>
            <w:r>
              <w:t xml:space="preserve">, also zu viel Solar und zu viel Windkraft und dann hoffen, dass abgeregelt wird … dann müssen weiterhin Leute in dieser Gegend investieren, in der dauert abgeregelt wird und </w:t>
            </w:r>
            <w:r w:rsidR="00340CF0">
              <w:t xml:space="preserve">akzeptieren, dass man </w:t>
            </w:r>
            <w:r w:rsidR="006F4311">
              <w:t xml:space="preserve">dann </w:t>
            </w:r>
            <w:r>
              <w:t>nur die grundlegende Kompensation erhält</w:t>
            </w:r>
            <w:r w:rsidR="00340CF0">
              <w:t xml:space="preserve"> (soweit ich das überhaupt verstehen, kann man jedenfalls dann nicht mehr versuchen Überschüsse am Strommarkt zu verkaufen)</w:t>
            </w:r>
            <w:r>
              <w:t xml:space="preserve">. </w:t>
            </w:r>
            <w:r w:rsidR="006F4311">
              <w:t>Außerdem</w:t>
            </w:r>
            <w:r w:rsidR="00340CF0">
              <w:t xml:space="preserve"> können nur die </w:t>
            </w:r>
            <w:proofErr w:type="gramStart"/>
            <w:r w:rsidR="00340CF0">
              <w:t>PEM Elektrolyseure</w:t>
            </w:r>
            <w:proofErr w:type="gramEnd"/>
            <w:r w:rsidR="00340CF0">
              <w:t xml:space="preserve"> den Solar-Peak zu Mittag nutzen,</w:t>
            </w:r>
            <w:r w:rsidR="006F4311">
              <w:t xml:space="preserve"> die alkalischen Wasserelektrolyseure </w:t>
            </w:r>
            <w:r w:rsidR="00340CF0">
              <w:t xml:space="preserve">müssen </w:t>
            </w:r>
            <w:r w:rsidR="006F4311">
              <w:t>durchlaufen. Deshalb muss neben</w:t>
            </w:r>
            <w:r>
              <w:t xml:space="preserve"> den erneuerbaren Energieanlagen ein größeres Wasserstoffgaskraftwerk stehen, </w:t>
            </w:r>
            <w:r w:rsidR="006F4311">
              <w:t xml:space="preserve">wenn </w:t>
            </w:r>
            <w:r>
              <w:t xml:space="preserve">welches in der Lage ist, 4 </w:t>
            </w:r>
            <w:r w:rsidR="006F4311">
              <w:t xml:space="preserve">mal </w:t>
            </w:r>
            <w:r>
              <w:t xml:space="preserve">500 MW Elektrolyseure </w:t>
            </w:r>
            <w:r w:rsidR="006F4311">
              <w:t>mit Strom zu versorgen, etwa in der Nacht und im Winder</w:t>
            </w:r>
            <w:r>
              <w:t xml:space="preserve">, damit dies ein ernstzunehmendes Konzept wird. </w:t>
            </w:r>
          </w:p>
          <w:p w14:paraId="5FFE37B5" w14:textId="77777777" w:rsidR="006F4311" w:rsidRDefault="006F4311" w:rsidP="004D75FD"/>
          <w:p w14:paraId="3C8C195D" w14:textId="6C59B5CA" w:rsidR="004D75FD" w:rsidRDefault="004D75FD" w:rsidP="004D75FD">
            <w:r>
              <w:t>Der Staat könnte natürlich auch eine großen Landwind-Region finanzieren, nur für Wasserstoff und versuchen damit günstigen Wasserstoff zu produzieren … das kostet aber was</w:t>
            </w:r>
            <w:r w:rsidR="006F4311">
              <w:t xml:space="preserve">: 300 Werder </w:t>
            </w:r>
            <w:proofErr w:type="spellStart"/>
            <w:r w:rsidR="006F4311">
              <w:t>Kessin</w:t>
            </w:r>
            <w:proofErr w:type="spellEnd"/>
            <w:r w:rsidR="006F4311">
              <w:t xml:space="preserve"> Windparks kosten 60 Mrd., sie produzieren 90 TWh Strom, </w:t>
            </w:r>
            <w:r w:rsidR="00340CF0">
              <w:t>mit 80 TWh</w:t>
            </w:r>
            <w:r w:rsidR="006F4311">
              <w:t xml:space="preserve"> kann man 1 Mill. Tonnen Wasserstoff herstellen. Wenn man 600 Mrd. </w:t>
            </w:r>
            <w:r w:rsidR="00340CF0">
              <w:t xml:space="preserve">Euro </w:t>
            </w:r>
            <w:r w:rsidR="006F4311">
              <w:t>einfach so h</w:t>
            </w:r>
            <w:r w:rsidR="00340CF0">
              <w:t>ätte</w:t>
            </w:r>
            <w:r w:rsidR="006F4311">
              <w:t>, dann k</w:t>
            </w:r>
            <w:r w:rsidR="00340CF0">
              <w:t>önnte</w:t>
            </w:r>
            <w:r w:rsidR="006F4311">
              <w:t xml:space="preserve"> man die Infrastruktur für 10 Mill. Tonnen Wasserstoff finanzieren, und den Strom für 2 Cent/kWh verkaufen, dann wird es in der Chemie </w:t>
            </w:r>
            <w:r w:rsidR="00340CF0">
              <w:t>tatsächlich einen</w:t>
            </w:r>
            <w:r w:rsidR="006F4311">
              <w:t xml:space="preserve"> viel weniger hohen Preissprung geben.</w:t>
            </w:r>
            <w:r w:rsidR="00340CF0">
              <w:t xml:space="preserve"> Aber die letzten drei Jahren haben uns in Deutschland von diesen Illusionen grundlegend befreit, dass wird in Zukunft eine solche Summe noch einmal als Kredit aufnehmen sollten.</w:t>
            </w:r>
            <w:r w:rsidR="006F4311">
              <w:t xml:space="preserve"> Man sieht </w:t>
            </w:r>
            <w:r w:rsidR="00340CF0">
              <w:t>ein weiteres Mal</w:t>
            </w:r>
            <w:r w:rsidR="006F4311">
              <w:t>, dass es besser ist, wenn der</w:t>
            </w:r>
            <w:r w:rsidR="00340CF0">
              <w:t xml:space="preserve"> </w:t>
            </w:r>
            <w:r w:rsidR="006F4311">
              <w:t>Staat nur die Anreize schafft, dass diese Investitionen gemacht werden.</w:t>
            </w:r>
            <w:r w:rsidR="00340CF0">
              <w:t xml:space="preserve"> Und der Sprung auf ein neues Preisniveau ist eben auch so eine Art und Weise, um Geld zu sparen!!!</w:t>
            </w:r>
          </w:p>
        </w:tc>
      </w:tr>
    </w:tbl>
    <w:p w14:paraId="4A8FFE5D" w14:textId="7A3F4961" w:rsidR="004D75FD" w:rsidRDefault="00340CF0" w:rsidP="00723FB1">
      <w:pPr>
        <w:rPr>
          <w:b/>
          <w:bCs/>
        </w:rPr>
      </w:pPr>
      <w:r>
        <w:rPr>
          <w:b/>
          <w:bCs/>
        </w:rPr>
        <w:t xml:space="preserve"> </w:t>
      </w:r>
    </w:p>
    <w:p w14:paraId="6A03965E" w14:textId="1C843E15" w:rsidR="00B01E6E" w:rsidRDefault="00723FB1" w:rsidP="00723FB1">
      <w:r>
        <w:t xml:space="preserve">Solange die Strompreise </w:t>
      </w:r>
      <w:r w:rsidR="007058DE">
        <w:t xml:space="preserve">erneuerbarer Energien </w:t>
      </w:r>
      <w:r w:rsidR="00B01E6E">
        <w:t>bei 10-15 Cent/kWh</w:t>
      </w:r>
      <w:r>
        <w:t xml:space="preserve"> </w:t>
      </w:r>
      <w:r w:rsidR="00B01E6E">
        <w:t>liegen,</w:t>
      </w:r>
      <w:r>
        <w:t xml:space="preserve"> kommt es zu höheren Kosten für den Wasserstoff aus der Elektrolyse</w:t>
      </w:r>
      <w:r w:rsidR="00172BB9">
        <w:t xml:space="preserve"> und dies führt zu höheren Kosten bei Stahl und Chemie. Bei Stahl ist man in der idealen Lage, diesen Sprung über mehrere Jahre zu strecken, weil man </w:t>
      </w:r>
      <w:r w:rsidR="00E06D2C">
        <w:t xml:space="preserve">Erdgas nutzen kann und </w:t>
      </w:r>
      <w:r w:rsidR="00172BB9">
        <w:t xml:space="preserve">grünen Wasserstoff in den neuen Direktreduktionsanlagen frei dosierbar dazugeben kann. Es bleibt dennoch </w:t>
      </w:r>
      <w:r w:rsidR="00E06D2C">
        <w:t>der</w:t>
      </w:r>
      <w:r w:rsidR="00172BB9">
        <w:t xml:space="preserve"> Preissprung. </w:t>
      </w:r>
      <w:r>
        <w:t xml:space="preserve"> </w:t>
      </w:r>
    </w:p>
    <w:p w14:paraId="1499A4A7" w14:textId="77777777" w:rsidR="00723FB1" w:rsidRDefault="00723FB1" w:rsidP="002476D9"/>
    <w:p w14:paraId="6D84AB05" w14:textId="643ED2BA" w:rsidR="00191212" w:rsidRDefault="00CB48D6" w:rsidP="009518AD">
      <w:r>
        <w:t xml:space="preserve">Hört man das Wort Preissprung, ist man natürlich besorgt, weil es </w:t>
      </w:r>
      <w:proofErr w:type="spellStart"/>
      <w:r>
        <w:t>simplerweise</w:t>
      </w:r>
      <w:proofErr w:type="spellEnd"/>
      <w:r>
        <w:t xml:space="preserve"> so ist, dass danach Produkte teurer </w:t>
      </w:r>
      <w:r w:rsidR="00986141">
        <w:t>sind</w:t>
      </w:r>
      <w:r>
        <w:t xml:space="preserve">. Man vergisst dabei aber, dass Produkte auch durch das Europäische Emissionshandelssystem ETS teuer werden. </w:t>
      </w:r>
      <w:r w:rsidRPr="00723FB1">
        <w:rPr>
          <w:b/>
          <w:bCs/>
        </w:rPr>
        <w:t>Wir werden also spätestens ab 2030 auch für graue Produkte, die mit viel CO2-Aussstoß produziert werden, mehr bezahlen. Da ist es besser, direkt für grüne Produkte mehr zu bezahlen</w:t>
      </w:r>
      <w:r>
        <w:t xml:space="preserve">. </w:t>
      </w:r>
    </w:p>
    <w:p w14:paraId="7B54F2D2" w14:textId="77777777" w:rsidR="00191212" w:rsidRDefault="00191212" w:rsidP="009518AD"/>
    <w:p w14:paraId="4CC06D1B" w14:textId="3B729C6D" w:rsidR="00172BB9" w:rsidRDefault="00CB48D6" w:rsidP="009518AD">
      <w:r>
        <w:t xml:space="preserve">Dazu kommt, </w:t>
      </w:r>
      <w:r w:rsidRPr="00172BB9">
        <w:rPr>
          <w:b/>
          <w:bCs/>
        </w:rPr>
        <w:t xml:space="preserve">dass aus meiner Sicht ein koordinierter </w:t>
      </w:r>
      <w:r w:rsidR="00340CF0">
        <w:rPr>
          <w:b/>
          <w:bCs/>
        </w:rPr>
        <w:t xml:space="preserve">Preissprung </w:t>
      </w:r>
      <w:r w:rsidR="00172BB9" w:rsidRPr="00172BB9">
        <w:rPr>
          <w:b/>
          <w:bCs/>
        </w:rPr>
        <w:t>in der</w:t>
      </w:r>
      <w:r w:rsidR="00172BB9">
        <w:rPr>
          <w:b/>
          <w:bCs/>
        </w:rPr>
        <w:t xml:space="preserve"> gesamten</w:t>
      </w:r>
      <w:r w:rsidR="00172BB9" w:rsidRPr="00172BB9">
        <w:rPr>
          <w:b/>
          <w:bCs/>
        </w:rPr>
        <w:t xml:space="preserve"> EU </w:t>
      </w:r>
      <w:r w:rsidRPr="00172BB9">
        <w:rPr>
          <w:b/>
          <w:bCs/>
        </w:rPr>
        <w:t>nötig ist</w:t>
      </w:r>
      <w:r>
        <w:t>, weil man sonst die Übersicht verliert</w:t>
      </w:r>
      <w:r w:rsidR="00340CF0">
        <w:t xml:space="preserve"> und</w:t>
      </w:r>
      <w:r>
        <w:t xml:space="preserve"> nicht mehr alle Industrie mit</w:t>
      </w:r>
      <w:r w:rsidR="00340CF0">
        <w:t>kommen</w:t>
      </w:r>
      <w:r>
        <w:t xml:space="preserve">, </w:t>
      </w:r>
      <w:r w:rsidR="00340CF0">
        <w:t xml:space="preserve">und </w:t>
      </w:r>
      <w:r>
        <w:t xml:space="preserve">vor allem, weil wir einen </w:t>
      </w:r>
      <w:r w:rsidR="00723FB1">
        <w:t xml:space="preserve">offenen bzw. freien </w:t>
      </w:r>
      <w:r>
        <w:t>Europäische Binnenmarkt haben. Wenn es</w:t>
      </w:r>
      <w:r w:rsidR="008852B5">
        <w:t xml:space="preserve"> </w:t>
      </w:r>
      <w:r>
        <w:t xml:space="preserve">keinen Plan und keine </w:t>
      </w:r>
      <w:r>
        <w:lastRenderedPageBreak/>
        <w:t>Koordination gibt, dann kann Deutschland Stahlwerke umbauen, aber selbst 2035 funktionieren in Italien noch Stahlwerke mit Kokskohle</w:t>
      </w:r>
      <w:r w:rsidR="00986141">
        <w:t xml:space="preserve"> und haben </w:t>
      </w:r>
      <w:proofErr w:type="gramStart"/>
      <w:r w:rsidR="00986141">
        <w:t>eine Wettbewerbsvorteil</w:t>
      </w:r>
      <w:proofErr w:type="gramEnd"/>
      <w:r w:rsidR="00986141">
        <w:t xml:space="preserve"> und der deutsche Staat muss den </w:t>
      </w:r>
      <w:r w:rsidR="00340CF0">
        <w:t xml:space="preserve">deutschen </w:t>
      </w:r>
      <w:r w:rsidR="00986141">
        <w:t xml:space="preserve">Stahl </w:t>
      </w:r>
      <w:r w:rsidR="00340CF0">
        <w:t xml:space="preserve">dann doch wieder </w:t>
      </w:r>
      <w:r w:rsidR="00986141">
        <w:t>au</w:t>
      </w:r>
      <w:r w:rsidR="008852B5">
        <w:t>f</w:t>
      </w:r>
      <w:r w:rsidR="00986141">
        <w:t xml:space="preserve"> dieses Preisniveau heruntersubventionieren. Das ist teuer</w:t>
      </w:r>
      <w:r w:rsidR="008852B5">
        <w:t xml:space="preserve"> und</w:t>
      </w:r>
      <w:r w:rsidR="00986141">
        <w:t xml:space="preserve"> macht keinen Sinn</w:t>
      </w:r>
      <w:r w:rsidR="008852B5">
        <w:t xml:space="preserve">. </w:t>
      </w:r>
    </w:p>
    <w:p w14:paraId="1B50BB66" w14:textId="77777777" w:rsidR="00172BB9" w:rsidRDefault="00172BB9" w:rsidP="009518AD"/>
    <w:p w14:paraId="38B3B494" w14:textId="43416EEB" w:rsidR="00CB48D6" w:rsidRDefault="008852B5" w:rsidP="009518AD">
      <w:r>
        <w:t>Ü</w:t>
      </w:r>
      <w:r w:rsidR="00986141">
        <w:t>berhaupt ist es typisch für Menschen, einen Plan zu machen</w:t>
      </w:r>
      <w:r>
        <w:t xml:space="preserve"> und ein nachvollziehbarer Plan würde auch die Energiewende in der Öffentlichkeit besser erklärbar und rechtfertigbar machen</w:t>
      </w:r>
      <w:r w:rsidR="00986141">
        <w:t xml:space="preserve">. Die Klimaumstellung einzig und allein dem Emissionshandelssystem ETS zu überlassen, </w:t>
      </w:r>
      <w:r>
        <w:t xml:space="preserve">die zudem eine unsichere Preisentwicklung aufweist, </w:t>
      </w:r>
      <w:r w:rsidR="00E06D2C">
        <w:t xml:space="preserve">erzeugt schon </w:t>
      </w:r>
      <w:r w:rsidR="00340CF0">
        <w:t xml:space="preserve">im Moment </w:t>
      </w:r>
      <w:r w:rsidR="00E06D2C">
        <w:t>wieder Unsicherheit, weil</w:t>
      </w:r>
      <w:r>
        <w:t xml:space="preserve"> die </w:t>
      </w:r>
      <w:r w:rsidR="00340CF0">
        <w:t xml:space="preserve">Produktion in der </w:t>
      </w:r>
      <w:r>
        <w:t xml:space="preserve">Industrie </w:t>
      </w:r>
      <w:r w:rsidR="00E06D2C">
        <w:t xml:space="preserve">derzeit </w:t>
      </w:r>
      <w:r w:rsidR="00340CF0">
        <w:t xml:space="preserve">zurückgeht und damit </w:t>
      </w:r>
      <w:r>
        <w:t xml:space="preserve">weniger CO2-Zertifikate </w:t>
      </w:r>
      <w:r w:rsidR="00340CF0">
        <w:t>ge</w:t>
      </w:r>
      <w:r>
        <w:t xml:space="preserve">braucht </w:t>
      </w:r>
      <w:r w:rsidR="00340CF0">
        <w:t xml:space="preserve">werden </w:t>
      </w:r>
      <w:r>
        <w:t xml:space="preserve">und </w:t>
      </w:r>
      <w:r w:rsidR="00340CF0">
        <w:t>die Industrie wieder sehr viele Emissionszertifikate besitzt und versuchen könnte damit</w:t>
      </w:r>
      <w:r>
        <w:t xml:space="preserve"> in die 2030 Jahre hinein zu ‚tauchen</w:t>
      </w:r>
      <w:r w:rsidR="00340CF0">
        <w:t>‘</w:t>
      </w:r>
      <w:r>
        <w:t>. Ab 2035 könnte es dann zu einer</w:t>
      </w:r>
      <w:r w:rsidR="00986141">
        <w:t xml:space="preserve"> Tor</w:t>
      </w:r>
      <w:r w:rsidR="00340CF0">
        <w:t>s</w:t>
      </w:r>
      <w:r w:rsidR="00986141">
        <w:t xml:space="preserve">chlusspanik führen, bei der dann plötzlich </w:t>
      </w:r>
      <w:r>
        <w:t xml:space="preserve">viele Umbauwünsche geäußert werden und </w:t>
      </w:r>
      <w:r w:rsidR="00986141">
        <w:t xml:space="preserve">der Bedarf für Strom für Elektrolyseure und Wasserstoff </w:t>
      </w:r>
      <w:r w:rsidR="00E06D2C">
        <w:t>dann rapide an</w:t>
      </w:r>
      <w:r w:rsidR="00340CF0">
        <w:t>steigt</w:t>
      </w:r>
      <w:r w:rsidR="00986141">
        <w:t xml:space="preserve">, </w:t>
      </w:r>
      <w:r w:rsidR="00340CF0">
        <w:t>und auch</w:t>
      </w:r>
      <w:r w:rsidR="00986141">
        <w:t xml:space="preserve"> der Netzausbau </w:t>
      </w:r>
      <w:r w:rsidR="00E06D2C">
        <w:t>nicht mehr</w:t>
      </w:r>
      <w:r w:rsidR="00986141">
        <w:t xml:space="preserve"> mithalten kann</w:t>
      </w:r>
      <w:r w:rsidR="00E06D2C">
        <w:t xml:space="preserve">. Dann muss die Politik eingreifen und die ganze Energiewende erneut verzögern, bis weit in die 2040er Jahre herein. </w:t>
      </w:r>
      <w:r>
        <w:t>Betriebsschließungen und Arbeitslosigkeit</w:t>
      </w:r>
      <w:r w:rsidR="00E06D2C">
        <w:t xml:space="preserve"> möchte niemand</w:t>
      </w:r>
      <w:r w:rsidR="00986141">
        <w:t xml:space="preserve">. </w:t>
      </w:r>
      <w:r w:rsidR="00E06D2C">
        <w:t xml:space="preserve">Besser ist also </w:t>
      </w:r>
      <w:r w:rsidR="00986141">
        <w:t>ein Plan</w:t>
      </w:r>
      <w:r w:rsidR="00E06D2C">
        <w:t>.</w:t>
      </w:r>
    </w:p>
    <w:p w14:paraId="16DCDED0" w14:textId="77777777" w:rsidR="008852B5" w:rsidRDefault="008852B5" w:rsidP="009518AD"/>
    <w:p w14:paraId="140675F5" w14:textId="5CDA875B" w:rsidR="009518AD" w:rsidRDefault="009518AD" w:rsidP="009518AD">
      <w:r>
        <w:t xml:space="preserve">Im Bereich Stahl scheinen die Kostensteigerungen nicht so hoch zu sein, vielleicht eine </w:t>
      </w:r>
      <w:proofErr w:type="gramStart"/>
      <w:r>
        <w:t>2 fache</w:t>
      </w:r>
      <w:proofErr w:type="gramEnd"/>
      <w:r w:rsidR="00172BB9">
        <w:t xml:space="preserve"> bzw. vielleicht </w:t>
      </w:r>
      <w:proofErr w:type="gramStart"/>
      <w:r w:rsidR="00172BB9">
        <w:t>3 fache</w:t>
      </w:r>
      <w:proofErr w:type="gramEnd"/>
      <w:r>
        <w:t xml:space="preserve"> Verteuerung. In der Excel-Datei über die Kosten für einen Klimaschutzvertrag im Bereich Stahl findet sich die ‚Default‘-Berechnung, dass grüner Stahl, der mit grünem Wasserstoff produziert wird, statt 400 Euro / Tonne Rohstahl, nun 670 Euro / Tonnen Rohstahl kostet, siehe den Agora Industrie  Transformationskostenrechner Stahl.</w:t>
      </w:r>
      <w:r>
        <w:rPr>
          <w:rStyle w:val="Funotenzeichen"/>
        </w:rPr>
        <w:footnoteReference w:id="2475"/>
      </w:r>
      <w:r>
        <w:t xml:space="preserve"> Oder von 373 zu 646 Euro pro Tonne Rohstahl in der Agora Analyse Stahl 2021</w:t>
      </w:r>
      <w:r w:rsidR="008852B5">
        <w:t>, mit 5500 Euro/Tonnen Wasserstoff gerechnet, wenn man 9000 Euro / Tonnen annimmt, bei 15 Cent/kWh Strompreis, wird die Preissteigerung höher.</w:t>
      </w:r>
      <w:r>
        <w:rPr>
          <w:rStyle w:val="Funotenzeichen"/>
        </w:rPr>
        <w:footnoteReference w:id="2476"/>
      </w:r>
    </w:p>
    <w:p w14:paraId="20D576BC" w14:textId="77777777" w:rsidR="009518AD" w:rsidRDefault="009518AD" w:rsidP="002476D9"/>
    <w:p w14:paraId="78780808" w14:textId="6D3653A2" w:rsidR="00172BB9" w:rsidRPr="00172BB9" w:rsidRDefault="00E06D2C" w:rsidP="002476D9">
      <w:pPr>
        <w:rPr>
          <w:b/>
          <w:bCs/>
        </w:rPr>
      </w:pPr>
      <w:r>
        <w:t>Meine Bierdeckelrechnungen zeigen aber</w:t>
      </w:r>
      <w:r w:rsidR="00797DCA" w:rsidRPr="00172BB9">
        <w:t xml:space="preserve">, dass es </w:t>
      </w:r>
      <w:r>
        <w:t xml:space="preserve">im </w:t>
      </w:r>
      <w:r w:rsidR="00797DCA" w:rsidRPr="00172BB9">
        <w:t>Chemieindustrie zu einem größeren Preissprung kommen wird.</w:t>
      </w:r>
      <w:r w:rsidR="00535DBD" w:rsidRPr="00172BB9">
        <w:t xml:space="preserve"> </w:t>
      </w:r>
      <w:r w:rsidR="00055946" w:rsidRPr="00172BB9">
        <w:t xml:space="preserve">Bei Wasserstoff hängt der Preis </w:t>
      </w:r>
      <w:r w:rsidR="00D41360" w:rsidRPr="00172BB9">
        <w:t xml:space="preserve">vom Strompreis ab, </w:t>
      </w:r>
      <w:r w:rsidR="00D41360" w:rsidRPr="00172BB9">
        <w:rPr>
          <w:u w:val="single"/>
        </w:rPr>
        <w:t>bei 10 Cent</w:t>
      </w:r>
      <w:r w:rsidR="00055946" w:rsidRPr="00172BB9">
        <w:rPr>
          <w:u w:val="single"/>
        </w:rPr>
        <w:t xml:space="preserve"> / kWh liegt</w:t>
      </w:r>
      <w:r w:rsidR="00D41360" w:rsidRPr="00172BB9">
        <w:rPr>
          <w:u w:val="single"/>
        </w:rPr>
        <w:t xml:space="preserve"> </w:t>
      </w:r>
      <w:r w:rsidR="00055946" w:rsidRPr="00172BB9">
        <w:rPr>
          <w:u w:val="single"/>
        </w:rPr>
        <w:t xml:space="preserve">der </w:t>
      </w:r>
      <w:r w:rsidR="00D41360" w:rsidRPr="00172BB9">
        <w:rPr>
          <w:u w:val="single"/>
        </w:rPr>
        <w:t>Wasserstoff</w:t>
      </w:r>
      <w:r w:rsidR="00055946" w:rsidRPr="00172BB9">
        <w:rPr>
          <w:u w:val="single"/>
        </w:rPr>
        <w:t xml:space="preserve">preis </w:t>
      </w:r>
      <w:r w:rsidR="00D41360" w:rsidRPr="00172BB9">
        <w:rPr>
          <w:u w:val="single"/>
        </w:rPr>
        <w:t xml:space="preserve">etwa 10 </w:t>
      </w:r>
      <w:proofErr w:type="spellStart"/>
      <w:r w:rsidR="00D41360" w:rsidRPr="00172BB9">
        <w:rPr>
          <w:u w:val="single"/>
        </w:rPr>
        <w:t>fach</w:t>
      </w:r>
      <w:proofErr w:type="spellEnd"/>
      <w:r w:rsidR="00D41360" w:rsidRPr="00172BB9">
        <w:rPr>
          <w:u w:val="single"/>
        </w:rPr>
        <w:t xml:space="preserve"> höher</w:t>
      </w:r>
      <w:r w:rsidR="00D41360" w:rsidRPr="00172BB9">
        <w:t xml:space="preserve"> als das heutige Erdgas Großverbraucher Preisniveau, </w:t>
      </w:r>
      <w:r w:rsidR="00D41360" w:rsidRPr="00172BB9">
        <w:rPr>
          <w:u w:val="single"/>
        </w:rPr>
        <w:t>bei 15 Cent</w:t>
      </w:r>
      <w:r>
        <w:rPr>
          <w:u w:val="single"/>
        </w:rPr>
        <w:t xml:space="preserve"> / kWh Strompreis</w:t>
      </w:r>
      <w:r w:rsidR="00D41360" w:rsidRPr="00172BB9">
        <w:rPr>
          <w:u w:val="single"/>
        </w:rPr>
        <w:t xml:space="preserve"> 15 </w:t>
      </w:r>
      <w:proofErr w:type="spellStart"/>
      <w:r w:rsidR="00D41360" w:rsidRPr="00172BB9">
        <w:rPr>
          <w:u w:val="single"/>
        </w:rPr>
        <w:t>fach</w:t>
      </w:r>
      <w:proofErr w:type="spellEnd"/>
      <w:r w:rsidR="00D41360" w:rsidRPr="00172BB9">
        <w:rPr>
          <w:u w:val="single"/>
        </w:rPr>
        <w:t xml:space="preserve"> höher</w:t>
      </w:r>
      <w:r w:rsidR="00D41360" w:rsidRPr="00172BB9">
        <w:t xml:space="preserve"> als das heutige Erdgas Großverbraucher Preisniveau</w:t>
      </w:r>
      <w:r w:rsidR="000A6FC2">
        <w:t xml:space="preserve">. </w:t>
      </w:r>
      <w:r w:rsidR="00B702F5">
        <w:t xml:space="preserve">Grüner </w:t>
      </w:r>
      <w:r w:rsidR="00172BB9" w:rsidRPr="00172BB9">
        <w:t xml:space="preserve">Wasserstoff </w:t>
      </w:r>
      <w:r>
        <w:t>muss aber</w:t>
      </w:r>
      <w:r w:rsidR="000A6FC2">
        <w:t xml:space="preserve"> der neue Grundstoff</w:t>
      </w:r>
      <w:r>
        <w:t xml:space="preserve"> werden</w:t>
      </w:r>
      <w:r w:rsidR="000A6FC2">
        <w:t xml:space="preserve">, statt Naphtha aus der Erdölraffinerie und Methanol </w:t>
      </w:r>
      <w:r w:rsidR="00B702F5">
        <w:t xml:space="preserve">und Wasserstoff </w:t>
      </w:r>
      <w:r w:rsidR="000A6FC2">
        <w:t xml:space="preserve">aus der Dampfreformierung. </w:t>
      </w:r>
      <w:r>
        <w:t>Zwar w</w:t>
      </w:r>
      <w:r w:rsidR="001630A3">
        <w:t>ird</w:t>
      </w:r>
      <w:r>
        <w:t xml:space="preserve"> </w:t>
      </w:r>
      <w:r w:rsidR="000A6FC2">
        <w:t xml:space="preserve">auch </w:t>
      </w:r>
      <w:r>
        <w:t xml:space="preserve">in der Chemieindustrie </w:t>
      </w:r>
      <w:r w:rsidR="001630A3">
        <w:t>die Preissteigerung nicht zu</w:t>
      </w:r>
      <w:r w:rsidR="000A6FC2">
        <w:t xml:space="preserve"> 100 % weitergegeben, </w:t>
      </w:r>
      <w:r w:rsidR="001630A3">
        <w:t xml:space="preserve">aber </w:t>
      </w:r>
      <w:r>
        <w:t xml:space="preserve">hier haben </w:t>
      </w:r>
      <w:r w:rsidR="001630A3">
        <w:t xml:space="preserve">die </w:t>
      </w:r>
      <w:r>
        <w:t>Rohstoff</w:t>
      </w:r>
      <w:r w:rsidR="001630A3">
        <w:t>e</w:t>
      </w:r>
      <w:r>
        <w:t xml:space="preserve"> naturgemäß einen hohen Einfluss auf den Endpreis, </w:t>
      </w:r>
      <w:r w:rsidR="000A6FC2">
        <w:t>z.B. 70 %</w:t>
      </w:r>
      <w:r>
        <w:t>, bei Spezialchemieprodukte auch weniger z.B. 40 %</w:t>
      </w:r>
      <w:r w:rsidR="001630A3">
        <w:t>, so der Vorschlag von ChatGPT</w:t>
      </w:r>
      <w:r>
        <w:t>.</w:t>
      </w:r>
      <w:r w:rsidR="00172BB9" w:rsidRPr="00172BB9">
        <w:t xml:space="preserve"> Einmal abgesehen davon, dass ein höherer Strompreis zu höheren Kosten von Wasserstoff führt, wird es auch</w:t>
      </w:r>
      <w:r w:rsidR="00D41360" w:rsidRPr="00172BB9">
        <w:t xml:space="preserve"> höhere Kosten durch den </w:t>
      </w:r>
      <w:proofErr w:type="gramStart"/>
      <w:r w:rsidR="00D41360" w:rsidRPr="00172BB9">
        <w:t>4 stufigen</w:t>
      </w:r>
      <w:proofErr w:type="gramEnd"/>
      <w:r w:rsidR="00D41360" w:rsidRPr="00172BB9">
        <w:t xml:space="preserve"> grünen Fischer-Tropsch Prozess</w:t>
      </w:r>
      <w:r w:rsidR="00172BB9" w:rsidRPr="00172BB9">
        <w:t xml:space="preserve"> kommen, um Naphtha und E-Fuels herzustellen</w:t>
      </w:r>
      <w:r w:rsidR="00D41360" w:rsidRPr="00172BB9">
        <w:t xml:space="preserve">, günstiger </w:t>
      </w:r>
      <w:r w:rsidR="001630A3">
        <w:t>sei, so wird immer gesagt,</w:t>
      </w:r>
      <w:r w:rsidR="00D41360" w:rsidRPr="00172BB9">
        <w:t xml:space="preserve"> </w:t>
      </w:r>
      <w:proofErr w:type="gramStart"/>
      <w:r w:rsidR="001D056E" w:rsidRPr="00172BB9">
        <w:t>der</w:t>
      </w:r>
      <w:r w:rsidR="000A6FC2">
        <w:t xml:space="preserve"> grüne Synthesegas</w:t>
      </w:r>
      <w:proofErr w:type="gramEnd"/>
      <w:r w:rsidR="000A6FC2">
        <w:t xml:space="preserve"> zu</w:t>
      </w:r>
      <w:r w:rsidR="001D056E" w:rsidRPr="00172BB9">
        <w:t xml:space="preserve"> </w:t>
      </w:r>
      <w:r w:rsidR="00D41360" w:rsidRPr="00172BB9">
        <w:t>Methanol zu Olefinen</w:t>
      </w:r>
      <w:r w:rsidR="001D056E" w:rsidRPr="00172BB9">
        <w:t>-Prozess</w:t>
      </w:r>
      <w:r w:rsidR="00D41360" w:rsidRPr="00172BB9">
        <w:t xml:space="preserve">. </w:t>
      </w:r>
      <w:r w:rsidR="00B702F5" w:rsidRPr="00B702F5">
        <w:rPr>
          <w:b/>
          <w:bCs/>
          <w:u w:val="single"/>
        </w:rPr>
        <w:t>Aus meiner Sicht</w:t>
      </w:r>
      <w:r w:rsidR="00B702F5" w:rsidRPr="00B702F5">
        <w:rPr>
          <w:b/>
          <w:bCs/>
        </w:rPr>
        <w:t xml:space="preserve"> wissen wird aber</w:t>
      </w:r>
      <w:r w:rsidR="001630A3">
        <w:rPr>
          <w:b/>
          <w:bCs/>
        </w:rPr>
        <w:t xml:space="preserve"> über</w:t>
      </w:r>
      <w:r>
        <w:rPr>
          <w:b/>
          <w:bCs/>
        </w:rPr>
        <w:t xml:space="preserve"> diese</w:t>
      </w:r>
      <w:r w:rsidR="00172BB9">
        <w:rPr>
          <w:b/>
          <w:bCs/>
        </w:rPr>
        <w:t xml:space="preserve"> Kostensteigerungen</w:t>
      </w:r>
      <w:r w:rsidR="00172BB9" w:rsidRPr="00172BB9">
        <w:rPr>
          <w:b/>
          <w:bCs/>
        </w:rPr>
        <w:t xml:space="preserve"> </w:t>
      </w:r>
      <w:r>
        <w:rPr>
          <w:b/>
          <w:bCs/>
        </w:rPr>
        <w:t>zu wenig</w:t>
      </w:r>
      <w:r w:rsidR="00172BB9" w:rsidRPr="00172BB9">
        <w:rPr>
          <w:b/>
          <w:bCs/>
        </w:rPr>
        <w:t>, weil die Chemieindustrie bislang</w:t>
      </w:r>
      <w:r w:rsidR="00172BB9">
        <w:rPr>
          <w:b/>
          <w:bCs/>
        </w:rPr>
        <w:t xml:space="preserve"> </w:t>
      </w:r>
      <w:r w:rsidR="000A6FC2">
        <w:rPr>
          <w:b/>
          <w:bCs/>
        </w:rPr>
        <w:t xml:space="preserve">die </w:t>
      </w:r>
      <w:r w:rsidR="00172BB9">
        <w:rPr>
          <w:b/>
          <w:bCs/>
        </w:rPr>
        <w:t>zwei großen Anlagen (</w:t>
      </w:r>
      <w:r w:rsidR="000A6FC2">
        <w:rPr>
          <w:b/>
          <w:bCs/>
        </w:rPr>
        <w:t>grüne Fischer-Tropsch</w:t>
      </w:r>
      <w:r w:rsidR="00172BB9">
        <w:rPr>
          <w:b/>
          <w:bCs/>
        </w:rPr>
        <w:t xml:space="preserve"> </w:t>
      </w:r>
      <w:r w:rsidR="000A6FC2">
        <w:rPr>
          <w:b/>
          <w:bCs/>
        </w:rPr>
        <w:t xml:space="preserve">FT </w:t>
      </w:r>
      <w:r w:rsidR="00172BB9">
        <w:rPr>
          <w:b/>
          <w:bCs/>
        </w:rPr>
        <w:t xml:space="preserve">und </w:t>
      </w:r>
      <w:r w:rsidR="000A6FC2">
        <w:rPr>
          <w:b/>
          <w:bCs/>
        </w:rPr>
        <w:t xml:space="preserve">grüne </w:t>
      </w:r>
      <w:r w:rsidR="00172BB9">
        <w:rPr>
          <w:b/>
          <w:bCs/>
        </w:rPr>
        <w:t>M</w:t>
      </w:r>
      <w:r w:rsidR="000A6FC2">
        <w:rPr>
          <w:b/>
          <w:bCs/>
        </w:rPr>
        <w:t>ethanol-zu-Olefinen MTO</w:t>
      </w:r>
      <w:r w:rsidR="00172BB9">
        <w:rPr>
          <w:b/>
          <w:bCs/>
        </w:rPr>
        <w:t>)</w:t>
      </w:r>
      <w:r w:rsidR="00172BB9" w:rsidRPr="00172BB9">
        <w:rPr>
          <w:b/>
          <w:bCs/>
        </w:rPr>
        <w:t xml:space="preserve"> noch nicht gebaut hat</w:t>
      </w:r>
      <w:r w:rsidR="001630A3">
        <w:rPr>
          <w:b/>
          <w:bCs/>
        </w:rPr>
        <w:t xml:space="preserve"> und auch noch keine grüne Haber-Bosch-Anlagen, obwohl die Anlagenbauer diese Anlagen bauen können</w:t>
      </w:r>
      <w:r w:rsidR="00172BB9" w:rsidRPr="00172BB9">
        <w:rPr>
          <w:b/>
          <w:bCs/>
        </w:rPr>
        <w:t>.</w:t>
      </w:r>
      <w:r w:rsidR="00172BB9">
        <w:rPr>
          <w:b/>
          <w:bCs/>
        </w:rPr>
        <w:t xml:space="preserve"> </w:t>
      </w:r>
    </w:p>
    <w:p w14:paraId="355105BF" w14:textId="77777777" w:rsidR="00172BB9" w:rsidRDefault="00172BB9" w:rsidP="002476D9"/>
    <w:p w14:paraId="1ACFEB69" w14:textId="6EE8AB0A" w:rsidR="00172BB9" w:rsidRPr="00172BB9" w:rsidRDefault="001D056E" w:rsidP="002476D9">
      <w:r w:rsidRPr="00172BB9">
        <w:t xml:space="preserve">Dämpfend könnte </w:t>
      </w:r>
      <w:r w:rsidR="001630A3">
        <w:t xml:space="preserve">auf den Wasserstoffpreis könnte </w:t>
      </w:r>
      <w:r w:rsidRPr="00172BB9">
        <w:t>wirken, dass das grüne Synthesegas, dass Ausgangspunkt der beiden grünen Prozesse ist, nicht nur aus</w:t>
      </w:r>
      <w:r w:rsidR="00D41360" w:rsidRPr="00172BB9">
        <w:t xml:space="preserve"> Wasserstoff</w:t>
      </w:r>
      <w:r w:rsidRPr="00172BB9">
        <w:t xml:space="preserve">, sondern auch aus CO2 </w:t>
      </w:r>
      <w:r w:rsidRPr="00172BB9">
        <w:lastRenderedPageBreak/>
        <w:t>besteht, das</w:t>
      </w:r>
      <w:r w:rsidR="008852B5" w:rsidRPr="00172BB9">
        <w:t xml:space="preserve"> </w:t>
      </w:r>
      <w:r w:rsidR="00D41360" w:rsidRPr="00172BB9">
        <w:t>günstig</w:t>
      </w:r>
      <w:r w:rsidRPr="00172BB9">
        <w:t xml:space="preserve"> </w:t>
      </w:r>
      <w:r w:rsidR="00E06D2C">
        <w:t>bei der Zementindustrie oder Müllverbrennungsanlagen an der</w:t>
      </w:r>
      <w:r w:rsidR="008852B5" w:rsidRPr="00172BB9">
        <w:t xml:space="preserve"> Punktquelle aufgefangen w</w:t>
      </w:r>
      <w:r w:rsidR="001630A3">
        <w:t>erden kann, aber wirklich viel wird dies nicht bringen ...</w:t>
      </w:r>
      <w:r w:rsidR="00172BB9" w:rsidRPr="00172BB9">
        <w:t xml:space="preserve">. </w:t>
      </w:r>
    </w:p>
    <w:p w14:paraId="592A50A3" w14:textId="02CBEF64" w:rsidR="009518AD" w:rsidRDefault="009518AD" w:rsidP="002476D9"/>
    <w:p w14:paraId="33A92E46" w14:textId="2F1796E7" w:rsidR="00F52D63" w:rsidRDefault="00F52D63" w:rsidP="00F52D63">
      <w:r>
        <w:t xml:space="preserve">Wenn diese neuen Chemieanlagen wieder 30 oder sogar 50 Jahre und mehr laufen, sind die Anlageninvestitionen CAPEX relativ gesehen unwichtig, es geht um die Betriebskosten OPEX, die </w:t>
      </w:r>
      <w:proofErr w:type="gramStart"/>
      <w:r w:rsidR="001630A3">
        <w:t>bei einer Anlagen</w:t>
      </w:r>
      <w:proofErr w:type="gramEnd"/>
      <w:r w:rsidR="001630A3">
        <w:t xml:space="preserve"> mit einem </w:t>
      </w:r>
      <w:proofErr w:type="gramStart"/>
      <w:r w:rsidR="001630A3">
        <w:t>4 stufigen</w:t>
      </w:r>
      <w:proofErr w:type="gramEnd"/>
      <w:r w:rsidR="001630A3">
        <w:t xml:space="preserve"> Produktionsprozess dann eben </w:t>
      </w:r>
      <w:r>
        <w:t xml:space="preserve">deutlich höher liegen. </w:t>
      </w:r>
      <w:r w:rsidRPr="00055946">
        <w:rPr>
          <w:u w:val="single"/>
        </w:rPr>
        <w:t>Dieses neue Preisniveau kann kein Staat der Welt für viele Jahre auf das vormalige Preisniveau auf der Ebene von Erdgas heruntersubventionieren</w:t>
      </w:r>
      <w:r>
        <w:t xml:space="preserve">. </w:t>
      </w:r>
      <w:r w:rsidR="000A6FC2">
        <w:rPr>
          <w:b/>
          <w:bCs/>
        </w:rPr>
        <w:t>S</w:t>
      </w:r>
      <w:r w:rsidRPr="00AA7A8A">
        <w:rPr>
          <w:b/>
          <w:bCs/>
        </w:rPr>
        <w:t xml:space="preserve">elbst bei </w:t>
      </w:r>
      <w:r w:rsidR="000A6FC2">
        <w:rPr>
          <w:b/>
          <w:bCs/>
        </w:rPr>
        <w:t xml:space="preserve">einer </w:t>
      </w:r>
      <w:r w:rsidRPr="00AA7A8A">
        <w:rPr>
          <w:b/>
          <w:bCs/>
        </w:rPr>
        <w:t xml:space="preserve">nur </w:t>
      </w:r>
      <w:proofErr w:type="gramStart"/>
      <w:r w:rsidRPr="00AA7A8A">
        <w:rPr>
          <w:b/>
          <w:bCs/>
        </w:rPr>
        <w:t>4 fachen</w:t>
      </w:r>
      <w:proofErr w:type="gramEnd"/>
      <w:r w:rsidRPr="00AA7A8A">
        <w:rPr>
          <w:b/>
          <w:bCs/>
        </w:rPr>
        <w:t xml:space="preserve"> Preissteigerung </w:t>
      </w:r>
      <w:r w:rsidR="000A6FC2">
        <w:rPr>
          <w:b/>
          <w:bCs/>
        </w:rPr>
        <w:t xml:space="preserve">geht es </w:t>
      </w:r>
      <w:proofErr w:type="spellStart"/>
      <w:r w:rsidRPr="00AA7A8A">
        <w:rPr>
          <w:b/>
          <w:bCs/>
        </w:rPr>
        <w:t>pi</w:t>
      </w:r>
      <w:proofErr w:type="spellEnd"/>
      <w:r w:rsidRPr="00AA7A8A">
        <w:rPr>
          <w:b/>
          <w:bCs/>
        </w:rPr>
        <w:t xml:space="preserve"> mal Daumen geschätzt schon</w:t>
      </w:r>
      <w:r w:rsidR="000A6FC2">
        <w:rPr>
          <w:b/>
          <w:bCs/>
        </w:rPr>
        <w:t xml:space="preserve"> jährlich um</w:t>
      </w:r>
      <w:r w:rsidRPr="00AA7A8A">
        <w:rPr>
          <w:b/>
          <w:bCs/>
        </w:rPr>
        <w:t xml:space="preserve"> zweistellige Milliardensummen</w:t>
      </w:r>
      <w:r w:rsidR="000A6FC2">
        <w:rPr>
          <w:b/>
          <w:bCs/>
        </w:rPr>
        <w:t>, um künstlich einen niedrigeren Preis zu erhalten – und dies m</w:t>
      </w:r>
      <w:r w:rsidR="001630A3">
        <w:rPr>
          <w:b/>
          <w:bCs/>
        </w:rPr>
        <w:t>üss</w:t>
      </w:r>
      <w:r w:rsidR="000A6FC2">
        <w:rPr>
          <w:b/>
          <w:bCs/>
        </w:rPr>
        <w:t xml:space="preserve">te man </w:t>
      </w:r>
      <w:r w:rsidR="001630A3">
        <w:rPr>
          <w:b/>
          <w:bCs/>
        </w:rPr>
        <w:t>in ganz</w:t>
      </w:r>
      <w:r w:rsidR="000A6FC2">
        <w:rPr>
          <w:b/>
          <w:bCs/>
        </w:rPr>
        <w:t xml:space="preserve"> Europa </w:t>
      </w:r>
      <w:r w:rsidR="001630A3">
        <w:rPr>
          <w:b/>
          <w:bCs/>
        </w:rPr>
        <w:t>durchführen</w:t>
      </w:r>
      <w:r>
        <w:t xml:space="preserve">. </w:t>
      </w:r>
      <w:r w:rsidR="008852B5">
        <w:t>E</w:t>
      </w:r>
      <w:r w:rsidR="00B66357">
        <w:t>in gemeinsame</w:t>
      </w:r>
      <w:r w:rsidR="008852B5">
        <w:t>r</w:t>
      </w:r>
      <w:r w:rsidR="00B66357">
        <w:t xml:space="preserve">, koordinierten Sprung </w:t>
      </w:r>
      <w:proofErr w:type="gramStart"/>
      <w:r w:rsidR="00B66357">
        <w:t>auf eine neues Preisniveau</w:t>
      </w:r>
      <w:proofErr w:type="gramEnd"/>
      <w:r w:rsidR="00B66357">
        <w:t xml:space="preserve"> </w:t>
      </w:r>
      <w:r w:rsidR="008852B5">
        <w:t xml:space="preserve">ist schon deshalb sinnvoll, weil man dann auf eine </w:t>
      </w:r>
      <w:r w:rsidR="00B218AD">
        <w:t xml:space="preserve">langjährige </w:t>
      </w:r>
      <w:r w:rsidR="008852B5">
        <w:t xml:space="preserve">staatliche Einzelförderung von Werken </w:t>
      </w:r>
      <w:r w:rsidR="00B218AD">
        <w:t>z.B. durch Klimaschutzverträge oder Differenzverträge verzichten könnte.</w:t>
      </w:r>
      <w:r w:rsidR="00B66357">
        <w:t xml:space="preserve"> </w:t>
      </w:r>
    </w:p>
    <w:p w14:paraId="2FEE1FB6" w14:textId="77777777" w:rsidR="00197110" w:rsidRDefault="00197110" w:rsidP="00197110"/>
    <w:tbl>
      <w:tblPr>
        <w:tblStyle w:val="Tabellenraster"/>
        <w:tblW w:w="0" w:type="auto"/>
        <w:tblLook w:val="04A0" w:firstRow="1" w:lastRow="0" w:firstColumn="1" w:lastColumn="0" w:noHBand="0" w:noVBand="1"/>
      </w:tblPr>
      <w:tblGrid>
        <w:gridCol w:w="9062"/>
      </w:tblGrid>
      <w:tr w:rsidR="00197110" w14:paraId="4FB4158F" w14:textId="77777777" w:rsidTr="00725233">
        <w:tc>
          <w:tcPr>
            <w:tcW w:w="9062" w:type="dxa"/>
          </w:tcPr>
          <w:p w14:paraId="5D43455C" w14:textId="77777777" w:rsidR="00197110" w:rsidRDefault="00197110" w:rsidP="00725233">
            <w:r>
              <w:t>Bierdeckelrechnung: In Deutschland wurde 2020 14,3 Mill. Tonnen Erdöl-basiertes Naphtha und andere Erdölderivate in Steamcrackern aufgespalten, siehe Wasserstoff Kompass Chemische Industrie 2024, S. 2.</w:t>
            </w:r>
            <w:r>
              <w:rPr>
                <w:rStyle w:val="Funotenzeichen"/>
              </w:rPr>
              <w:footnoteReference w:id="2477"/>
            </w:r>
            <w:r>
              <w:t xml:space="preserve"> Naphtha kostete 2022 770 US-Dollar pro Tonne. 14.300.000 * 770 = ca. 11 Mrd. US-Dollar. </w:t>
            </w:r>
          </w:p>
          <w:p w14:paraId="78C8B5C2" w14:textId="77777777" w:rsidR="00197110" w:rsidRDefault="00197110" w:rsidP="00725233"/>
          <w:p w14:paraId="46F1BD6D" w14:textId="77777777" w:rsidR="00197110" w:rsidRDefault="00197110" w:rsidP="00725233">
            <w:r>
              <w:t xml:space="preserve">Grünes Naphtha wird aufgrund des </w:t>
            </w:r>
            <w:proofErr w:type="gramStart"/>
            <w:r>
              <w:t>4 stufigen</w:t>
            </w:r>
            <w:proofErr w:type="gramEnd"/>
            <w:r>
              <w:t xml:space="preserve"> Fischer-Tropsch-Prozesses teuer, der Prozess braucht als Input Wasserstoff, welches 9000 Euro / Tonnen kostet und CO2, dass es billiger geben wird, da es aus dem Zementwerk aus der Punktquellenabscheidung kommt. Wie teuer es insgesamt wird, kann man nicht sagen. Wenn das Naphtha </w:t>
            </w:r>
            <w:proofErr w:type="gramStart"/>
            <w:r>
              <w:t>4 mal</w:t>
            </w:r>
            <w:proofErr w:type="gramEnd"/>
            <w:r>
              <w:t xml:space="preserve"> so teuer würde als zuvor, wären es 14.300.000 * 4 * 770 = 44 Mrd. Euro.</w:t>
            </w:r>
          </w:p>
          <w:p w14:paraId="42FCD271" w14:textId="77777777" w:rsidR="00197110" w:rsidRDefault="00197110" w:rsidP="00725233"/>
          <w:p w14:paraId="78221CB4" w14:textId="77777777" w:rsidR="00197110" w:rsidRDefault="00197110" w:rsidP="00725233">
            <w:r>
              <w:t xml:space="preserve">Das Naphtha würde also nicht mehr 11 Mrd., sondern 44 Mrd. kosten, </w:t>
            </w:r>
            <w:r w:rsidRPr="00794E62">
              <w:rPr>
                <w:u w:val="single"/>
              </w:rPr>
              <w:t xml:space="preserve">der Staat müsste 33 Mrd. Euro jährlich subventionieren. </w:t>
            </w:r>
            <w:r>
              <w:rPr>
                <w:u w:val="single"/>
              </w:rPr>
              <w:t>Auch dies wäre</w:t>
            </w:r>
            <w:r w:rsidRPr="00794E62">
              <w:rPr>
                <w:u w:val="single"/>
              </w:rPr>
              <w:t xml:space="preserve"> ganz klar zu teuer</w:t>
            </w:r>
            <w:r>
              <w:t xml:space="preserve">. Methanol zu Olefinen wird offenbar nicht so teuer wie Fischer-Tropsch. </w:t>
            </w:r>
          </w:p>
        </w:tc>
      </w:tr>
    </w:tbl>
    <w:p w14:paraId="620D366F" w14:textId="77777777" w:rsidR="00197110" w:rsidRDefault="00197110" w:rsidP="002476D9"/>
    <w:p w14:paraId="37D77961" w14:textId="66E68D3F" w:rsidR="00121987" w:rsidRDefault="00121987" w:rsidP="00121987">
      <w:r>
        <w:t xml:space="preserve">Bei der Analyse von Ammoniak wird z.B. von Agora Energiewende 2021 eine Preissteigerung von 255 Euro/Tonne auf 1152 Euro/Tonne berechnet, das ist ungefähr eine 4 fache Verteuerung, hier wird ein mittelhoher Preis von 5500 Euro pro Tonne </w:t>
      </w:r>
      <w:r w:rsidR="00995B7B">
        <w:t xml:space="preserve">Wasserstoff </w:t>
      </w:r>
      <w:r>
        <w:t xml:space="preserve">angenommen und Kosten für neue Anlagen von 1,5 Mrd. und </w:t>
      </w:r>
      <w:r w:rsidR="00995B7B">
        <w:t xml:space="preserve">daraus </w:t>
      </w:r>
      <w:r>
        <w:t xml:space="preserve">betriebliche Mehrkosten von 29 Mrd. berechnet (unklar </w:t>
      </w:r>
      <w:r w:rsidR="00995B7B">
        <w:t>für welchen Zeitraum, 1 Jahr oder 10 Jahre</w:t>
      </w:r>
      <w:r>
        <w:t>) und dies wird als „unrealistisches Szenario“ bezeichnet.</w:t>
      </w:r>
      <w:r>
        <w:rPr>
          <w:rStyle w:val="Funotenzeichen"/>
        </w:rPr>
        <w:footnoteReference w:id="2478"/>
      </w:r>
      <w:r>
        <w:t xml:space="preserve"> Kurz: Selbst in einer </w:t>
      </w:r>
      <w:r w:rsidR="00995B7B">
        <w:t>Studie</w:t>
      </w:r>
      <w:r>
        <w:t>, in der es um die Entwicklung der Klimaschutzverträge g</w:t>
      </w:r>
      <w:r w:rsidR="00995B7B">
        <w:t>ing</w:t>
      </w:r>
      <w:r>
        <w:t>, wird eingestanden, dass im Bereich Ammoniak ein solcher Vertrag ‚unrealistisch‘ ist bzw. nicht finanzierbar wäre.</w:t>
      </w:r>
    </w:p>
    <w:p w14:paraId="0F1F1E3B" w14:textId="77777777" w:rsidR="00121987" w:rsidRDefault="00121987" w:rsidP="002476D9"/>
    <w:p w14:paraId="56FD471B" w14:textId="2191CBA2" w:rsidR="00C44EF7" w:rsidRDefault="00491BB7" w:rsidP="002476D9">
      <w:r>
        <w:t xml:space="preserve">Dazu kommt, </w:t>
      </w:r>
      <w:r w:rsidRPr="00055946">
        <w:rPr>
          <w:b/>
          <w:bCs/>
        </w:rPr>
        <w:t xml:space="preserve">dass </w:t>
      </w:r>
      <w:r w:rsidR="00995B7B">
        <w:rPr>
          <w:b/>
          <w:bCs/>
        </w:rPr>
        <w:t>die Wirtschaft</w:t>
      </w:r>
      <w:r w:rsidRPr="00055946">
        <w:rPr>
          <w:b/>
          <w:bCs/>
        </w:rPr>
        <w:t xml:space="preserve"> </w:t>
      </w:r>
      <w:r w:rsidR="00121987">
        <w:rPr>
          <w:b/>
          <w:bCs/>
        </w:rPr>
        <w:t xml:space="preserve">nach dem Preissprung </w:t>
      </w:r>
      <w:r w:rsidR="00995B7B">
        <w:rPr>
          <w:b/>
          <w:bCs/>
        </w:rPr>
        <w:t xml:space="preserve">wieder </w:t>
      </w:r>
      <w:r w:rsidRPr="00055946">
        <w:rPr>
          <w:b/>
          <w:bCs/>
        </w:rPr>
        <w:t xml:space="preserve">selbsttragend sein </w:t>
      </w:r>
      <w:r w:rsidR="00121987">
        <w:rPr>
          <w:b/>
          <w:bCs/>
        </w:rPr>
        <w:t>wird</w:t>
      </w:r>
      <w:r>
        <w:t xml:space="preserve">, </w:t>
      </w:r>
      <w:r w:rsidRPr="00055946">
        <w:rPr>
          <w:u w:val="single"/>
        </w:rPr>
        <w:t>nach de</w:t>
      </w:r>
      <w:r w:rsidR="00AD33E9">
        <w:rPr>
          <w:u w:val="single"/>
        </w:rPr>
        <w:t>m Preissprung sind alle Preise wieder Marktpreise, es gibt keine Unsicherheit über politische Subventionsprogramme mehr, es wird</w:t>
      </w:r>
      <w:r w:rsidRPr="00055946">
        <w:rPr>
          <w:u w:val="single"/>
        </w:rPr>
        <w:t xml:space="preserve"> </w:t>
      </w:r>
      <w:r w:rsidR="00055946" w:rsidRPr="00055946">
        <w:rPr>
          <w:u w:val="single"/>
        </w:rPr>
        <w:t xml:space="preserve">für Firmen </w:t>
      </w:r>
      <w:r w:rsidR="00AD33E9">
        <w:rPr>
          <w:u w:val="single"/>
        </w:rPr>
        <w:t xml:space="preserve">wieder </w:t>
      </w:r>
      <w:r w:rsidRPr="00055946">
        <w:rPr>
          <w:u w:val="single"/>
        </w:rPr>
        <w:t>ganz normal möglich sein, Kredite aufzunehmen, Investitionen zu tätigen,</w:t>
      </w:r>
      <w:r w:rsidR="00AD33E9">
        <w:rPr>
          <w:u w:val="single"/>
        </w:rPr>
        <w:t xml:space="preserve"> und eine realistische Geschäftsplanung für die Zukunft</w:t>
      </w:r>
      <w:r w:rsidRPr="00055946">
        <w:rPr>
          <w:u w:val="single"/>
        </w:rPr>
        <w:t xml:space="preserve"> zu machen</w:t>
      </w:r>
      <w:r>
        <w:t xml:space="preserve">. </w:t>
      </w:r>
    </w:p>
    <w:p w14:paraId="3546C536" w14:textId="77777777" w:rsidR="00C44EF7" w:rsidRDefault="00C44EF7" w:rsidP="002476D9"/>
    <w:p w14:paraId="2E36AD90" w14:textId="222FDFBB" w:rsidR="00EF471D" w:rsidRDefault="00121987" w:rsidP="002476D9">
      <w:r>
        <w:t xml:space="preserve">Die 50 </w:t>
      </w:r>
      <w:proofErr w:type="spellStart"/>
      <w:r>
        <w:t>Ethylencracker</w:t>
      </w:r>
      <w:proofErr w:type="spellEnd"/>
      <w:r>
        <w:t xml:space="preserve"> der Chemieindustrie können europaweit dann ab 2033 umgebaut werden. </w:t>
      </w:r>
      <w:r w:rsidR="00EF471D">
        <w:t xml:space="preserve">Bei der Chemieindustrie </w:t>
      </w:r>
      <w:r w:rsidR="00B218AD" w:rsidRPr="00995B7B">
        <w:rPr>
          <w:u w:val="single"/>
        </w:rPr>
        <w:t xml:space="preserve">wird </w:t>
      </w:r>
      <w:r w:rsidR="00622B4E" w:rsidRPr="00995B7B">
        <w:rPr>
          <w:u w:val="single"/>
        </w:rPr>
        <w:t xml:space="preserve">allerdings </w:t>
      </w:r>
      <w:r w:rsidR="00191212" w:rsidRPr="00995B7B">
        <w:rPr>
          <w:u w:val="single"/>
        </w:rPr>
        <w:t>nicht nur der Preissprung größer</w:t>
      </w:r>
      <w:r w:rsidR="00191212" w:rsidRPr="00121987">
        <w:rPr>
          <w:b/>
          <w:bCs/>
          <w:u w:val="single"/>
        </w:rPr>
        <w:t xml:space="preserve">, </w:t>
      </w:r>
      <w:r w:rsidR="00EF471D" w:rsidRPr="00121987">
        <w:rPr>
          <w:b/>
          <w:bCs/>
          <w:u w:val="single"/>
        </w:rPr>
        <w:t xml:space="preserve">das Problem </w:t>
      </w:r>
      <w:r w:rsidR="00B218AD" w:rsidRPr="00121987">
        <w:rPr>
          <w:b/>
          <w:bCs/>
          <w:u w:val="single"/>
        </w:rPr>
        <w:t>ist</w:t>
      </w:r>
      <w:r w:rsidR="00EF471D" w:rsidRPr="00121987">
        <w:rPr>
          <w:b/>
          <w:bCs/>
          <w:u w:val="single"/>
        </w:rPr>
        <w:t xml:space="preserve"> der Aufbau von genug Elektrolyseuren und erneuerbaren Energien für den Wasserstoff</w:t>
      </w:r>
      <w:r w:rsidR="00191212" w:rsidRPr="00121987">
        <w:rPr>
          <w:b/>
          <w:bCs/>
          <w:u w:val="single"/>
        </w:rPr>
        <w:t>bedarf der Chemie</w:t>
      </w:r>
      <w:r w:rsidR="00EF471D">
        <w:t xml:space="preserve">. </w:t>
      </w:r>
      <w:r w:rsidR="00EF471D" w:rsidRPr="00622B4E">
        <w:rPr>
          <w:u w:val="single"/>
        </w:rPr>
        <w:t xml:space="preserve">Dies </w:t>
      </w:r>
      <w:r w:rsidR="00EF471D" w:rsidRPr="00622B4E">
        <w:rPr>
          <w:u w:val="single"/>
        </w:rPr>
        <w:lastRenderedPageBreak/>
        <w:t>braucht</w:t>
      </w:r>
      <w:r w:rsidRPr="00622B4E">
        <w:rPr>
          <w:u w:val="single"/>
        </w:rPr>
        <w:t xml:space="preserve"> </w:t>
      </w:r>
      <w:r w:rsidR="00EF471D" w:rsidRPr="00622B4E">
        <w:rPr>
          <w:u w:val="single"/>
        </w:rPr>
        <w:t>Vorlauf</w:t>
      </w:r>
      <w:r w:rsidRPr="00622B4E">
        <w:rPr>
          <w:u w:val="single"/>
        </w:rPr>
        <w:t>, dieser Aufbau kann</w:t>
      </w:r>
      <w:r w:rsidR="00EF471D" w:rsidRPr="00622B4E">
        <w:rPr>
          <w:u w:val="single"/>
        </w:rPr>
        <w:t xml:space="preserve"> </w:t>
      </w:r>
      <w:r w:rsidRPr="00622B4E">
        <w:rPr>
          <w:u w:val="single"/>
        </w:rPr>
        <w:t>von 2027 bis 2033 stattfinden.</w:t>
      </w:r>
      <w:r>
        <w:t xml:space="preserve"> </w:t>
      </w:r>
      <w:r w:rsidR="00EF471D">
        <w:t xml:space="preserve">Ab 2033 kann man beginnen die Chemieanlagen umzubauen, </w:t>
      </w:r>
      <w:r w:rsidR="00B218AD">
        <w:t>die Chemieindustrie ist dann 203</w:t>
      </w:r>
      <w:r w:rsidR="00622B4E">
        <w:t>6</w:t>
      </w:r>
      <w:r w:rsidR="00B218AD">
        <w:t xml:space="preserve"> fertig, </w:t>
      </w:r>
      <w:r w:rsidR="00EF471D">
        <w:t>der Preissprung erfolgt dann 203</w:t>
      </w:r>
      <w:r w:rsidR="00622B4E">
        <w:t>7</w:t>
      </w:r>
      <w:r w:rsidR="00EF471D">
        <w:t xml:space="preserve">. </w:t>
      </w:r>
      <w:r w:rsidR="00B218AD">
        <w:t xml:space="preserve">Der Umbau der Chemieindustrie ist, siehe oben, auch keine Hexerei und ist ggf. sogar günstiger als gedacht. </w:t>
      </w:r>
    </w:p>
    <w:p w14:paraId="4C0B3ACA" w14:textId="77777777" w:rsidR="00EF471D" w:rsidRDefault="00EF471D" w:rsidP="002476D9"/>
    <w:tbl>
      <w:tblPr>
        <w:tblStyle w:val="Tabellenraster"/>
        <w:tblW w:w="0" w:type="auto"/>
        <w:tblLook w:val="04A0" w:firstRow="1" w:lastRow="0" w:firstColumn="1" w:lastColumn="0" w:noHBand="0" w:noVBand="1"/>
      </w:tblPr>
      <w:tblGrid>
        <w:gridCol w:w="2265"/>
        <w:gridCol w:w="2265"/>
        <w:gridCol w:w="2266"/>
        <w:gridCol w:w="2266"/>
      </w:tblGrid>
      <w:tr w:rsidR="00622B4E" w14:paraId="7F7DBE5D" w14:textId="77777777">
        <w:tc>
          <w:tcPr>
            <w:tcW w:w="2265" w:type="dxa"/>
          </w:tcPr>
          <w:p w14:paraId="551F398F" w14:textId="337B4E5E" w:rsidR="00622B4E" w:rsidRDefault="00622B4E" w:rsidP="002476D9">
            <w:r>
              <w:t>Stahl</w:t>
            </w:r>
          </w:p>
        </w:tc>
        <w:tc>
          <w:tcPr>
            <w:tcW w:w="2265" w:type="dxa"/>
          </w:tcPr>
          <w:p w14:paraId="29F0063B" w14:textId="01168F88" w:rsidR="00622B4E" w:rsidRDefault="00622B4E" w:rsidP="002476D9"/>
        </w:tc>
        <w:tc>
          <w:tcPr>
            <w:tcW w:w="2266" w:type="dxa"/>
          </w:tcPr>
          <w:p w14:paraId="782BDE38" w14:textId="15A4F1B0" w:rsidR="00622B4E" w:rsidRDefault="00622B4E" w:rsidP="002476D9"/>
        </w:tc>
        <w:tc>
          <w:tcPr>
            <w:tcW w:w="2266" w:type="dxa"/>
          </w:tcPr>
          <w:p w14:paraId="45F913E9" w14:textId="77777777" w:rsidR="00622B4E" w:rsidRDefault="00622B4E" w:rsidP="002476D9"/>
        </w:tc>
      </w:tr>
      <w:tr w:rsidR="00622B4E" w14:paraId="042D43A2" w14:textId="77777777">
        <w:tc>
          <w:tcPr>
            <w:tcW w:w="2265" w:type="dxa"/>
          </w:tcPr>
          <w:p w14:paraId="15FCE522" w14:textId="6B1ED943" w:rsidR="00622B4E" w:rsidRDefault="00622B4E" w:rsidP="002476D9">
            <w:r>
              <w:t>Planungsbeginn</w:t>
            </w:r>
          </w:p>
        </w:tc>
        <w:tc>
          <w:tcPr>
            <w:tcW w:w="2265" w:type="dxa"/>
          </w:tcPr>
          <w:p w14:paraId="21EEF9D5" w14:textId="42F68EE6" w:rsidR="00622B4E" w:rsidRDefault="00622B4E" w:rsidP="002476D9">
            <w:r>
              <w:t>Umbaubeginn</w:t>
            </w:r>
          </w:p>
        </w:tc>
        <w:tc>
          <w:tcPr>
            <w:tcW w:w="2266" w:type="dxa"/>
          </w:tcPr>
          <w:p w14:paraId="67F327DC" w14:textId="026D2224" w:rsidR="00622B4E" w:rsidRDefault="00622B4E" w:rsidP="002476D9">
            <w:r>
              <w:t>Fertig</w:t>
            </w:r>
          </w:p>
        </w:tc>
        <w:tc>
          <w:tcPr>
            <w:tcW w:w="2266" w:type="dxa"/>
          </w:tcPr>
          <w:p w14:paraId="764D07B3" w14:textId="3611497E" w:rsidR="00622B4E" w:rsidRDefault="00622B4E" w:rsidP="002476D9">
            <w:r>
              <w:t>Preissprung</w:t>
            </w:r>
          </w:p>
        </w:tc>
      </w:tr>
      <w:tr w:rsidR="00622B4E" w14:paraId="152A9CBD" w14:textId="77777777">
        <w:tc>
          <w:tcPr>
            <w:tcW w:w="2265" w:type="dxa"/>
          </w:tcPr>
          <w:p w14:paraId="16D5FCEE" w14:textId="3C2F98AD" w:rsidR="00622B4E" w:rsidRDefault="00622B4E" w:rsidP="002476D9">
            <w:r>
              <w:t>2027</w:t>
            </w:r>
          </w:p>
        </w:tc>
        <w:tc>
          <w:tcPr>
            <w:tcW w:w="2265" w:type="dxa"/>
          </w:tcPr>
          <w:p w14:paraId="2A54FB79" w14:textId="6EB71710" w:rsidR="00622B4E" w:rsidRDefault="00622B4E" w:rsidP="002476D9">
            <w:r>
              <w:t>2030</w:t>
            </w:r>
          </w:p>
        </w:tc>
        <w:tc>
          <w:tcPr>
            <w:tcW w:w="2266" w:type="dxa"/>
          </w:tcPr>
          <w:p w14:paraId="19400F9A" w14:textId="503D91D3" w:rsidR="00622B4E" w:rsidRDefault="00622B4E" w:rsidP="002476D9">
            <w:r>
              <w:t>2033</w:t>
            </w:r>
          </w:p>
        </w:tc>
        <w:tc>
          <w:tcPr>
            <w:tcW w:w="2266" w:type="dxa"/>
          </w:tcPr>
          <w:p w14:paraId="49A334BA" w14:textId="3E4A4BB0" w:rsidR="00622B4E" w:rsidRDefault="00622B4E" w:rsidP="002476D9">
            <w:r>
              <w:t>2033-2034</w:t>
            </w:r>
          </w:p>
        </w:tc>
      </w:tr>
      <w:tr w:rsidR="00622B4E" w14:paraId="3478999A" w14:textId="77777777">
        <w:tc>
          <w:tcPr>
            <w:tcW w:w="2265" w:type="dxa"/>
          </w:tcPr>
          <w:p w14:paraId="042FE1E6" w14:textId="77777777" w:rsidR="00622B4E" w:rsidRDefault="00622B4E" w:rsidP="002476D9"/>
        </w:tc>
        <w:tc>
          <w:tcPr>
            <w:tcW w:w="2265" w:type="dxa"/>
          </w:tcPr>
          <w:p w14:paraId="3BF9DE5E" w14:textId="181CDF66" w:rsidR="00622B4E" w:rsidRDefault="00622B4E" w:rsidP="002476D9">
            <w:r>
              <w:t>Abnahmegarantien für fertige Anlagen</w:t>
            </w:r>
          </w:p>
        </w:tc>
        <w:tc>
          <w:tcPr>
            <w:tcW w:w="2266" w:type="dxa"/>
          </w:tcPr>
          <w:p w14:paraId="7BD47D42" w14:textId="77777777" w:rsidR="00622B4E" w:rsidRDefault="00622B4E" w:rsidP="002476D9"/>
        </w:tc>
        <w:tc>
          <w:tcPr>
            <w:tcW w:w="2266" w:type="dxa"/>
          </w:tcPr>
          <w:p w14:paraId="21D64743" w14:textId="77777777" w:rsidR="00622B4E" w:rsidRDefault="00622B4E" w:rsidP="002476D9"/>
        </w:tc>
      </w:tr>
      <w:tr w:rsidR="00622B4E" w14:paraId="5F37F85E" w14:textId="77777777">
        <w:tc>
          <w:tcPr>
            <w:tcW w:w="2265" w:type="dxa"/>
          </w:tcPr>
          <w:p w14:paraId="08854796" w14:textId="13577A13" w:rsidR="00622B4E" w:rsidRDefault="00622B4E" w:rsidP="002476D9">
            <w:r>
              <w:t>Chemie</w:t>
            </w:r>
          </w:p>
        </w:tc>
        <w:tc>
          <w:tcPr>
            <w:tcW w:w="2265" w:type="dxa"/>
          </w:tcPr>
          <w:p w14:paraId="7C180AB9" w14:textId="77777777" w:rsidR="00622B4E" w:rsidRDefault="00622B4E" w:rsidP="002476D9"/>
        </w:tc>
        <w:tc>
          <w:tcPr>
            <w:tcW w:w="2266" w:type="dxa"/>
          </w:tcPr>
          <w:p w14:paraId="4160551E" w14:textId="77777777" w:rsidR="00622B4E" w:rsidRDefault="00622B4E" w:rsidP="002476D9"/>
        </w:tc>
        <w:tc>
          <w:tcPr>
            <w:tcW w:w="2266" w:type="dxa"/>
          </w:tcPr>
          <w:p w14:paraId="27AE27C2" w14:textId="77777777" w:rsidR="00622B4E" w:rsidRDefault="00622B4E" w:rsidP="002476D9"/>
        </w:tc>
      </w:tr>
      <w:tr w:rsidR="00622B4E" w14:paraId="6714545A" w14:textId="77777777">
        <w:tc>
          <w:tcPr>
            <w:tcW w:w="2265" w:type="dxa"/>
          </w:tcPr>
          <w:p w14:paraId="29467621" w14:textId="4CB6C7C1" w:rsidR="00622B4E" w:rsidRDefault="00622B4E" w:rsidP="002476D9">
            <w:r>
              <w:t>2027</w:t>
            </w:r>
          </w:p>
        </w:tc>
        <w:tc>
          <w:tcPr>
            <w:tcW w:w="2265" w:type="dxa"/>
          </w:tcPr>
          <w:p w14:paraId="0F2E8F15" w14:textId="6A7F75AF" w:rsidR="00622B4E" w:rsidRDefault="00622B4E" w:rsidP="002476D9">
            <w:r>
              <w:t>2033</w:t>
            </w:r>
          </w:p>
        </w:tc>
        <w:tc>
          <w:tcPr>
            <w:tcW w:w="2266" w:type="dxa"/>
          </w:tcPr>
          <w:p w14:paraId="0833C9DC" w14:textId="68EC018D" w:rsidR="00622B4E" w:rsidRDefault="00622B4E" w:rsidP="002476D9">
            <w:r>
              <w:t>2036</w:t>
            </w:r>
          </w:p>
        </w:tc>
        <w:tc>
          <w:tcPr>
            <w:tcW w:w="2266" w:type="dxa"/>
          </w:tcPr>
          <w:p w14:paraId="45D3BD5C" w14:textId="1B26B85B" w:rsidR="00622B4E" w:rsidRDefault="00622B4E" w:rsidP="002476D9">
            <w:r>
              <w:t>2026-2027</w:t>
            </w:r>
          </w:p>
        </w:tc>
      </w:tr>
      <w:tr w:rsidR="00622B4E" w14:paraId="0CFCA157" w14:textId="77777777">
        <w:tc>
          <w:tcPr>
            <w:tcW w:w="2265" w:type="dxa"/>
          </w:tcPr>
          <w:p w14:paraId="658966D6" w14:textId="77777777" w:rsidR="00622B4E" w:rsidRDefault="00622B4E" w:rsidP="002476D9">
            <w:r>
              <w:t>Aufbau erneuerbarer</w:t>
            </w:r>
          </w:p>
          <w:p w14:paraId="543652BE" w14:textId="03422E5D" w:rsidR="00622B4E" w:rsidRDefault="00622B4E" w:rsidP="002476D9">
            <w:r>
              <w:t>Energien</w:t>
            </w:r>
            <w:r w:rsidR="00197110">
              <w:t>, Elektrolyseuren und Wasserstoffspeicher</w:t>
            </w:r>
          </w:p>
        </w:tc>
        <w:tc>
          <w:tcPr>
            <w:tcW w:w="2265" w:type="dxa"/>
          </w:tcPr>
          <w:p w14:paraId="43112DA6" w14:textId="05661CDA" w:rsidR="00622B4E" w:rsidRDefault="00622B4E" w:rsidP="002476D9">
            <w:r>
              <w:t>Abnahmegarantien für fertige Anlagen</w:t>
            </w:r>
          </w:p>
        </w:tc>
        <w:tc>
          <w:tcPr>
            <w:tcW w:w="2266" w:type="dxa"/>
          </w:tcPr>
          <w:p w14:paraId="0510FEFE" w14:textId="77777777" w:rsidR="00622B4E" w:rsidRDefault="00622B4E" w:rsidP="002476D9"/>
        </w:tc>
        <w:tc>
          <w:tcPr>
            <w:tcW w:w="2266" w:type="dxa"/>
          </w:tcPr>
          <w:p w14:paraId="781306E6" w14:textId="77777777" w:rsidR="00622B4E" w:rsidRDefault="00622B4E" w:rsidP="002476D9"/>
        </w:tc>
      </w:tr>
      <w:tr w:rsidR="00197110" w14:paraId="2C7D4F39" w14:textId="77777777">
        <w:tc>
          <w:tcPr>
            <w:tcW w:w="2265" w:type="dxa"/>
          </w:tcPr>
          <w:p w14:paraId="14D3B3AE" w14:textId="11E02EC0" w:rsidR="00197110" w:rsidRDefault="00197110" w:rsidP="002476D9">
            <w:r>
              <w:t>Zwei große Fischer-Tropsch und Methanol zu Olefinen Anlagen werden gebaut plus eine grüne Ammoniakproduktion, dies führt zu Klarheit über Produktionskosten</w:t>
            </w:r>
          </w:p>
        </w:tc>
        <w:tc>
          <w:tcPr>
            <w:tcW w:w="2265" w:type="dxa"/>
          </w:tcPr>
          <w:p w14:paraId="18A0DA81" w14:textId="77777777" w:rsidR="00197110" w:rsidRDefault="00197110" w:rsidP="002476D9"/>
        </w:tc>
        <w:tc>
          <w:tcPr>
            <w:tcW w:w="2266" w:type="dxa"/>
          </w:tcPr>
          <w:p w14:paraId="6DEB4B7F" w14:textId="77777777" w:rsidR="00197110" w:rsidRDefault="00197110" w:rsidP="002476D9"/>
        </w:tc>
        <w:tc>
          <w:tcPr>
            <w:tcW w:w="2266" w:type="dxa"/>
          </w:tcPr>
          <w:p w14:paraId="76BC2FA9" w14:textId="77777777" w:rsidR="00197110" w:rsidRDefault="00197110" w:rsidP="002476D9"/>
        </w:tc>
      </w:tr>
    </w:tbl>
    <w:p w14:paraId="44BC6BA9" w14:textId="77777777" w:rsidR="00622B4E" w:rsidRDefault="00622B4E" w:rsidP="002476D9"/>
    <w:p w14:paraId="3183C4BB" w14:textId="3AFD434A" w:rsidR="00811A3B" w:rsidRDefault="00995B7B" w:rsidP="002476D9">
      <w:r>
        <w:t>Gut</w:t>
      </w:r>
      <w:r w:rsidR="00121987">
        <w:t xml:space="preserve"> ist </w:t>
      </w:r>
      <w:r>
        <w:t xml:space="preserve">weiterhin </w:t>
      </w:r>
      <w:r w:rsidR="00121987">
        <w:t xml:space="preserve">Idee, in der </w:t>
      </w:r>
      <w:r w:rsidR="00406619">
        <w:t>(vielleicht dreijährigen) Übergangsphase</w:t>
      </w:r>
      <w:r w:rsidR="00121987">
        <w:t xml:space="preserve">, in der erst einige Anlagen umgebaut sind, nicht Subventionen oder Klimaschutzverträge zu nutzen, die Kosten für den Staat verursachen, sondern durch Quoten </w:t>
      </w:r>
      <w:r>
        <w:t xml:space="preserve">oder Abnahmegarantien </w:t>
      </w:r>
      <w:r w:rsidR="00121987">
        <w:t>für grünen Stahl die Autoindustrie und anderen Industrien zu zwingen, den Stahl der ersten umgebauten Anlagen für grünen Stahl zu benutzen</w:t>
      </w:r>
      <w:r>
        <w:t xml:space="preserve"> (</w:t>
      </w:r>
      <w:r w:rsidR="00121987">
        <w:t>die</w:t>
      </w:r>
      <w:r>
        <w:t>s</w:t>
      </w:r>
      <w:r w:rsidR="00121987">
        <w:t xml:space="preserve"> sollte zumindest in Niedersachsen funktionieren, Salzgitterstahl wird umgebaut, und hat als Anteilseigner das Land Niedersachsen, so wie VW auch, VW sollte somit vom Land Niedersachsen irgendwie dazu gebracht werden können, den grünen Stahl von Salzgitterstahl abzunehmen</w:t>
      </w:r>
      <w:r>
        <w:t>)</w:t>
      </w:r>
      <w:r w:rsidR="00121987">
        <w:t>.</w:t>
      </w:r>
      <w:r>
        <w:t xml:space="preserve"> Auch für die Chemieindustrie</w:t>
      </w:r>
      <w:r w:rsidR="00622B4E">
        <w:t xml:space="preserve"> können Abnahmegarantien bzw. Quoten gut eingesetzt werden. </w:t>
      </w:r>
      <w:r w:rsidR="00811A3B">
        <w:t xml:space="preserve"> </w:t>
      </w:r>
    </w:p>
    <w:p w14:paraId="6C7D5929" w14:textId="77777777" w:rsidR="00811A3B" w:rsidRDefault="00811A3B" w:rsidP="002476D9"/>
    <w:p w14:paraId="3D76FE69" w14:textId="5CE8D03C" w:rsidR="008E326A" w:rsidRDefault="008E326A" w:rsidP="008E326A">
      <w:r>
        <w:t>Ein weiteres Problem entsteht durch die Exporte</w:t>
      </w:r>
      <w:bookmarkStart w:id="127" w:name="_Hlk202804963"/>
      <w:r>
        <w:t xml:space="preserve">, wie oben schon erwähnt, könnte der Staat, </w:t>
      </w:r>
      <w:proofErr w:type="gramStart"/>
      <w:r>
        <w:t>der  durch</w:t>
      </w:r>
      <w:proofErr w:type="gramEnd"/>
      <w:r>
        <w:t xml:space="preserve"> den Preissprung viel Geld spart, ggf. </w:t>
      </w:r>
      <w:r w:rsidRPr="00F65A6A">
        <w:rPr>
          <w:u w:val="single"/>
        </w:rPr>
        <w:t>Exportsubventionen</w:t>
      </w:r>
      <w:r>
        <w:t xml:space="preserve"> finanzieren. 2024 lagen die Exporte der EU Stahlindustrie bei 77,8 Mrd. Euro, die Importe von 73,1 Mrd. Euro, wobei das Gute ist, dass vielleicht einige der Exportländer ggf. in 5 Jahren bei der Bekämpfung des Klimawandels mitmachen: Türkei 6,2 Mrd. Euro; USA 5,4 Mrd. Euro; England 4,1 Mrd. Euro; Schweiz 2,2 Mrd. Euro.</w:t>
      </w:r>
      <w:r>
        <w:rPr>
          <w:rStyle w:val="Funotenzeichen"/>
        </w:rPr>
        <w:footnoteReference w:id="2479"/>
      </w:r>
      <w:r>
        <w:t xml:space="preserve"> Im Bereich Chemische Erzeugnisse, ohne Pharmazeutische Erzeugnisse, hat die EU 2023 einen Exportüberschuss von 35 Mrd. Euro vorzuweisen.</w:t>
      </w:r>
      <w:r>
        <w:rPr>
          <w:rStyle w:val="Funotenzeichen"/>
        </w:rPr>
        <w:footnoteReference w:id="2480"/>
      </w:r>
      <w:r>
        <w:t xml:space="preserve"> Die Logik ist klar: eigentlich wäre es am besten, wenn die ganze Welt den Preissprung macht bzw. wenn man vorher über die Idee des Climate Club </w:t>
      </w:r>
      <w:r>
        <w:lastRenderedPageBreak/>
        <w:t xml:space="preserve">vielleicht wenigstens einige Staaten dazu bewegt, einen Preissprung mitzumachen. Wenn dies nicht gelingt sind, dann sind Exportsubventionen der einzige Ausweg, und eben die Anstrengung über Spezialstahlprodukte oder Spezialchemie trotz höherer Kosten weiter am Markt Nachfrage zu finden. Parallel dazu muss eben versucht werden, erneuerbare Energien günstiger zu machen. </w:t>
      </w:r>
    </w:p>
    <w:bookmarkEnd w:id="127"/>
    <w:p w14:paraId="7B653CE6" w14:textId="77777777" w:rsidR="008E326A" w:rsidRDefault="008E326A" w:rsidP="002476D9"/>
    <w:p w14:paraId="400D383F" w14:textId="12655813" w:rsidR="00891AD8" w:rsidRPr="002D64AF" w:rsidRDefault="00995B7B" w:rsidP="00811A3B">
      <w:r>
        <w:t>D</w:t>
      </w:r>
      <w:r w:rsidR="00D54C45">
        <w:t>ie</w:t>
      </w:r>
      <w:r w:rsidR="00811A3B">
        <w:t xml:space="preserve"> </w:t>
      </w:r>
      <w:r>
        <w:t xml:space="preserve">EU </w:t>
      </w:r>
      <w:r w:rsidR="00811A3B">
        <w:t xml:space="preserve">RED III Richtlinie kann z.B. kaum ohne einen Plan umgesetzt werden. Bis 2030 soll in der Industrie 42 % grüner Wasserstoff verbraucht werden, dies kann aber unter bestimmten Bedingungen für 2030 um 20 % reduziert werden, also auf für 2030 auf 22 % und im Jahr 2035 von 60 % auf 40 % (wenn generell weniger Wasserstoff aus Erdgas hergestellt wird, sprich: wenn die Dampfreformierung mit Erdgas nicht für mehr als 23 % für 2023 und nicht mehr als 20 % für 2035 des Wasserstoffbedarfs in Deutschland aufkommt, </w:t>
      </w:r>
      <w:r w:rsidR="00622B4E">
        <w:t>dann gilt ‚nur‘ noch 22 % 2030 und 40 % 2025</w:t>
      </w:r>
      <w:r w:rsidR="00811A3B">
        <w:t>), siehe Art. 22b Abs. 1 (b).</w:t>
      </w:r>
      <w:r w:rsidR="00811A3B">
        <w:rPr>
          <w:rStyle w:val="Funotenzeichen"/>
        </w:rPr>
        <w:footnoteReference w:id="2481"/>
      </w:r>
      <w:r w:rsidR="00811A3B">
        <w:t xml:space="preserve"> </w:t>
      </w:r>
      <w:r w:rsidRPr="00995B7B">
        <w:t>(das kann man schaffen</w:t>
      </w:r>
      <w:r>
        <w:t xml:space="preserve">, aber fragt sich, ob das wirklich sinnvoll ist, weniger hohe Prozentsätze vor Augen zu haben) </w:t>
      </w:r>
      <w:r w:rsidR="00891AD8" w:rsidRPr="00995B7B">
        <w:t>In</w:t>
      </w:r>
      <w:r w:rsidR="00622B4E" w:rsidRPr="00995B7B">
        <w:t xml:space="preserve">teressanterweise wird in </w:t>
      </w:r>
      <w:r w:rsidR="00891AD8" w:rsidRPr="00995B7B">
        <w:t>den Leitlinien</w:t>
      </w:r>
      <w:r w:rsidR="002C58EF" w:rsidRPr="00995B7B">
        <w:t xml:space="preserve"> ‘</w:t>
      </w:r>
      <w:proofErr w:type="spellStart"/>
      <w:r w:rsidR="002C58EF" w:rsidRPr="00995B7B">
        <w:t>Guidance</w:t>
      </w:r>
      <w:proofErr w:type="spellEnd"/>
      <w:r w:rsidR="002C58EF" w:rsidRPr="00995B7B">
        <w:t xml:space="preserve"> on </w:t>
      </w:r>
      <w:proofErr w:type="spellStart"/>
      <w:r w:rsidR="002C58EF" w:rsidRPr="00995B7B">
        <w:t>the</w:t>
      </w:r>
      <w:proofErr w:type="spellEnd"/>
      <w:r w:rsidR="002C58EF" w:rsidRPr="00995B7B">
        <w:t xml:space="preserve"> </w:t>
      </w:r>
      <w:proofErr w:type="spellStart"/>
      <w:r w:rsidR="002C58EF" w:rsidRPr="00995B7B">
        <w:t>targets</w:t>
      </w:r>
      <w:proofErr w:type="spellEnd"/>
      <w:r w:rsidR="002C58EF" w:rsidRPr="00995B7B">
        <w:t xml:space="preserve"> </w:t>
      </w:r>
      <w:proofErr w:type="spellStart"/>
      <w:r w:rsidR="002C58EF" w:rsidRPr="00995B7B">
        <w:t>for</w:t>
      </w:r>
      <w:proofErr w:type="spellEnd"/>
      <w:r w:rsidR="002C58EF" w:rsidRPr="00995B7B">
        <w:t xml:space="preserve"> </w:t>
      </w:r>
      <w:proofErr w:type="spellStart"/>
      <w:r w:rsidR="002C58EF" w:rsidRPr="00995B7B">
        <w:t>the</w:t>
      </w:r>
      <w:proofErr w:type="spellEnd"/>
      <w:r w:rsidR="002C58EF" w:rsidRPr="00995B7B">
        <w:t xml:space="preserve"> </w:t>
      </w:r>
      <w:proofErr w:type="spellStart"/>
      <w:r w:rsidR="002C58EF" w:rsidRPr="00995B7B">
        <w:t>consumption</w:t>
      </w:r>
      <w:proofErr w:type="spellEnd"/>
      <w:r w:rsidR="002C58EF" w:rsidRPr="00995B7B">
        <w:t xml:space="preserve"> </w:t>
      </w:r>
      <w:proofErr w:type="spellStart"/>
      <w:r w:rsidR="002C58EF" w:rsidRPr="00995B7B">
        <w:t>of</w:t>
      </w:r>
      <w:proofErr w:type="spellEnd"/>
      <w:r w:rsidR="002C58EF" w:rsidRPr="00995B7B">
        <w:t xml:space="preserve"> </w:t>
      </w:r>
      <w:proofErr w:type="spellStart"/>
      <w:r w:rsidR="002C58EF" w:rsidRPr="00995B7B">
        <w:t>renewable</w:t>
      </w:r>
      <w:proofErr w:type="spellEnd"/>
      <w:r w:rsidR="002C58EF" w:rsidRPr="00995B7B">
        <w:t xml:space="preserve"> </w:t>
      </w:r>
      <w:proofErr w:type="spellStart"/>
      <w:r w:rsidR="002C58EF" w:rsidRPr="00995B7B">
        <w:t>fuels</w:t>
      </w:r>
      <w:proofErr w:type="spellEnd"/>
      <w:r w:rsidR="002C58EF" w:rsidRPr="00995B7B">
        <w:t xml:space="preserve"> </w:t>
      </w:r>
      <w:proofErr w:type="spellStart"/>
      <w:r w:rsidR="002C58EF" w:rsidRPr="00995B7B">
        <w:t>of</w:t>
      </w:r>
      <w:proofErr w:type="spellEnd"/>
      <w:r w:rsidR="002C58EF" w:rsidRPr="00995B7B">
        <w:t xml:space="preserve"> non-</w:t>
      </w:r>
      <w:proofErr w:type="spellStart"/>
      <w:r w:rsidR="002C58EF" w:rsidRPr="00995B7B">
        <w:t>biological</w:t>
      </w:r>
      <w:proofErr w:type="spellEnd"/>
      <w:r w:rsidR="002C58EF" w:rsidRPr="00995B7B">
        <w:t xml:space="preserve"> </w:t>
      </w:r>
      <w:proofErr w:type="spellStart"/>
      <w:r w:rsidR="002C58EF" w:rsidRPr="00995B7B">
        <w:t>origin</w:t>
      </w:r>
      <w:proofErr w:type="spellEnd"/>
      <w:r w:rsidR="002C58EF" w:rsidRPr="00995B7B">
        <w:t xml:space="preserve"> … </w:t>
      </w:r>
      <w:r w:rsidR="002C58EF" w:rsidRPr="002D64AF">
        <w:t>2025’</w:t>
      </w:r>
      <w:r w:rsidR="002C58EF">
        <w:rPr>
          <w:rStyle w:val="Funotenzeichen"/>
        </w:rPr>
        <w:footnoteReference w:id="2482"/>
      </w:r>
      <w:r w:rsidR="002D64AF" w:rsidRPr="002D64AF">
        <w:t xml:space="preserve">, vor Quoten </w:t>
      </w:r>
      <w:r w:rsidR="00622B4E">
        <w:t xml:space="preserve">sogar </w:t>
      </w:r>
      <w:r w:rsidR="002D64AF" w:rsidRPr="002D64AF">
        <w:t>gewarnt</w:t>
      </w:r>
      <w:r w:rsidR="00622B4E">
        <w:t xml:space="preserve"> und suggeriert, dass dies dem Europarecht widersprech</w:t>
      </w:r>
      <w:r w:rsidR="00707AA2">
        <w:t>t</w:t>
      </w:r>
      <w:r w:rsidR="002D64AF" w:rsidRPr="002D64AF">
        <w:t>, weil dies</w:t>
      </w:r>
      <w:r w:rsidR="00622B4E">
        <w:t>e</w:t>
      </w:r>
      <w:r w:rsidR="002D64AF" w:rsidRPr="002D64AF">
        <w:t xml:space="preserve"> zu ‘</w:t>
      </w:r>
      <w:proofErr w:type="spellStart"/>
      <w:r w:rsidR="002D64AF" w:rsidRPr="002D64AF">
        <w:t>c</w:t>
      </w:r>
      <w:r w:rsidR="002D64AF">
        <w:t>arbon</w:t>
      </w:r>
      <w:proofErr w:type="spellEnd"/>
      <w:r w:rsidR="002D64AF">
        <w:t xml:space="preserve"> </w:t>
      </w:r>
      <w:proofErr w:type="spellStart"/>
      <w:r w:rsidR="002D64AF">
        <w:t>leakage</w:t>
      </w:r>
      <w:proofErr w:type="spellEnd"/>
      <w:r w:rsidR="002D64AF">
        <w:t>‘</w:t>
      </w:r>
      <w:r w:rsidR="00622B4E">
        <w:t xml:space="preserve"> führen könnten</w:t>
      </w:r>
      <w:r w:rsidR="002D64AF">
        <w:t xml:space="preserve">, also </w:t>
      </w:r>
      <w:r w:rsidR="00622B4E">
        <w:t xml:space="preserve">der </w:t>
      </w:r>
      <w:r w:rsidR="002D64AF">
        <w:t>Auslagerung von Produktion</w:t>
      </w:r>
      <w:r w:rsidR="00622B4E">
        <w:t xml:space="preserve"> </w:t>
      </w:r>
      <w:r w:rsidR="002D64AF">
        <w:t>und dazu, dass vermehrt Wasserstoff aus fossilen Quellen eingeführt werden würde, weil dadurch die Kosten erhöht werden.</w:t>
      </w:r>
      <w:r w:rsidR="002D64AF">
        <w:rPr>
          <w:rStyle w:val="Funotenzeichen"/>
        </w:rPr>
        <w:footnoteReference w:id="2483"/>
      </w:r>
      <w:r w:rsidR="00622B4E">
        <w:t xml:space="preserve"> </w:t>
      </w:r>
      <w:r w:rsidR="00622B4E" w:rsidRPr="00995B7B">
        <w:rPr>
          <w:u w:val="single"/>
        </w:rPr>
        <w:t>Dieses Problem entsteht aber eben nicht, wenn man einen</w:t>
      </w:r>
      <w:r w:rsidR="00B702F5">
        <w:rPr>
          <w:u w:val="single"/>
        </w:rPr>
        <w:t xml:space="preserve"> Plan hat und</w:t>
      </w:r>
      <w:r w:rsidR="00622B4E" w:rsidRPr="00995B7B">
        <w:rPr>
          <w:u w:val="single"/>
        </w:rPr>
        <w:t xml:space="preserve"> </w:t>
      </w:r>
      <w:r w:rsidRPr="00995B7B">
        <w:rPr>
          <w:u w:val="single"/>
        </w:rPr>
        <w:t>koordinierten</w:t>
      </w:r>
      <w:r w:rsidR="00622B4E" w:rsidRPr="00995B7B">
        <w:rPr>
          <w:u w:val="single"/>
        </w:rPr>
        <w:t xml:space="preserve"> Umbau </w:t>
      </w:r>
      <w:r w:rsidRPr="00995B7B">
        <w:rPr>
          <w:u w:val="single"/>
        </w:rPr>
        <w:t xml:space="preserve">in einem bestimmten Zeitfenster </w:t>
      </w:r>
      <w:r w:rsidR="00B702F5">
        <w:rPr>
          <w:u w:val="single"/>
        </w:rPr>
        <w:t>anstrebt</w:t>
      </w:r>
      <w:r w:rsidR="00622B4E">
        <w:t xml:space="preserve">.  </w:t>
      </w:r>
    </w:p>
    <w:p w14:paraId="140DE13B" w14:textId="77777777" w:rsidR="00891AD8" w:rsidRPr="002D64AF" w:rsidRDefault="00891AD8" w:rsidP="00811A3B"/>
    <w:p w14:paraId="3D934AA7" w14:textId="38382E75" w:rsidR="00811A3B" w:rsidRDefault="00811A3B" w:rsidP="00811A3B">
      <w:r>
        <w:t xml:space="preserve">Eine Verpflichtung der Industrie grünen Wasserstoff </w:t>
      </w:r>
      <w:r w:rsidR="00B702F5">
        <w:t xml:space="preserve">zu nutzen </w:t>
      </w:r>
      <w:r w:rsidR="00995B7B">
        <w:t xml:space="preserve">bleibt </w:t>
      </w:r>
      <w:r w:rsidR="00B702F5">
        <w:t xml:space="preserve">somit in </w:t>
      </w:r>
      <w:r w:rsidR="00995B7B">
        <w:t>RED III</w:t>
      </w:r>
      <w:r w:rsidR="00622B4E">
        <w:t xml:space="preserve"> </w:t>
      </w:r>
      <w:r>
        <w:t xml:space="preserve">bestehen und die damit verbundenen Probleme, </w:t>
      </w:r>
      <w:r w:rsidR="00995B7B">
        <w:t>und es wird</w:t>
      </w:r>
      <w:r w:rsidR="00B702F5">
        <w:t xml:space="preserve"> derzeit</w:t>
      </w:r>
      <w:r w:rsidR="00995B7B">
        <w:t xml:space="preserve"> befürchtet, dass man diese Verpflichtungen nicht erfüllen kann</w:t>
      </w:r>
      <w:r>
        <w:t>, we</w:t>
      </w:r>
      <w:r w:rsidR="00995B7B">
        <w:t>il bis dahin</w:t>
      </w:r>
      <w:r>
        <w:t xml:space="preserve"> die Wasserstoffpipelines </w:t>
      </w:r>
      <w:r w:rsidR="00995B7B">
        <w:t>nicht</w:t>
      </w:r>
      <w:r>
        <w:t xml:space="preserve"> fertig sein sollten.</w:t>
      </w:r>
      <w:r>
        <w:rPr>
          <w:rStyle w:val="Funotenzeichen"/>
        </w:rPr>
        <w:footnoteReference w:id="2484"/>
      </w:r>
      <w:r>
        <w:t xml:space="preserve"> </w:t>
      </w:r>
      <w:r w:rsidR="00D54C45">
        <w:t>(</w:t>
      </w:r>
      <w:r w:rsidR="00622B4E">
        <w:t xml:space="preserve">aber diese Kritik übertreibt, </w:t>
      </w:r>
      <w:r w:rsidR="00D54C45">
        <w:t xml:space="preserve">es reichen Teilabschnitte der Pipeline aus und Elektrolyseure, die nur Teilabschnitte bedienen) </w:t>
      </w:r>
    </w:p>
    <w:p w14:paraId="07D2D072" w14:textId="77777777" w:rsidR="00811A3B" w:rsidRDefault="00811A3B" w:rsidP="002476D9"/>
    <w:p w14:paraId="3F54BA96" w14:textId="3935E4D5" w:rsidR="00862E47" w:rsidRDefault="009518AD" w:rsidP="00862E47">
      <w:r>
        <w:t xml:space="preserve">Wie wirken sich höhere Grundstoffkosten aus? Klar ist, dass die </w:t>
      </w:r>
      <w:r w:rsidR="00C44EF7">
        <w:t xml:space="preserve">Grundstoffkosten zu hohen Prozentsätzen in die Preise der Chemieprodukte eingehen. Bei Spezialchemikalien sinken </w:t>
      </w:r>
      <w:r>
        <w:t>die Werte etwas</w:t>
      </w:r>
      <w:r w:rsidR="00C44EF7">
        <w:t xml:space="preserve"> ab. </w:t>
      </w:r>
      <w:r>
        <w:t>D</w:t>
      </w:r>
      <w:r w:rsidR="00C44EF7">
        <w:t xml:space="preserve">er Anteil der Chemieprodukte an der Wertschöpfung der Branchen ist unterschiedlich hoch. In der Baubranche braucht mal viel Plastik: Rohre, Umhüllungen für Kabel, Plastikplanen, aber alles ist auch nicht aus Plastik, viel besteht aus Zement und auch Eisen-, Stahl-, Aluminium und Gips. </w:t>
      </w:r>
      <w:r w:rsidR="00862E47">
        <w:t>Innenausstattungen für Transportmittel</w:t>
      </w:r>
      <w:r>
        <w:t xml:space="preserve"> bestehen aus</w:t>
      </w:r>
      <w:r w:rsidR="00862E47">
        <w:t xml:space="preserve"> Plastik, z.B. Elektroautos, Zug- und </w:t>
      </w:r>
      <w:r w:rsidR="00862E47">
        <w:lastRenderedPageBreak/>
        <w:t xml:space="preserve">Flugzeuginnenausstattungen, Akkus enthalten Plastik und Membran-Spezialanfertigungen, Beschichtungen für Solarzellen stammen aus der Chemieindustrie, sind aber sehr dünn, etc. </w:t>
      </w:r>
    </w:p>
    <w:p w14:paraId="58E28D15" w14:textId="77777777" w:rsidR="008E326A" w:rsidRDefault="008E326A" w:rsidP="002476D9"/>
    <w:p w14:paraId="426EF670" w14:textId="65522C58" w:rsidR="009518AD" w:rsidRDefault="00C44EF7" w:rsidP="002476D9">
      <w:r>
        <w:t xml:space="preserve">Man sollte jedenfalls in der Politik </w:t>
      </w:r>
      <w:r w:rsidR="00B218AD">
        <w:t>sich auf den Preissprung vorbereiten</w:t>
      </w:r>
      <w:r>
        <w:t xml:space="preserve">, </w:t>
      </w:r>
      <w:r w:rsidR="00B218AD">
        <w:t>sodass man zur</w:t>
      </w:r>
      <w:r>
        <w:t xml:space="preserve"> Not eingreifen zu können, etwa durch öffentliche </w:t>
      </w:r>
      <w:r w:rsidR="00535DBD">
        <w:t>Bau</w:t>
      </w:r>
      <w:r>
        <w:t>aufträge</w:t>
      </w:r>
      <w:r w:rsidR="00535DBD">
        <w:t xml:space="preserve">, </w:t>
      </w:r>
      <w:r>
        <w:t xml:space="preserve">wenn es </w:t>
      </w:r>
      <w:r w:rsidR="009518AD">
        <w:t>durch Preissteigerungen einen</w:t>
      </w:r>
      <w:r>
        <w:t xml:space="preserve"> starken Abschwung </w:t>
      </w:r>
      <w:r w:rsidR="009518AD">
        <w:t xml:space="preserve">in der Bauindustrie </w:t>
      </w:r>
      <w:r>
        <w:t xml:space="preserve">gibt. </w:t>
      </w:r>
      <w:r w:rsidR="00B218AD">
        <w:t>Sinnvoll wäre ein</w:t>
      </w:r>
      <w:r w:rsidR="00055946">
        <w:t xml:space="preserve"> Klimageld</w:t>
      </w:r>
      <w:r w:rsidR="00B218AD">
        <w:t xml:space="preserve"> für</w:t>
      </w:r>
      <w:r w:rsidR="00055946">
        <w:t xml:space="preserve"> geringverdienende Einkommensgruppen</w:t>
      </w:r>
      <w:r w:rsidR="00B218AD">
        <w:t xml:space="preserve">, etwa </w:t>
      </w:r>
      <w:r w:rsidR="00535DBD">
        <w:t xml:space="preserve">drei Jahre </w:t>
      </w:r>
      <w:r w:rsidR="00B218AD">
        <w:t xml:space="preserve">lang </w:t>
      </w:r>
      <w:r w:rsidR="00535DBD">
        <w:t xml:space="preserve">einem Pauschalbetrag </w:t>
      </w:r>
      <w:r>
        <w:t xml:space="preserve">von </w:t>
      </w:r>
      <w:r w:rsidR="009518AD">
        <w:t>3</w:t>
      </w:r>
      <w:r>
        <w:t>00 Euro</w:t>
      </w:r>
      <w:r w:rsidR="00535DBD">
        <w:t xml:space="preserve">, </w:t>
      </w:r>
      <w:r>
        <w:t>damit sie</w:t>
      </w:r>
      <w:r w:rsidR="00535DBD">
        <w:t xml:space="preserve"> z.B. </w:t>
      </w:r>
      <w:r w:rsidR="00B218AD">
        <w:t xml:space="preserve">weiter </w:t>
      </w:r>
      <w:r w:rsidR="00535DBD">
        <w:t xml:space="preserve">Farbe, Lacke, Plastikprodukte </w:t>
      </w:r>
      <w:r w:rsidR="00B218AD">
        <w:t>vom</w:t>
      </w:r>
      <w:r w:rsidR="00535DBD">
        <w:t xml:space="preserve"> Baumarkt </w:t>
      </w:r>
      <w:r w:rsidR="00B218AD">
        <w:t>leisten</w:t>
      </w:r>
      <w:r>
        <w:t xml:space="preserve"> können</w:t>
      </w:r>
      <w:r w:rsidR="00B218AD">
        <w:t xml:space="preserve"> und für andere Anschaffungen unterstützt werden.</w:t>
      </w:r>
      <w:r w:rsidR="009518AD">
        <w:t xml:space="preserve"> </w:t>
      </w:r>
    </w:p>
    <w:p w14:paraId="5863F3BA" w14:textId="77777777" w:rsidR="009518AD" w:rsidRDefault="009518AD" w:rsidP="002476D9"/>
    <w:p w14:paraId="27B788A4" w14:textId="39B8C4ED" w:rsidR="00B66357" w:rsidRDefault="00121987" w:rsidP="002476D9">
      <w:r>
        <w:t>Grundlage dieser Argumentation</w:t>
      </w:r>
      <w:r w:rsidR="00197110">
        <w:t xml:space="preserve"> ist</w:t>
      </w:r>
      <w:r>
        <w:t xml:space="preserve"> </w:t>
      </w:r>
      <w:r w:rsidR="00622B4E">
        <w:t>meine</w:t>
      </w:r>
      <w:r>
        <w:t xml:space="preserve"> </w:t>
      </w:r>
      <w:r w:rsidR="00B66357">
        <w:t>Berechnung von Wasserstoff Preisen</w:t>
      </w:r>
      <w:r w:rsidR="00197110">
        <w:t xml:space="preserve"> je nach Strompreisniveau</w:t>
      </w:r>
      <w:r w:rsidR="00622B4E">
        <w:t>, allerdings auf der Basis der Infos von Proton Ventures</w:t>
      </w:r>
      <w:r w:rsidR="00995B7B">
        <w:t>, siehe hier</w:t>
      </w:r>
      <w:r w:rsidR="00B66357">
        <w:t xml:space="preserve">: </w:t>
      </w:r>
    </w:p>
    <w:p w14:paraId="28350BC9" w14:textId="77777777" w:rsidR="00B66357" w:rsidRDefault="00B66357" w:rsidP="002476D9"/>
    <w:p w14:paraId="15DB8243" w14:textId="100BD3FF" w:rsidR="00197110" w:rsidRDefault="00197110" w:rsidP="00197110">
      <w:r>
        <w:t>Die Wasserstoff Rechnung: Wie teuer wird grüner Wasserstoff? Proton Ventures schreiben, dass grauer Wasserstoff 1-2 Euro/kg kostet, grüner Wasserstoff bei 60 kWh/kg bzw. 60 MWh/Tonne liegt.</w:t>
      </w:r>
      <w:r>
        <w:rPr>
          <w:rStyle w:val="Funotenzeichen"/>
        </w:rPr>
        <w:footnoteReference w:id="2485"/>
      </w:r>
      <w:r>
        <w:t xml:space="preserve"> Das entspricht Preisangaben in der Literatur.</w:t>
      </w:r>
      <w:r>
        <w:rPr>
          <w:rStyle w:val="Funotenzeichen"/>
        </w:rPr>
        <w:footnoteReference w:id="2486"/>
      </w:r>
      <w:r>
        <w:t xml:space="preserve"> </w:t>
      </w:r>
      <w:r w:rsidR="00B90DE5">
        <w:t xml:space="preserve">Dieser Preis </w:t>
      </w:r>
      <w:r w:rsidR="00995B7B">
        <w:t>von 60 kWh/kg wird</w:t>
      </w:r>
      <w:r w:rsidR="00B90DE5">
        <w:t xml:space="preserve"> auch in Geladen Batteriepodcast, 29.06.2025 genannt.</w:t>
      </w:r>
      <w:r w:rsidR="00B90DE5">
        <w:rPr>
          <w:rStyle w:val="Funotenzeichen"/>
        </w:rPr>
        <w:footnoteReference w:id="2487"/>
      </w:r>
      <w:r w:rsidR="00B90DE5">
        <w:t xml:space="preserve"> </w:t>
      </w:r>
      <w:r>
        <w:t xml:space="preserve">Auch die Berechnungen vom CETO stimmen im Großen und Ganzen mit meinen Berechnungen überein, </w:t>
      </w:r>
      <w:r w:rsidR="00995B7B">
        <w:t xml:space="preserve">siehe </w:t>
      </w:r>
      <w:r>
        <w:t xml:space="preserve">Water Electrolysis and Hydrogen in </w:t>
      </w:r>
      <w:proofErr w:type="spellStart"/>
      <w:r>
        <w:t>the</w:t>
      </w:r>
      <w:proofErr w:type="spellEnd"/>
      <w:r>
        <w:t xml:space="preserve"> European Union 2024 Update.</w:t>
      </w:r>
      <w:r>
        <w:rPr>
          <w:rStyle w:val="Funotenzeichen"/>
        </w:rPr>
        <w:footnoteReference w:id="2488"/>
      </w:r>
      <w:r>
        <w:t xml:space="preserve"> Es stimmt, dass auch noch Speicherkosten hinzu kommen (dies wird hier weggelassen).</w:t>
      </w:r>
      <w:r>
        <w:rPr>
          <w:rStyle w:val="Funotenzeichen"/>
        </w:rPr>
        <w:footnoteReference w:id="2489"/>
      </w:r>
    </w:p>
    <w:p w14:paraId="2120F220" w14:textId="77777777" w:rsidR="00197110" w:rsidRDefault="00197110" w:rsidP="00197110"/>
    <w:p w14:paraId="137DB281" w14:textId="5866A8C2" w:rsidR="00CC0A14" w:rsidRDefault="00CC0A14" w:rsidP="00CC0A14">
      <w:r>
        <w:t xml:space="preserve">Dies folgenden Berechnungen basieren auf dem Faktor 2,54: </w:t>
      </w:r>
    </w:p>
    <w:p w14:paraId="5835BB2E" w14:textId="77777777" w:rsidR="00CC0A14" w:rsidRDefault="00CC0A14" w:rsidP="00CC0A14">
      <w:r>
        <w:t>Für Haushalte kostet 1 kWh Erdgas vereinfacht 10 Cent (Statistisches Bundesamt 12,28, kleinere Gewerbekunden liegen derzeit bei 7,9 Cent,</w:t>
      </w:r>
      <w:r>
        <w:rPr>
          <w:rStyle w:val="Funotenzeichen"/>
        </w:rPr>
        <w:t>,</w:t>
      </w:r>
      <w:r>
        <w:t xml:space="preserve">2 </w:t>
      </w:r>
      <w:proofErr w:type="spellStart"/>
      <w:r>
        <w:t>Hj</w:t>
      </w:r>
      <w:proofErr w:type="spellEnd"/>
      <w:r>
        <w:t>. 2024</w:t>
      </w:r>
      <w:r>
        <w:rPr>
          <w:rStyle w:val="Funotenzeichen"/>
        </w:rPr>
        <w:footnoteReference w:id="2490"/>
      </w:r>
      <w:r>
        <w:t>). Rechnet man dies um in 1 Tonne Erdgas kostet dies für die Haushalte: 13.100 kWh * 0,10 Euro = 1310 Euro. Für Großverbraucher kostet Erdgas weniger, rechnen wir 1 kWh mit 2 Cent</w:t>
      </w:r>
      <w:r>
        <w:rPr>
          <w:rStyle w:val="Funotenzeichen"/>
        </w:rPr>
        <w:footnoteReference w:id="2491"/>
      </w:r>
      <w:r>
        <w:t>, eine Tonne Erdgas kostet dann nur noch 262 Euro.</w:t>
      </w:r>
    </w:p>
    <w:p w14:paraId="205AB605" w14:textId="77777777" w:rsidR="00CC0A14" w:rsidRDefault="00CC0A14" w:rsidP="00CC0A14"/>
    <w:p w14:paraId="53059D48" w14:textId="756506E5" w:rsidR="00CC0A14" w:rsidRDefault="00CC0A14" w:rsidP="00CC0A14">
      <w:r>
        <w:t xml:space="preserve">Vergleich man nun Wasserstoff mit Erdgas, dann hat Wasserstoff </w:t>
      </w:r>
      <w:proofErr w:type="gramStart"/>
      <w:r>
        <w:t>2,54 mal</w:t>
      </w:r>
      <w:proofErr w:type="gramEnd"/>
      <w:r>
        <w:t xml:space="preserve"> mehr Energie.</w:t>
      </w:r>
      <w:r>
        <w:rPr>
          <w:rStyle w:val="Funotenzeichen"/>
        </w:rPr>
        <w:footnoteReference w:id="2492"/>
      </w:r>
    </w:p>
    <w:p w14:paraId="13809CCD" w14:textId="21320333" w:rsidR="00CC0A14" w:rsidRDefault="00CC0A14" w:rsidP="00197110">
      <w:r>
        <w:t xml:space="preserve">D.h. um Wasserstoff an Großverbraucher verkaufen zu können, muss man 262 Euro * 2,54 rechnen, das sind 665,48 Euro, das ist der Preis, für den man 1 Tonne Wasserstoff verkaufen könnte, da diese 1 Tonnen Wasserstoff eben </w:t>
      </w:r>
      <w:proofErr w:type="gramStart"/>
      <w:r>
        <w:t>2,54 mal</w:t>
      </w:r>
      <w:proofErr w:type="gramEnd"/>
      <w:r>
        <w:t xml:space="preserve"> mehr Energie hat als 1 Tonne Erdgas. 1310 * 2,54 = 3327 Euro. </w:t>
      </w:r>
    </w:p>
    <w:p w14:paraId="14C2E2A6" w14:textId="77777777" w:rsidR="00CC0A14" w:rsidRDefault="00CC0A14" w:rsidP="00197110"/>
    <w:p w14:paraId="07F5686E" w14:textId="0EAA3F75" w:rsidR="00197110" w:rsidRDefault="00197110" w:rsidP="00197110">
      <w:r>
        <w:t xml:space="preserve">Der Wasserstoffpreis hängt vom Strompreis ab. Oben wurde dazu schon folgendes gerechnet: </w:t>
      </w:r>
    </w:p>
    <w:p w14:paraId="6CB3FD47" w14:textId="77777777" w:rsidR="00197110" w:rsidRDefault="00197110" w:rsidP="00197110">
      <w:r>
        <w:t>Bei einem Strompreis von 1 Cent pro kWh läge 1 Tonne Wasserstoff bei 600 Euro, dann würde Wasserstoff auf demselben Preisniveau wie heutzutage Erdgas für Großverbraucher liegen.</w:t>
      </w:r>
    </w:p>
    <w:p w14:paraId="50088B45" w14:textId="77777777" w:rsidR="00197110" w:rsidRDefault="00197110" w:rsidP="00197110">
      <w:r>
        <w:t>1 Cent / kWh: 1 Tonne Wasserstoff 600 Euro</w:t>
      </w:r>
    </w:p>
    <w:p w14:paraId="72D3C748" w14:textId="77777777" w:rsidR="00197110" w:rsidRDefault="00197110" w:rsidP="00197110">
      <w:r>
        <w:t>10 Cent / kWh: 1 Tonne Wasserstoff 6000 Euro</w:t>
      </w:r>
    </w:p>
    <w:p w14:paraId="4191009B" w14:textId="77777777" w:rsidR="00197110" w:rsidRDefault="00197110" w:rsidP="00197110">
      <w:r>
        <w:t>15 Cent / kWh: 1 Tonne Wasserstoff 9000 Euro</w:t>
      </w:r>
    </w:p>
    <w:p w14:paraId="72D10010" w14:textId="77777777" w:rsidR="00197110" w:rsidRDefault="00197110" w:rsidP="00197110">
      <w:r>
        <w:t>20 Cent / kWh: 1 Tonne Wasserstoff 12.000 Euro</w:t>
      </w:r>
    </w:p>
    <w:p w14:paraId="56FC6A23" w14:textId="77777777" w:rsidR="00197110" w:rsidRDefault="00197110" w:rsidP="00197110"/>
    <w:p w14:paraId="2C80922A" w14:textId="77777777" w:rsidR="00197110" w:rsidRDefault="00197110" w:rsidP="00197110">
      <w:r>
        <w:t xml:space="preserve">1310 Euro * 2,54 = 3327 Euro … 1 Tonne Wasserstoff darf also 3327 Euro kosten, dies wäre das Erdgas-Preisniveau Haushalte) </w:t>
      </w:r>
    </w:p>
    <w:p w14:paraId="5B7419BE" w14:textId="77777777" w:rsidR="00197110" w:rsidRDefault="00197110" w:rsidP="00197110">
      <w:r>
        <w:t>(Preisniveau Haushalte, 10 Cent 1 kWh Erdgas)</w:t>
      </w:r>
    </w:p>
    <w:p w14:paraId="100C689D" w14:textId="77777777" w:rsidR="00197110" w:rsidRDefault="00197110" w:rsidP="00197110">
      <w:r>
        <w:t xml:space="preserve">(derselbe Heizwert wie 1 Tonne Erdgas) </w:t>
      </w:r>
    </w:p>
    <w:p w14:paraId="471619AA" w14:textId="77777777" w:rsidR="00197110" w:rsidRDefault="00197110" w:rsidP="00197110"/>
    <w:p w14:paraId="35E3654D" w14:textId="77777777" w:rsidR="00197110" w:rsidRDefault="00197110" w:rsidP="00197110">
      <w:r>
        <w:t xml:space="preserve">262 Euro * 2,54 = 665,48 Euro … 1 Tonne Wasserstoff darf also 665 Euro kosten, das wäre das Erdgas-Preisniveau Großverbraucher </w:t>
      </w:r>
    </w:p>
    <w:p w14:paraId="6FB20CF1" w14:textId="77777777" w:rsidR="00197110" w:rsidRDefault="00197110" w:rsidP="00197110">
      <w:r>
        <w:t>(Preisniveau Großverbraucher, 2 Cent 1 kWh Erdgas)</w:t>
      </w:r>
    </w:p>
    <w:p w14:paraId="1CA76ED1" w14:textId="77777777" w:rsidR="00197110" w:rsidRDefault="00197110" w:rsidP="00197110">
      <w:proofErr w:type="gramStart"/>
      <w:r>
        <w:t>.(</w:t>
      </w:r>
      <w:proofErr w:type="gramEnd"/>
      <w:r>
        <w:t xml:space="preserve">derselbe Heizwert wie 1 Tonne Erdgas) </w:t>
      </w:r>
    </w:p>
    <w:p w14:paraId="5E5305BD" w14:textId="77777777" w:rsidR="00197110" w:rsidRDefault="00197110" w:rsidP="00197110"/>
    <w:p w14:paraId="32101E3E" w14:textId="77777777" w:rsidR="00197110" w:rsidRDefault="00197110" w:rsidP="00197110">
      <w:r>
        <w:t>Wenn der Strompreis höher wäre, 15 Cent pro kWh: 9000 Euro pro 1 Tonne Wasserstoff, das wäre:</w:t>
      </w:r>
    </w:p>
    <w:p w14:paraId="2F6510A8" w14:textId="77777777" w:rsidR="00197110" w:rsidRDefault="00197110" w:rsidP="00197110">
      <w:r>
        <w:t xml:space="preserve">ca. </w:t>
      </w:r>
      <w:proofErr w:type="gramStart"/>
      <w:r>
        <w:t>3 mal</w:t>
      </w:r>
      <w:proofErr w:type="gramEnd"/>
      <w:r>
        <w:t xml:space="preserve"> so hoch wie das Erdgas-Preisniveau Haushalte (9000 / 3327 = ca. 3)</w:t>
      </w:r>
    </w:p>
    <w:p w14:paraId="533CD898" w14:textId="77777777" w:rsidR="00197110" w:rsidRDefault="00197110" w:rsidP="00197110">
      <w:r>
        <w:t xml:space="preserve">ca. </w:t>
      </w:r>
      <w:proofErr w:type="gramStart"/>
      <w:r>
        <w:t>15 mal</w:t>
      </w:r>
      <w:proofErr w:type="gramEnd"/>
      <w:r>
        <w:t xml:space="preserve"> so hoch wie das Erdgas-Preisniveau Großverbraucher (9000 / 665 = ca. 15)</w:t>
      </w:r>
    </w:p>
    <w:p w14:paraId="604E17B5" w14:textId="77777777" w:rsidR="00197110" w:rsidRDefault="00197110" w:rsidP="00197110"/>
    <w:p w14:paraId="2EF06873" w14:textId="77777777" w:rsidR="00197110" w:rsidRDefault="00197110" w:rsidP="00197110">
      <w:r>
        <w:t xml:space="preserve">Die Berechnungen hier haben weiterhin gezeigt, dass es durchaus sein kann, dass man bei 25 Cent Strompreis landet, bei einem Solarpark, der in 10 Jahren zurückgezahlt werden muss, bei 20 Jahren Kreditlaufzeit ist 15 Cent denkbar. Bei Landwind kommt man bei 10 Jahren vielleicht sogar auf 12 Cent runter, sonst 15 Cent, bei 20 Jahren Kreditlaufzeit sind Strompreise von 10 Cent möglich. </w:t>
      </w:r>
    </w:p>
    <w:p w14:paraId="57E3DA9E" w14:textId="77777777" w:rsidR="00197110" w:rsidRDefault="00197110" w:rsidP="00197110"/>
    <w:p w14:paraId="5B46CD3E" w14:textId="77777777" w:rsidR="00197110" w:rsidRDefault="00197110" w:rsidP="00197110">
      <w:r>
        <w:lastRenderedPageBreak/>
        <w:t>Kurz: Man kommt, wenn die erneuerbaren Energien mit Anreizinstrumenten ausgestattet werden, mit ihnen vielleicht auf 10 Cent / kWh herunter und damit auf einen Wasserstoffpreis von 6000 Euro pro Tonne, das wäre dann nur noch</w:t>
      </w:r>
    </w:p>
    <w:p w14:paraId="463CA84D" w14:textId="77777777" w:rsidR="00197110" w:rsidRDefault="00197110" w:rsidP="00197110">
      <w:r>
        <w:t xml:space="preserve">ca. </w:t>
      </w:r>
      <w:proofErr w:type="gramStart"/>
      <w:r>
        <w:t>2 mal</w:t>
      </w:r>
      <w:proofErr w:type="gramEnd"/>
      <w:r>
        <w:t xml:space="preserve"> so hoch wie das Preisniveau Haushalte (6000 / 3327 = ca. 2) </w:t>
      </w:r>
    </w:p>
    <w:p w14:paraId="20117794" w14:textId="77777777" w:rsidR="00197110" w:rsidRDefault="00197110" w:rsidP="00197110">
      <w:r>
        <w:t xml:space="preserve">ca. </w:t>
      </w:r>
      <w:proofErr w:type="gramStart"/>
      <w:r>
        <w:t>10 mal</w:t>
      </w:r>
      <w:proofErr w:type="gramEnd"/>
      <w:r>
        <w:t xml:space="preserve"> so hoch wie das Preisniveau Großverbraucher / Industrie (6000 / 665 = ca. 10) </w:t>
      </w:r>
    </w:p>
    <w:p w14:paraId="592527EE" w14:textId="77777777" w:rsidR="00197110" w:rsidRDefault="00197110" w:rsidP="00197110"/>
    <w:p w14:paraId="0179B406" w14:textId="77777777" w:rsidR="00197110" w:rsidRDefault="00197110" w:rsidP="00197110">
      <w:r>
        <w:t xml:space="preserve">1.000.000 Tonnen Wasserstoff, der 9000 Euro pro Tonne kostet, kostet also 9 Mrd. 1.000.000 Tonnen Wasserstoff auf dem heutigen Großverbraucher Niveau müsste würde 600 Euro pro Tonne, also 600 Millionen kosten. Wenn der Staat diesen Unterschied subventioniert, </w:t>
      </w:r>
      <w:r w:rsidRPr="00794E62">
        <w:rPr>
          <w:u w:val="single"/>
        </w:rPr>
        <w:t>wären dies im Jahr 8,4 Mrd.,</w:t>
      </w:r>
      <w:r>
        <w:rPr>
          <w:u w:val="single"/>
        </w:rPr>
        <w:t xml:space="preserve"> dies würde </w:t>
      </w:r>
      <w:r w:rsidRPr="00794E62">
        <w:rPr>
          <w:u w:val="single"/>
        </w:rPr>
        <w:t>vielleicht gerade noch gehen</w:t>
      </w:r>
      <w:r>
        <w:t xml:space="preserve">. </w:t>
      </w:r>
    </w:p>
    <w:p w14:paraId="34FC067F" w14:textId="77777777" w:rsidR="00197110" w:rsidRDefault="00197110" w:rsidP="00197110"/>
    <w:p w14:paraId="43921872" w14:textId="77777777" w:rsidR="00197110" w:rsidRDefault="00197110" w:rsidP="00197110">
      <w:r>
        <w:t xml:space="preserve">Wenn wir 6.000.000 Tonnen Wasserstoff (wie in Transformation der Chemie 2023 angenommen wird), dann wären dies bei 9000 Euro pro Tonne 54 Mrd. Euro. Würde man dies auf das heutige Niveau heruntersubventionieren wären es 6.000.000 Tonnen * 600 = 3,6 Mrd. </w:t>
      </w:r>
      <w:r w:rsidRPr="00995B7B">
        <w:rPr>
          <w:u w:val="single"/>
        </w:rPr>
        <w:t>Dafür bräuchte man jährlich 50,4 Mrd. staatliche Subventionen</w:t>
      </w:r>
      <w:r>
        <w:t xml:space="preserve">. </w:t>
      </w:r>
    </w:p>
    <w:p w14:paraId="56C09861" w14:textId="77777777" w:rsidR="00197110" w:rsidRDefault="00197110" w:rsidP="00197110"/>
    <w:p w14:paraId="35A2A3FF" w14:textId="77777777" w:rsidR="00197110" w:rsidRDefault="00197110" w:rsidP="00197110">
      <w:r>
        <w:t xml:space="preserve">Kurz: Subventionen, um höhere Preisniveaus ungeschehen zu machen, sind zu teuer für den Staat, eigentlich egal wie hoch der Preissprung ist. </w:t>
      </w:r>
    </w:p>
    <w:p w14:paraId="5B540AD4" w14:textId="77777777" w:rsidR="00C65A6B" w:rsidRDefault="00C65A6B" w:rsidP="00197110"/>
    <w:tbl>
      <w:tblPr>
        <w:tblStyle w:val="Tabellenraster"/>
        <w:tblW w:w="0" w:type="auto"/>
        <w:tblLook w:val="04A0" w:firstRow="1" w:lastRow="0" w:firstColumn="1" w:lastColumn="0" w:noHBand="0" w:noVBand="1"/>
      </w:tblPr>
      <w:tblGrid>
        <w:gridCol w:w="9062"/>
      </w:tblGrid>
      <w:tr w:rsidR="00AA7A8A" w14:paraId="425EE32A" w14:textId="77777777">
        <w:tc>
          <w:tcPr>
            <w:tcW w:w="9062" w:type="dxa"/>
          </w:tcPr>
          <w:p w14:paraId="2F8EE277" w14:textId="158F8C3D" w:rsidR="00197110" w:rsidRDefault="00AA7A8A" w:rsidP="00197110">
            <w:r>
              <w:t>Es gibt au</w:t>
            </w:r>
            <w:r w:rsidR="00121987">
              <w:t>ch</w:t>
            </w:r>
            <w:r>
              <w:t xml:space="preserve"> Informationen mit einem ‚gegenteiligen Dreh‘.</w:t>
            </w:r>
            <w:r w:rsidR="00197110">
              <w:t xml:space="preserve"> In CETO 2024 werden Kosten für Wasserstoff aus der Dampfreformierung erwähnt, es sind 3,5 Euro pro kg Wasserstoff im Jahr 2023, also 3500 Euro pro Tonne Wasserstoff, d.h. in der Dampfreformierung liegen die Kosten für Wasserstoff </w:t>
            </w:r>
            <w:r w:rsidR="00995B7B">
              <w:t>also schon</w:t>
            </w:r>
            <w:r w:rsidR="00197110">
              <w:t xml:space="preserve"> </w:t>
            </w:r>
            <w:r w:rsidR="00995B7B">
              <w:t xml:space="preserve">recht </w:t>
            </w:r>
            <w:r w:rsidR="00197110">
              <w:t>hoch und könnten</w:t>
            </w:r>
            <w:r w:rsidR="00995B7B">
              <w:t xml:space="preserve"> offenbar schon deshalb </w:t>
            </w:r>
            <w:r w:rsidR="00197110">
              <w:t>durch grünen Wasserstoff durch Elektrolyseure ersetzt werden.</w:t>
            </w:r>
            <w:r w:rsidR="00197110">
              <w:rPr>
                <w:rStyle w:val="Funotenzeichen"/>
              </w:rPr>
              <w:footnoteReference w:id="2493"/>
            </w:r>
          </w:p>
          <w:p w14:paraId="55B3AC46" w14:textId="77777777" w:rsidR="00197110" w:rsidRDefault="00197110" w:rsidP="00197110"/>
          <w:p w14:paraId="592D8547" w14:textId="4492A842" w:rsidR="00AA7A8A" w:rsidRDefault="00197110" w:rsidP="002476D9">
            <w:r>
              <w:t xml:space="preserve">Dies </w:t>
            </w:r>
            <w:r w:rsidR="00995B7B">
              <w:t xml:space="preserve">hat </w:t>
            </w:r>
            <w:r>
              <w:t xml:space="preserve">derzeit </w:t>
            </w:r>
            <w:r w:rsidR="00AA7A8A">
              <w:t xml:space="preserve">TotalEnergies in Leuna </w:t>
            </w:r>
            <w:r w:rsidR="00995B7B">
              <w:t>vor</w:t>
            </w:r>
            <w:r>
              <w:t>, es will</w:t>
            </w:r>
            <w:r w:rsidR="00AA7A8A">
              <w:t xml:space="preserve"> grünen Wasserstoff zur Entschwefelung von Mineralölprodukten nutzen, derzeit wird dazu in Bad Lauchstädt ein 30 MW </w:t>
            </w:r>
            <w:proofErr w:type="spellStart"/>
            <w:r w:rsidR="00AA7A8A">
              <w:t>Sunfire</w:t>
            </w:r>
            <w:proofErr w:type="spellEnd"/>
            <w:r w:rsidR="00AA7A8A">
              <w:t xml:space="preserve"> Elektrolyseur aufgebaut und es wurde von Total Energies mit RWE eine Vereinbarung abgeschlossen, dass mit dem in Lingen für 2030 geplanten 300 MW Elektrolyseur jährlich 30.000 Tonnen grüner Wasserstoff nach Leuna gebracht wird, hierfür muss die Pipeline noch gebaut werden. Insgesamt hat TotalEnergies Lieferverträge für bis zum 500.000 Tonnen Wasserstoff pro Jahr für seine Raffinerien ausgeschrieben.</w:t>
            </w:r>
            <w:r w:rsidR="00AA7A8A">
              <w:rPr>
                <w:rStyle w:val="Funotenzeichen"/>
              </w:rPr>
              <w:footnoteReference w:id="2494"/>
            </w:r>
            <w:r w:rsidR="00AA7A8A">
              <w:t xml:space="preserve"> </w:t>
            </w:r>
            <w:r w:rsidR="00791890" w:rsidRPr="00791890">
              <w:rPr>
                <w:b/>
                <w:bCs/>
              </w:rPr>
              <w:t>Es gibt also Chemieanwendungen für die</w:t>
            </w:r>
            <w:r w:rsidR="00AA7A8A" w:rsidRPr="00791890">
              <w:rPr>
                <w:b/>
                <w:bCs/>
              </w:rPr>
              <w:t xml:space="preserve"> grüner</w:t>
            </w:r>
            <w:r w:rsidR="00AA7A8A" w:rsidRPr="00AA7A8A">
              <w:rPr>
                <w:b/>
                <w:bCs/>
              </w:rPr>
              <w:t xml:space="preserve"> Wasserstoff</w:t>
            </w:r>
            <w:r>
              <w:rPr>
                <w:b/>
                <w:bCs/>
              </w:rPr>
              <w:t xml:space="preserve"> </w:t>
            </w:r>
            <w:r w:rsidR="00791890">
              <w:rPr>
                <w:b/>
                <w:bCs/>
              </w:rPr>
              <w:t xml:space="preserve">schon jetzt </w:t>
            </w:r>
            <w:r w:rsidR="00AA7A8A" w:rsidRPr="00AA7A8A">
              <w:rPr>
                <w:b/>
                <w:bCs/>
              </w:rPr>
              <w:t>nicht zu teuer</w:t>
            </w:r>
            <w:r w:rsidR="00791890">
              <w:rPr>
                <w:b/>
                <w:bCs/>
              </w:rPr>
              <w:t xml:space="preserve"> ist</w:t>
            </w:r>
            <w:r w:rsidR="00AA7A8A">
              <w:t>.</w:t>
            </w:r>
          </w:p>
        </w:tc>
      </w:tr>
    </w:tbl>
    <w:p w14:paraId="5F9569BD" w14:textId="77777777" w:rsidR="00B218AD" w:rsidRDefault="00B218AD" w:rsidP="007E4CF4"/>
    <w:p w14:paraId="77227841" w14:textId="55ED2535" w:rsidR="007E4CF4" w:rsidRDefault="00197110" w:rsidP="007E4CF4">
      <w:r>
        <w:t xml:space="preserve">Weiterhin sollte die Chemieindustrie </w:t>
      </w:r>
      <w:r w:rsidR="00406619">
        <w:t xml:space="preserve">ab heute </w:t>
      </w:r>
      <w:r>
        <w:t xml:space="preserve">mit der Planung beginnen, um </w:t>
      </w:r>
      <w:r w:rsidR="00406619">
        <w:t>die – drei großen (Test-)</w:t>
      </w:r>
      <w:r w:rsidR="00707AA2">
        <w:t xml:space="preserve"> </w:t>
      </w:r>
      <w:r w:rsidR="00406619">
        <w:t>Anlagen aufbauen</w:t>
      </w:r>
      <w:r w:rsidR="007E4CF4">
        <w:t xml:space="preserve">, </w:t>
      </w:r>
      <w:r w:rsidR="007E4CF4" w:rsidRPr="008E64AC">
        <w:rPr>
          <w:u w:val="single"/>
        </w:rPr>
        <w:t>weil es langsam peinlich wird</w:t>
      </w:r>
      <w:r w:rsidR="00B218AD">
        <w:t>.</w:t>
      </w:r>
      <w:r w:rsidR="007E4CF4">
        <w:t xml:space="preserve"> </w:t>
      </w:r>
      <w:r w:rsidR="00B218AD">
        <w:t>Es gibt,</w:t>
      </w:r>
      <w:r w:rsidR="007E4CF4">
        <w:t xml:space="preserve"> siehe Teil 2, </w:t>
      </w:r>
      <w:r w:rsidR="007E4CF4" w:rsidRPr="000A6FC2">
        <w:rPr>
          <w:u w:val="single"/>
        </w:rPr>
        <w:t>weltweit noch keine grüne Ammoniakanlage, weltweit noch keine grüne große Methanol-zu-Olefinen und auch keine grüne große umgekehrte Wasser-Gas-Verschiebereaktion</w:t>
      </w:r>
      <w:r w:rsidR="00B218AD" w:rsidRPr="000A6FC2">
        <w:rPr>
          <w:u w:val="single"/>
        </w:rPr>
        <w:t>-</w:t>
      </w:r>
      <w:r w:rsidR="007E4CF4" w:rsidRPr="000A6FC2">
        <w:rPr>
          <w:u w:val="single"/>
        </w:rPr>
        <w:t>Synthesegas</w:t>
      </w:r>
      <w:r w:rsidR="00B218AD" w:rsidRPr="000A6FC2">
        <w:rPr>
          <w:u w:val="single"/>
        </w:rPr>
        <w:t>-</w:t>
      </w:r>
      <w:r w:rsidR="007E4CF4" w:rsidRPr="000A6FC2">
        <w:rPr>
          <w:u w:val="single"/>
        </w:rPr>
        <w:t>Fischer-Tropsch</w:t>
      </w:r>
      <w:r w:rsidR="00B218AD" w:rsidRPr="000A6FC2">
        <w:rPr>
          <w:u w:val="single"/>
        </w:rPr>
        <w:t>-</w:t>
      </w:r>
      <w:r w:rsidR="007E4CF4" w:rsidRPr="000A6FC2">
        <w:rPr>
          <w:u w:val="single"/>
        </w:rPr>
        <w:t>Anlage, die grünes Naphtha</w:t>
      </w:r>
      <w:r w:rsidR="00B218AD" w:rsidRPr="000A6FC2">
        <w:rPr>
          <w:u w:val="single"/>
        </w:rPr>
        <w:t xml:space="preserve">, Benzin, Diesel und Kerosin </w:t>
      </w:r>
      <w:r w:rsidR="007E4CF4" w:rsidRPr="000A6FC2">
        <w:rPr>
          <w:u w:val="single"/>
        </w:rPr>
        <w:t>herstellen kann</w:t>
      </w:r>
      <w:r w:rsidR="007E4CF4">
        <w:t xml:space="preserve"> – einmal abgesehen von der INERATEC Anlage in Frankfurt, die </w:t>
      </w:r>
      <w:r w:rsidR="00B218AD">
        <w:t xml:space="preserve">genau diese </w:t>
      </w:r>
      <w:r w:rsidR="007E4CF4">
        <w:t>grüne</w:t>
      </w:r>
      <w:r w:rsidR="00B218AD">
        <w:t>n</w:t>
      </w:r>
      <w:r w:rsidR="007E4CF4">
        <w:t xml:space="preserve"> Fischer-Tropsch-Produkte herstell</w:t>
      </w:r>
      <w:r w:rsidR="00B218AD">
        <w:t>en kann</w:t>
      </w:r>
      <w:r w:rsidR="007E4CF4">
        <w:t xml:space="preserve"> – wobei das Naphtha in einem </w:t>
      </w:r>
      <w:proofErr w:type="spellStart"/>
      <w:r w:rsidR="007E4CF4">
        <w:t>Ethylencracker</w:t>
      </w:r>
      <w:proofErr w:type="spellEnd"/>
      <w:r w:rsidR="007E4CF4">
        <w:t xml:space="preserve"> bzw. Steamcracker zu einer Vielzahl von Stoffen, etwa Ethylen und Propylen, die Grundstoffe für Plastik, weiterverarbeitet wird. Auf Synthesegas aus Kohlevergasung basierende Fischer-Tropsch-Anlagen gibt es</w:t>
      </w:r>
      <w:r w:rsidR="009F747B">
        <w:t xml:space="preserve"> in Länder mit viel Kohle, etwa in China</w:t>
      </w:r>
      <w:r w:rsidR="007E4CF4">
        <w:t xml:space="preserve">. </w:t>
      </w:r>
      <w:r w:rsidR="003C23C6">
        <w:t xml:space="preserve">Es gibt Firmen, die dies bauen können. </w:t>
      </w:r>
      <w:r w:rsidR="007E4CF4">
        <w:t>Immerhin haben BASF mit Sabic und Linde den weltweit ersten elektrische beheizbaren Steamcracker gebaut.</w:t>
      </w:r>
      <w:r w:rsidR="00406619">
        <w:t xml:space="preserve"> Dabei kann der Staat die Chemieindustrie dann subventionieren, aber bitte nur </w:t>
      </w:r>
      <w:r w:rsidR="00406619">
        <w:lastRenderedPageBreak/>
        <w:t xml:space="preserve">teilweise, die Firmen sollen ein Konsortium bilden, jeder sich mit einem Betrag beteiligen, denn es sind alle an den Ergebnissen und Erfahrungen interessiert. </w:t>
      </w:r>
    </w:p>
    <w:p w14:paraId="006C4AF5" w14:textId="77777777" w:rsidR="007E4CF4" w:rsidRDefault="007E4CF4" w:rsidP="007E4CF4"/>
    <w:p w14:paraId="55843780" w14:textId="21751C2E" w:rsidR="007E4CF4" w:rsidRDefault="007E4CF4" w:rsidP="007E4CF4">
      <w:r>
        <w:t xml:space="preserve">Meine Suche hat ergeben, dass die weltweit erste grüne </w:t>
      </w:r>
      <w:proofErr w:type="gramStart"/>
      <w:r>
        <w:t>Haber-Bosch Ammoniakanlagen</w:t>
      </w:r>
      <w:proofErr w:type="gramEnd"/>
      <w:r>
        <w:t xml:space="preserve"> in der saudi-arabischen neuen Stadt Neom gebaut werden wird, von ACWA Power, die Windkraftanlagen vom chinesischen Hersteller </w:t>
      </w:r>
      <w:proofErr w:type="spellStart"/>
      <w:r>
        <w:t>Envision</w:t>
      </w:r>
      <w:proofErr w:type="spellEnd"/>
      <w:r>
        <w:t>, hergestellt werden sollen 600 Tonnen pro Tag, siehe hier.</w:t>
      </w:r>
      <w:r>
        <w:rPr>
          <w:rStyle w:val="Funotenzeichen"/>
        </w:rPr>
        <w:footnoteReference w:id="2495"/>
      </w:r>
      <w:r>
        <w:t xml:space="preserve"> (im Jahr 219.000 Tonnen, </w:t>
      </w:r>
      <w:proofErr w:type="gramStart"/>
      <w:r>
        <w:t>eine mittelgroße Anlagen</w:t>
      </w:r>
      <w:proofErr w:type="gramEnd"/>
      <w:r>
        <w:t xml:space="preserve">). </w:t>
      </w:r>
      <w:r w:rsidR="00791890">
        <w:t xml:space="preserve">Ein weiteres Projekt scheint in Kanada, in Point Tupper zu entstehen. </w:t>
      </w:r>
      <w:r>
        <w:t xml:space="preserve">Es gibt andere Projekte, die scheinen aber nicht weiterzukommen. </w:t>
      </w:r>
    </w:p>
    <w:p w14:paraId="2925F612" w14:textId="77777777" w:rsidR="007E4CF4" w:rsidRDefault="007E4CF4" w:rsidP="007E4CF4"/>
    <w:p w14:paraId="305DE399" w14:textId="77777777" w:rsidR="007E4CF4" w:rsidRDefault="007E4CF4" w:rsidP="007E4CF4">
      <w:r>
        <w:t>Die Systementwicklungsstrategie 2024 fasst die Situation mit der Chemieindustrie mit einem Satz zusammen: „Das genaue Volumen (für Wasserstoff) hängt von der zukünftigen Struktur der Wertschöpfungsketten (der chemischen Industrie) ab, welche noch nicht absehbar ist.“ (meine dem Kontext entsprechende Ergänzung in den Klammern)</w:t>
      </w:r>
      <w:r>
        <w:rPr>
          <w:rStyle w:val="Funotenzeichen"/>
        </w:rPr>
        <w:footnoteReference w:id="2496"/>
      </w:r>
    </w:p>
    <w:p w14:paraId="1CF1389E" w14:textId="77777777" w:rsidR="007E4CF4" w:rsidRDefault="007E4CF4" w:rsidP="007E4CF4"/>
    <w:p w14:paraId="6D15C0ED" w14:textId="77777777" w:rsidR="007E4CF4" w:rsidRDefault="007E4CF4" w:rsidP="007E4CF4">
      <w:r>
        <w:t>Die Bundesnetzagentur geht davon aus, dass die Grundstoffproduktion der Chemie in Deutschland bleibt und geht davon in allen ihrer 2045 Szenarien aus: „</w:t>
      </w:r>
      <w:r w:rsidRPr="00E05A17">
        <w:t>Allen Szenarien gemein ist neben dem Erreichen von Klimaneutralität im Jahr 2045 auch die Annahme, dass in Deutschland keine flächendeckende Deindustrialisierung stattfindet und auch eine Grundstoffproduktion weiterhin in ähnlichem Umfang in Deutschland verbleibt.</w:t>
      </w:r>
      <w:r>
        <w:t>“</w:t>
      </w:r>
      <w:r>
        <w:rPr>
          <w:rStyle w:val="Funotenzeichen"/>
        </w:rPr>
        <w:footnoteReference w:id="2497"/>
      </w:r>
      <w:r>
        <w:t xml:space="preserve"> </w:t>
      </w:r>
    </w:p>
    <w:p w14:paraId="76973D24" w14:textId="77777777" w:rsidR="007E4CF4" w:rsidRDefault="007E4CF4" w:rsidP="007E4CF4"/>
    <w:p w14:paraId="4143BD29" w14:textId="1DB26675" w:rsidR="009F747B" w:rsidRDefault="007E4CF4" w:rsidP="009F747B">
      <w:r>
        <w:t>In der Systementwicklungsstrategie 2024 wird 15 TWh Wasserstoff für Ammoniak, die Umstellung von Ethylen und Olefinen auf die Methanol-zu-Olefinen Route wird mit 150 TWh beziffert, insgesamt seien bis 2045 zwischen 200 und 450 TWh Wasserstoff für die Industrie nötig.</w:t>
      </w:r>
      <w:r>
        <w:rPr>
          <w:rStyle w:val="Funotenzeichen"/>
        </w:rPr>
        <w:footnoteReference w:id="2498"/>
      </w:r>
      <w:r w:rsidR="00406619">
        <w:t xml:space="preserve"> Das ist umgerechnet: 13,5 Mill. Tonnen Wasserstoff, für 10 Mill. Tonne Wasserstoff brauchen wir 800 TWh zusätzlichen Strom.</w:t>
      </w:r>
      <w:r w:rsidR="00406619">
        <w:rPr>
          <w:rStyle w:val="Funotenzeichen"/>
        </w:rPr>
        <w:footnoteReference w:id="2499"/>
      </w:r>
    </w:p>
    <w:p w14:paraId="11EB5863" w14:textId="77777777" w:rsidR="00406619" w:rsidRDefault="00406619" w:rsidP="009F747B"/>
    <w:p w14:paraId="5EBCA004" w14:textId="06180EF9" w:rsidR="009F747B" w:rsidRDefault="009F747B" w:rsidP="009F747B">
      <w:r>
        <w:t xml:space="preserve">Der BDI glaubt im Moment, dass der Umbau des Energiesystem viel zu teuer werden wird und möchte den Umbau des Energiesystems aufschieben, und er </w:t>
      </w:r>
      <w:proofErr w:type="gramStart"/>
      <w:r>
        <w:t>glaubt</w:t>
      </w:r>
      <w:proofErr w:type="gramEnd"/>
      <w:r>
        <w:t xml:space="preserve"> dass CCS sinnvoll zur Kostensenkung eingesetzt werden kann, das ist aber unrealistisch. </w:t>
      </w:r>
    </w:p>
    <w:p w14:paraId="5A0AF1AE" w14:textId="77777777" w:rsidR="00406619" w:rsidRDefault="00406619" w:rsidP="009F747B"/>
    <w:p w14:paraId="0E77AD31" w14:textId="77777777" w:rsidR="00406619" w:rsidRDefault="00406619" w:rsidP="00406619">
      <w:r>
        <w:t xml:space="preserve">Wie oben schon oben mehrfach gesagt: Die Chemieindustrie muss sich entscheiden. In der Zukunft könnte die sehr große, für die Beschäftigung wichtige, deutsche Chemieindustrie sich auch entschließen, grünes Naphtha und grünes Methanol aus Texas, Ägypten, Marokko, </w:t>
      </w:r>
      <w:proofErr w:type="gramStart"/>
      <w:r>
        <w:t>Saudi Arabien</w:t>
      </w:r>
      <w:proofErr w:type="gramEnd"/>
      <w:r>
        <w:t xml:space="preserve">, Oman, Brasilien, China, Indien etc. importieren, damit könnte man in Deutschland auf den Aufbau von erneuerbaren Energien verzichten. Man könnte auch für eine gewisse Zeit blauen Ammoniak der </w:t>
      </w:r>
      <w:r>
        <w:lastRenderedPageBreak/>
        <w:t xml:space="preserve">zu Wasserstoff umgewandelt wird, blaues Ethylen, blaues Propylen, blaues Naphtha und blaues Methanol importieren, solange die USA CO2 in den Boden pumpt. Aber: damit wäre man Ausland abhängig und die Chemieindustrie gehört eben irgendwie zu Deutschland, zu Belgien, den Niederlanden und zu Frankreich. Und: Die Herstellung im Ausland hat Nachteile, die Industrie könnte sich ganz ins Ausland verlagern. Aber: </w:t>
      </w:r>
      <w:r w:rsidRPr="00A11254">
        <w:rPr>
          <w:u w:val="single"/>
        </w:rPr>
        <w:t xml:space="preserve">Dagegen </w:t>
      </w:r>
      <w:r>
        <w:rPr>
          <w:u w:val="single"/>
        </w:rPr>
        <w:t>kann man sich mit den</w:t>
      </w:r>
      <w:r w:rsidRPr="00A11254">
        <w:rPr>
          <w:u w:val="single"/>
        </w:rPr>
        <w:t xml:space="preserve"> </w:t>
      </w:r>
      <w:r>
        <w:rPr>
          <w:u w:val="single"/>
        </w:rPr>
        <w:t>CBAM-</w:t>
      </w:r>
      <w:r w:rsidRPr="00A11254">
        <w:rPr>
          <w:u w:val="single"/>
        </w:rPr>
        <w:t>Zöllen wehren</w:t>
      </w:r>
      <w:r>
        <w:t xml:space="preserve"> und mit dem CBAM den Import der Grundstoffe Naphtha, Methanol und Ammoniak erlauben und dann für alle Spezialchemikalien, etwa teure Farben und Lacke, hohe CBAM-Zölle erheben (wenn denn die Chemieindustrie dann ins CBAM einbezogen wurde, derzeit ist sie es noch nicht, siehe oben). Ein Problem entsteht allerdings dann, wenn die Spezialchemikalien auch klar grün im Ausland produziert wurden. Dann müsste man sie reinlassen. </w:t>
      </w:r>
      <w:r w:rsidRPr="003C23C6">
        <w:rPr>
          <w:b/>
          <w:bCs/>
        </w:rPr>
        <w:t>Dann könnte man aber immer noch mit Antidumpingzöllen etc. dagegen vorgehen</w:t>
      </w:r>
      <w:r>
        <w:t>. So könnte man einen Teil weiterverarbeitenden Chemieindustrie in Europa weiter aufrechterhalten, ohne Grundstoffherstellung. Ich denke aber nicht, dass die deutsche Chemieindustrie wirklich auf ihre Grundstoffherstellung in Europa ganz verzichten will. Die Chemieindustrie äußert etwa in Transformation der Chemie 2023, dass sie mit einem „wesentlichen Teil der Basischemie“</w:t>
      </w:r>
      <w:r>
        <w:rPr>
          <w:rStyle w:val="Funotenzeichen"/>
        </w:rPr>
        <w:footnoteReference w:id="2500"/>
      </w:r>
      <w:r>
        <w:t xml:space="preserve"> in Deutschland bleiben will.</w:t>
      </w:r>
    </w:p>
    <w:p w14:paraId="203BF1B1" w14:textId="77777777" w:rsidR="00406619" w:rsidRDefault="00406619" w:rsidP="00406619"/>
    <w:p w14:paraId="59182607" w14:textId="36B3D251" w:rsidR="00406619" w:rsidRDefault="00406619" w:rsidP="00406619">
      <w:r>
        <w:t xml:space="preserve">Dazu kommt, dass die Chemieindustrie selbst die </w:t>
      </w:r>
      <w:r w:rsidRPr="00FF62B1">
        <w:rPr>
          <w:b/>
          <w:bCs/>
        </w:rPr>
        <w:t>Kreislaufwirtschaft</w:t>
      </w:r>
      <w:r>
        <w:t xml:space="preserve"> vorgeschlagen hat. Wenn die Chemieindustrie nun doch darauf verzichten will, auf die Nutzung von CO2 in der grünen Synthesegasherstellung bei Fischer-Tropsch und Methanol-zu-Olefinen zu verzichten, dann können 40 Mill. Tonnen CO2 möglicherweise in Zukunft nicht mehr genutzt werden und müssen mit CCS verpresst werden. Dies ist allerdings gar nicht möglich, weil es diese </w:t>
      </w:r>
      <w:proofErr w:type="gramStart"/>
      <w:r>
        <w:t>CCS Lagerstätten</w:t>
      </w:r>
      <w:proofErr w:type="gramEnd"/>
      <w:r>
        <w:t xml:space="preserve"> in Europa, bislang jedenfalls, nicht gibt. </w:t>
      </w:r>
      <w:r w:rsidRPr="00FF62B1">
        <w:rPr>
          <w:u w:val="single"/>
        </w:rPr>
        <w:t>Die Chemieindustrie muss also grün umgebaut werden, weil sie in der Lage ist, in ihren Produkten CO2 temporär zu ‚parken‘.</w:t>
      </w:r>
    </w:p>
    <w:p w14:paraId="00E8D4B8" w14:textId="77777777" w:rsidR="00406619" w:rsidRDefault="00406619" w:rsidP="002476D9"/>
    <w:p w14:paraId="2A1AF1B6" w14:textId="77777777" w:rsidR="00791890" w:rsidRDefault="00791890" w:rsidP="00791890">
      <w:r>
        <w:t xml:space="preserve">Die Einführung der CBAM-Klimazölle kann den Umbau nicht steuern. Es schützt zwar vor billigem Naphtha oder Ethylen aus dem Ausland, sodass man sich eigentlich trauen könnte, in der EU auf einem höheren Preisniveau Naphtha Ethylen und Propylen über Fischer-Tropsch oder Methanol zu Olefinen herzustellen, denn die grauen Importe würde stark verteuert. Das CBAM schützt aber nicht vor billigen Öl- und Erdgasimporten, damit können die Raffinerien- und Chemiefirmen weiter Naphtha und Ethylen im Binnenland herstellen und vielleicht sogar von höheren Preisniveaus der CBAM-Klimazölle profitieren, wenn diese bereits früher eingeführt werden. </w:t>
      </w:r>
      <w:r w:rsidRPr="005C1ABA">
        <w:rPr>
          <w:u w:val="single"/>
        </w:rPr>
        <w:t xml:space="preserve">Die Chemieindustrie ist mit organischen Grundchemikalien und Düngemitteln in das CBAM aber </w:t>
      </w:r>
      <w:r>
        <w:rPr>
          <w:u w:val="single"/>
        </w:rPr>
        <w:t xml:space="preserve">bis jetzt </w:t>
      </w:r>
      <w:r w:rsidRPr="005C1ABA">
        <w:rPr>
          <w:u w:val="single"/>
        </w:rPr>
        <w:t>noch nicht einbezogen, obwohl dies eigentlich vorgesehen war</w:t>
      </w:r>
      <w:r>
        <w:t>, angeführt wird der Grund, dass es Probleme bei der Feststellung der mit der Herstellung der Waren verbundenen ‚grauen‘ Emissionen gibt – unter das CBAM fällt aber ‚grauer‘ Wasserstoff, um nicht das Hochfahren von ‚grünem‘ Wasserstoff zu gefährden.</w:t>
      </w:r>
      <w:r>
        <w:rPr>
          <w:rStyle w:val="Funotenzeichen"/>
        </w:rPr>
        <w:footnoteReference w:id="2501"/>
      </w:r>
      <w:r>
        <w:t xml:space="preserve"> (nicht geklärt werden kann hier, was mit blauem Wasserstoff, blauem Ammoniak, blauen Ethylen, blauen Propylen ist )</w:t>
      </w:r>
    </w:p>
    <w:p w14:paraId="1C976E84" w14:textId="77777777" w:rsidR="00791890" w:rsidRDefault="00791890" w:rsidP="002476D9"/>
    <w:p w14:paraId="1A5E2E17" w14:textId="77777777" w:rsidR="00791890" w:rsidRDefault="00791890" w:rsidP="002476D9"/>
    <w:p w14:paraId="311973C9" w14:textId="0A913D49" w:rsidR="00872A76" w:rsidRDefault="00872A76" w:rsidP="002476D9">
      <w:r>
        <w:t>16.6 Klimaschutzverträge</w:t>
      </w:r>
    </w:p>
    <w:p w14:paraId="7A34FDDD" w14:textId="77777777" w:rsidR="00872A76" w:rsidRDefault="00872A76" w:rsidP="002476D9"/>
    <w:p w14:paraId="4B3A4A9E" w14:textId="1DAEFA16" w:rsidR="00B66357" w:rsidRDefault="00F669A8" w:rsidP="002476D9">
      <w:r>
        <w:t>In Deutschland wurde mit Klimaschutzverträgen der Umbau oder Neubau von Anlagen für die Nutzung von Wasserstoff gefördert und Mehrkosten, die ein klimaschonender Betrieb mit sich bringt, für 15 Jahre bezahlt.</w:t>
      </w:r>
      <w:r>
        <w:rPr>
          <w:rStyle w:val="Funotenzeichen"/>
        </w:rPr>
        <w:footnoteReference w:id="2502"/>
      </w:r>
      <w:r>
        <w:t xml:space="preserve"> Das Programm ist u.a. für energieintensive Unternehmen, u.a. aus der Glas-, Papier-, und Zementindustrie gedacht. In der ersten Ausschreibungsrunde wurden ab März 2024 4 Mrd. Euro vergeben, im Herbst 2024 19 Mrd. Euro</w:t>
      </w:r>
      <w:r w:rsidRPr="0091775D">
        <w:t>.</w:t>
      </w:r>
      <w:r>
        <w:rPr>
          <w:rStyle w:val="Funotenzeichen"/>
        </w:rPr>
        <w:footnoteReference w:id="2503"/>
      </w:r>
      <w:r>
        <w:t xml:space="preserve"> </w:t>
      </w:r>
      <w:r w:rsidR="00EF471D">
        <w:t xml:space="preserve">CCS oder </w:t>
      </w:r>
      <w:proofErr w:type="gramStart"/>
      <w:r w:rsidR="00EF471D">
        <w:t>CCU Vorhaben</w:t>
      </w:r>
      <w:proofErr w:type="gramEnd"/>
      <w:r w:rsidR="00EF471D">
        <w:t xml:space="preserve"> oder Industriedampf sind nun förderfähig, also könnte auch </w:t>
      </w:r>
      <w:proofErr w:type="gramStart"/>
      <w:r w:rsidR="00EF471D">
        <w:t>die Zement</w:t>
      </w:r>
      <w:proofErr w:type="gramEnd"/>
      <w:r w:rsidR="00EF471D">
        <w:t xml:space="preserve"> und Kalkindustrie berücksichtigt werden.</w:t>
      </w:r>
      <w:r w:rsidR="00EF471D">
        <w:rPr>
          <w:rStyle w:val="Funotenzeichen"/>
        </w:rPr>
        <w:footnoteReference w:id="2504"/>
      </w:r>
      <w:r w:rsidR="00EF471D">
        <w:t xml:space="preserve"> </w:t>
      </w:r>
      <w:r>
        <w:t>Siehe auch die Webseite: Klimaschutzverträge.</w:t>
      </w:r>
      <w:r>
        <w:rPr>
          <w:rStyle w:val="Funotenzeichen"/>
        </w:rPr>
        <w:footnoteReference w:id="2505"/>
      </w:r>
      <w:r>
        <w:t xml:space="preserve"> </w:t>
      </w:r>
      <w:r w:rsidR="00B66357">
        <w:t>Es ist gut, wenn der Klima- und Transformationsfond KTF nun wieder mit 100 Mrd. Euro aufgefüllt ist</w:t>
      </w:r>
      <w:r w:rsidR="00872A76">
        <w:t>.</w:t>
      </w:r>
      <w:r w:rsidR="00B66357">
        <w:rPr>
          <w:rStyle w:val="Funotenzeichen"/>
        </w:rPr>
        <w:footnoteReference w:id="2506"/>
      </w:r>
      <w:r w:rsidR="00D50FEB">
        <w:t xml:space="preserve"> </w:t>
      </w:r>
    </w:p>
    <w:p w14:paraId="3C4100F3" w14:textId="77777777" w:rsidR="003C23C6" w:rsidRDefault="003C23C6" w:rsidP="00873B99"/>
    <w:p w14:paraId="46071134" w14:textId="7C43657C" w:rsidR="00872A76" w:rsidRDefault="003C23C6" w:rsidP="00873B99">
      <w:r>
        <w:t xml:space="preserve">Ich kann </w:t>
      </w:r>
      <w:r w:rsidR="00872A76">
        <w:t xml:space="preserve">Rechnungen </w:t>
      </w:r>
      <w:r>
        <w:t>der</w:t>
      </w:r>
      <w:r w:rsidR="009857EA">
        <w:t xml:space="preserve"> Klimaschutzverträge nicht</w:t>
      </w:r>
      <w:r w:rsidR="00872A76">
        <w:t xml:space="preserve"> nachvollziehen </w:t>
      </w:r>
      <w:r w:rsidR="00E37540">
        <w:t xml:space="preserve">bzw. die einzelnen Verträge </w:t>
      </w:r>
      <w:r>
        <w:t>sind nicht</w:t>
      </w:r>
      <w:r w:rsidR="00E37540">
        <w:t xml:space="preserve"> öffentlich</w:t>
      </w:r>
      <w:r>
        <w:t>. Es macht deshalb</w:t>
      </w:r>
      <w:r w:rsidR="00872A76">
        <w:t xml:space="preserve"> </w:t>
      </w:r>
      <w:r w:rsidR="009857EA">
        <w:t>wenig Sinn, wenn ich die</w:t>
      </w:r>
      <w:r w:rsidR="00872A76">
        <w:t xml:space="preserve"> </w:t>
      </w:r>
      <w:r w:rsidR="00FF2200">
        <w:t>Klimaschutzverträge</w:t>
      </w:r>
      <w:r w:rsidR="009857EA">
        <w:t xml:space="preserve"> pauschal</w:t>
      </w:r>
      <w:r w:rsidR="00872A76">
        <w:t xml:space="preserve"> kritisier</w:t>
      </w:r>
      <w:r w:rsidR="009857EA">
        <w:t>e</w:t>
      </w:r>
      <w:r w:rsidR="00872A76">
        <w:t>. Ich habe</w:t>
      </w:r>
      <w:r w:rsidR="00EF471D">
        <w:t xml:space="preserve"> </w:t>
      </w:r>
      <w:r>
        <w:t xml:space="preserve">allerdings </w:t>
      </w:r>
      <w:r w:rsidR="00872A76">
        <w:t xml:space="preserve">schon </w:t>
      </w:r>
      <w:r w:rsidR="00EF471D">
        <w:t xml:space="preserve">oben </w:t>
      </w:r>
      <w:r w:rsidR="00872A76">
        <w:t xml:space="preserve">aus Agora Energiewende 2021 zitiert, die geschrieben haben, dass Klimaschutzverträge für den Umbau von Ammoniak </w:t>
      </w:r>
      <w:r w:rsidR="00EF471D">
        <w:t>sehr</w:t>
      </w:r>
      <w:r w:rsidR="00872A76">
        <w:t xml:space="preserve"> teuer wären</w:t>
      </w:r>
      <w:r>
        <w:t xml:space="preserve"> und deshalb ‚ein unrealistisches Szenario‘</w:t>
      </w:r>
      <w:r w:rsidR="00872A76">
        <w:t>.</w:t>
      </w:r>
    </w:p>
    <w:p w14:paraId="6273379D" w14:textId="1D709AEC" w:rsidR="00872A76" w:rsidRDefault="00791890" w:rsidP="00873B99">
      <w:r w:rsidRPr="00E554F1">
        <w:lastRenderedPageBreak/>
        <w:t>Wichtig ist es auch zu wissen, dass, zumindest in der derzeitigen Form, die Klimaschutzverträge nicht</w:t>
      </w:r>
      <w:r w:rsidR="00E554F1" w:rsidRPr="00E554F1">
        <w:t xml:space="preserve"> so gut finanziell ausgestattet sind, dass sie nicht</w:t>
      </w:r>
      <w:r w:rsidRPr="00E554F1">
        <w:t xml:space="preserve"> das zentrale Instrument zum Umbau der Industrie sind und nicht die ganze (energieintensive) Industrie Deutschlands umbauen können</w:t>
      </w:r>
      <w:r w:rsidR="00E554F1">
        <w:t>.</w:t>
      </w:r>
      <w:r>
        <w:t xml:space="preserve"> </w:t>
      </w:r>
    </w:p>
    <w:p w14:paraId="78EE6436" w14:textId="77777777" w:rsidR="00791890" w:rsidRDefault="00791890" w:rsidP="00873B99"/>
    <w:p w14:paraId="7C3056FD" w14:textId="29C4E805" w:rsidR="00D50FEB" w:rsidRDefault="00E554F1" w:rsidP="00873B99">
      <w:r>
        <w:t xml:space="preserve">Selbst wenn man die Finanzierung massiv erhöhen würde, </w:t>
      </w:r>
      <w:r w:rsidR="003C23C6">
        <w:t>erscheint es</w:t>
      </w:r>
      <w:r w:rsidR="00E37540">
        <w:t xml:space="preserve"> </w:t>
      </w:r>
      <w:r>
        <w:t xml:space="preserve">mir </w:t>
      </w:r>
      <w:r w:rsidR="003C23C6">
        <w:t xml:space="preserve">als </w:t>
      </w:r>
      <w:r w:rsidR="00E37540">
        <w:t xml:space="preserve">offensichtlich, dass ein ungleichzeitiger </w:t>
      </w:r>
      <w:r w:rsidR="00191212">
        <w:t xml:space="preserve">Umbau </w:t>
      </w:r>
      <w:r w:rsidR="00791890">
        <w:t>h</w:t>
      </w:r>
      <w:r>
        <w:t>öhere</w:t>
      </w:r>
      <w:r w:rsidR="00791890">
        <w:t xml:space="preserve"> Kosten verursacht</w:t>
      </w:r>
      <w:r>
        <w:t>, als ein zeitlich koordinierter Umbau</w:t>
      </w:r>
      <w:r w:rsidR="00E37540">
        <w:t xml:space="preserve">, selbst dann, wenn der Anlagenneubau noch zusätzlich vom Staat subventioniert wurde. Immerhin geht </w:t>
      </w:r>
      <w:r w:rsidR="00EF471D">
        <w:t xml:space="preserve">es in Deutschland </w:t>
      </w:r>
      <w:r w:rsidR="00E37540">
        <w:t>um</w:t>
      </w:r>
      <w:r w:rsidR="00691A66">
        <w:t xml:space="preserve"> </w:t>
      </w:r>
      <w:r w:rsidR="005C5561">
        <w:t>20 neuen Direktreduktions</w:t>
      </w:r>
      <w:r w:rsidR="00691A66">
        <w:t>tahl</w:t>
      </w:r>
      <w:r w:rsidR="005C5561">
        <w:t>werke</w:t>
      </w:r>
      <w:r w:rsidR="00691A66">
        <w:t xml:space="preserve"> und </w:t>
      </w:r>
      <w:r w:rsidR="005C5561">
        <w:t xml:space="preserve">10 </w:t>
      </w:r>
      <w:r w:rsidR="00B66357">
        <w:t xml:space="preserve">oder 13 </w:t>
      </w:r>
      <w:r w:rsidR="005C5561">
        <w:t xml:space="preserve">Steamcracker der </w:t>
      </w:r>
      <w:r w:rsidR="00691A66">
        <w:t>Chemie</w:t>
      </w:r>
      <w:r w:rsidR="005C5561">
        <w:rPr>
          <w:rStyle w:val="Funotenzeichen"/>
        </w:rPr>
        <w:footnoteReference w:id="2507"/>
      </w:r>
      <w:r w:rsidR="00691A66">
        <w:t xml:space="preserve"> (und </w:t>
      </w:r>
      <w:r w:rsidR="003464E3">
        <w:t>53</w:t>
      </w:r>
      <w:r w:rsidR="00691A66">
        <w:t xml:space="preserve"> Zement</w:t>
      </w:r>
      <w:r w:rsidR="003464E3">
        <w:t>werke</w:t>
      </w:r>
      <w:r w:rsidR="005C5561">
        <w:rPr>
          <w:rStyle w:val="Funotenzeichen"/>
        </w:rPr>
        <w:footnoteReference w:id="2508"/>
      </w:r>
      <w:r w:rsidR="00E37540">
        <w:t xml:space="preserve">, bei denen bei den neuen </w:t>
      </w:r>
      <w:r w:rsidR="00EF471D">
        <w:t xml:space="preserve">Richtlinien </w:t>
      </w:r>
      <w:r w:rsidR="00E37540">
        <w:t>Klimaschutzverträgen nun auch Mehrkosten durch CCS bezahlt werden</w:t>
      </w:r>
      <w:r w:rsidR="00791890">
        <w:t>)</w:t>
      </w:r>
      <w:r w:rsidR="00E37540">
        <w:t xml:space="preserve">. </w:t>
      </w:r>
    </w:p>
    <w:p w14:paraId="63CF741C" w14:textId="77777777" w:rsidR="00D50FEB" w:rsidRDefault="00D50FEB" w:rsidP="00873B99"/>
    <w:p w14:paraId="45C07C01" w14:textId="77777777" w:rsidR="00E554F1" w:rsidRDefault="00E554F1" w:rsidP="00873B99">
      <w:r>
        <w:t xml:space="preserve">Es gibt auch kostendämpfende Faktoren bei den Klimaschutzverträgen. </w:t>
      </w:r>
      <w:r w:rsidR="00191212">
        <w:t xml:space="preserve">Die </w:t>
      </w:r>
      <w:r w:rsidR="009D4D9F">
        <w:t xml:space="preserve">Werke </w:t>
      </w:r>
      <w:r w:rsidR="00191212">
        <w:t xml:space="preserve">müssten die Auktion sodann gewinnen und </w:t>
      </w:r>
      <w:r w:rsidR="009D4D9F">
        <w:t>zu irgendeinem Zeitpunkt zwischen 2025 und 2035 einen Klimaschutzvertrag</w:t>
      </w:r>
      <w:r w:rsidR="00D50FEB">
        <w:t xml:space="preserve"> bekommen, </w:t>
      </w:r>
      <w:r w:rsidR="00791890">
        <w:t>je später man einsteigt, desto kürzer läuft der Vertrag, nicht alle Verträge laufen somit 15 Jahre, die spart Kosten</w:t>
      </w:r>
      <w:r w:rsidR="009D4D9F">
        <w:t xml:space="preserve">. </w:t>
      </w:r>
      <w:r w:rsidR="00D50FEB">
        <w:t xml:space="preserve">Ab ca. 2030 wirkt das ETS, sodass die Preise etwas ansteigen und die </w:t>
      </w:r>
      <w:r w:rsidR="003C23C6">
        <w:t>staatlich zu zahlenden Klimaschutzvertrag-</w:t>
      </w:r>
      <w:r w:rsidR="00D50FEB">
        <w:t xml:space="preserve">Kompensationsgelder etwas absinken. </w:t>
      </w:r>
    </w:p>
    <w:p w14:paraId="3EBA8CBD" w14:textId="77777777" w:rsidR="00E554F1" w:rsidRDefault="00E554F1" w:rsidP="00873B99"/>
    <w:p w14:paraId="783840D8" w14:textId="1558DA8A" w:rsidR="004A01E2" w:rsidRDefault="00D50FEB" w:rsidP="00873B99">
      <w:r>
        <w:t xml:space="preserve">Geht man </w:t>
      </w:r>
      <w:r w:rsidR="003C23C6">
        <w:t>bei Stahl von</w:t>
      </w:r>
      <w:r>
        <w:t xml:space="preserve"> 5 teuren Stahlverträgen und bei</w:t>
      </w:r>
      <w:r w:rsidR="00E554F1">
        <w:t xml:space="preserve">m Umbau von </w:t>
      </w:r>
      <w:r>
        <w:t xml:space="preserve">10 Steamcrackern, von 3 teuren Verträgen </w:t>
      </w:r>
      <w:r w:rsidR="00E554F1">
        <w:t xml:space="preserve">jeweils hinsichtlich der Heruntersubventionierung von Preisen </w:t>
      </w:r>
      <w:r>
        <w:t>aus</w:t>
      </w:r>
      <w:r w:rsidR="003C23C6">
        <w:t>, dann kann man</w:t>
      </w:r>
      <w:r>
        <w:t xml:space="preserve"> einfach mal </w:t>
      </w:r>
      <w:proofErr w:type="spellStart"/>
      <w:r>
        <w:t>pi</w:t>
      </w:r>
      <w:proofErr w:type="spellEnd"/>
      <w:r>
        <w:t xml:space="preserve"> mal Daumen</w:t>
      </w:r>
      <w:r w:rsidR="003C23C6">
        <w:t xml:space="preserve"> mal rechnen</w:t>
      </w:r>
      <w:r>
        <w:t xml:space="preserve">: </w:t>
      </w:r>
      <w:r w:rsidR="00E554F1">
        <w:t>1</w:t>
      </w:r>
      <w:r>
        <w:t xml:space="preserve"> Mrd. pro Firma bei Stahl, mal 5 = </w:t>
      </w:r>
      <w:r w:rsidR="00E554F1">
        <w:t>5</w:t>
      </w:r>
      <w:r>
        <w:t xml:space="preserve"> Mrd. 10 Mrd. bei Chemie, mal 3 = 30 Mrd., insgesamt </w:t>
      </w:r>
      <w:r w:rsidR="00E554F1">
        <w:t>35</w:t>
      </w:r>
      <w:r>
        <w:t xml:space="preserve"> Mrd. pro Jahr, sagen wir mal 3 Jahren lang: </w:t>
      </w:r>
      <w:r w:rsidR="00E554F1">
        <w:t>105</w:t>
      </w:r>
      <w:r>
        <w:t xml:space="preserve"> Mrd. </w:t>
      </w:r>
      <w:r w:rsidR="00791890">
        <w:t>Aber mit</w:t>
      </w:r>
      <w:r w:rsidR="003C23C6">
        <w:t xml:space="preserve"> 1</w:t>
      </w:r>
      <w:r w:rsidR="00E554F1">
        <w:t>05</w:t>
      </w:r>
      <w:r w:rsidR="003C23C6">
        <w:t xml:space="preserve"> Mrd. könnte</w:t>
      </w:r>
      <w:r w:rsidR="00791890">
        <w:t xml:space="preserve"> man bei mit</w:t>
      </w:r>
      <w:r w:rsidR="003C23C6">
        <w:t xml:space="preserve"> </w:t>
      </w:r>
      <w:r w:rsidR="00791890">
        <w:t xml:space="preserve">einem </w:t>
      </w:r>
      <w:r w:rsidR="003C23C6">
        <w:t>koordinierten Plan bereits alle deutschen Stahlwerke</w:t>
      </w:r>
      <w:r w:rsidR="00E554F1">
        <w:t xml:space="preserve"> </w:t>
      </w:r>
      <w:r w:rsidR="003C23C6">
        <w:t>umbauen</w:t>
      </w:r>
      <w:r w:rsidR="00E554F1">
        <w:t xml:space="preserve"> und mit den Klimaschutzverträgen hätte man nur für einige Verträge die Preise auf das vor-grüne Niveau heruntersubventioniert. Wenn man einen</w:t>
      </w:r>
      <w:r>
        <w:t xml:space="preserve"> Plan hat und </w:t>
      </w:r>
      <w:r w:rsidR="00E554F1">
        <w:t>dann kann man auch</w:t>
      </w:r>
      <w:r>
        <w:t xml:space="preserve"> Rationalisierung und Massenfertigung </w:t>
      </w:r>
      <w:r w:rsidR="00E554F1">
        <w:t>erzielen und dadurch Kosten senken</w:t>
      </w:r>
      <w:r>
        <w:t>. Auf der anderen Seite k</w:t>
      </w:r>
      <w:r w:rsidR="003C23C6">
        <w:t>ann</w:t>
      </w:r>
      <w:r>
        <w:t xml:space="preserve"> es durch eine Massierung von Aufträge</w:t>
      </w:r>
      <w:r w:rsidR="003C23C6">
        <w:t>n</w:t>
      </w:r>
      <w:r w:rsidR="004A01E2">
        <w:t xml:space="preserve"> </w:t>
      </w:r>
      <w:r>
        <w:t xml:space="preserve">zu einem Zeitpunkt </w:t>
      </w:r>
      <w:r w:rsidR="004A01E2">
        <w:t xml:space="preserve">durch einen Plan </w:t>
      </w:r>
      <w:r>
        <w:t>ebenfalls zu Kostensteigerungen kommt.</w:t>
      </w:r>
      <w:r w:rsidR="004A01E2">
        <w:t xml:space="preserve"> </w:t>
      </w:r>
    </w:p>
    <w:p w14:paraId="0FD6E25A" w14:textId="77777777" w:rsidR="003C23C6" w:rsidRDefault="003C23C6" w:rsidP="00873B99"/>
    <w:p w14:paraId="751FA1D0" w14:textId="77777777" w:rsidR="00E554F1" w:rsidRDefault="00E554F1" w:rsidP="00E554F1">
      <w:r>
        <w:t xml:space="preserve">Man fragt sich weiterhin bei Klimaschutzverträgen, ob das Projektvolumen ausreicht: Stellt man sich bis 2030 jedes Jahr eine Ausschreibung mit 50 Projekten vor, also 5 * 50 = 250 Projekte, pro Ausschreibung 15 Mrd. (über die 15 Jahre Laufzeit), von 2025 bis 2030 das sind 5 * 15 Mrd. = 75 Mrd. Euro … 250 Projekte, das ist ein Tropfen auf dem heißen Stein bei der Menge von Industrieunternehmen in Deutschland. </w:t>
      </w:r>
    </w:p>
    <w:p w14:paraId="53C81526" w14:textId="77777777" w:rsidR="003C23C6" w:rsidRDefault="003C23C6" w:rsidP="004A01E2"/>
    <w:p w14:paraId="2BBA6D54" w14:textId="49184807" w:rsidR="004A01E2" w:rsidRDefault="009D4D9F" w:rsidP="004A01E2">
      <w:r>
        <w:t xml:space="preserve">Dennoch </w:t>
      </w:r>
      <w:r w:rsidR="003C23C6">
        <w:t xml:space="preserve">sind die </w:t>
      </w:r>
      <w:r>
        <w:t xml:space="preserve">Klimaschutzverträge </w:t>
      </w:r>
      <w:r w:rsidR="003C23C6">
        <w:t xml:space="preserve">eine gute Idee, sie haben </w:t>
      </w:r>
      <w:r>
        <w:t xml:space="preserve">Signalwirkung und es werden Technologien ausprobiert, etwa die Umstellung der </w:t>
      </w:r>
      <w:r w:rsidR="003C23C6">
        <w:t>Industriewärme</w:t>
      </w:r>
      <w:r>
        <w:t xml:space="preserve"> auf Strom</w:t>
      </w:r>
      <w:r w:rsidR="003C23C6">
        <w:t xml:space="preserve"> und Wasserstoff</w:t>
      </w:r>
      <w:r>
        <w:t>. Aus meiner Sicht sollt man die Klimaschutzverträge</w:t>
      </w:r>
      <w:r w:rsidR="00791890">
        <w:t xml:space="preserve"> </w:t>
      </w:r>
      <w:proofErr w:type="gramStart"/>
      <w:r w:rsidR="00791890">
        <w:t>weiter</w:t>
      </w:r>
      <w:r>
        <w:t xml:space="preserve"> </w:t>
      </w:r>
      <w:r w:rsidR="003C23C6">
        <w:t>verwenden</w:t>
      </w:r>
      <w:proofErr w:type="gramEnd"/>
      <w:r w:rsidR="00791890">
        <w:t>, aber in den nächsten Jahren auf</w:t>
      </w:r>
      <w:r w:rsidR="00BA1F7B">
        <w:t xml:space="preserve"> </w:t>
      </w:r>
      <w:r w:rsidR="00823342">
        <w:t>2</w:t>
      </w:r>
      <w:r w:rsidR="00BA1F7B">
        <w:t xml:space="preserve"> Mrd. pro Aktion begrenzen</w:t>
      </w:r>
      <w:r>
        <w:t xml:space="preserve">. </w:t>
      </w:r>
      <w:r w:rsidR="00E554F1" w:rsidRPr="00E554F1">
        <w:t>W</w:t>
      </w:r>
      <w:r w:rsidR="00245AFC" w:rsidRPr="00E554F1">
        <w:rPr>
          <w:u w:val="single"/>
        </w:rPr>
        <w:t xml:space="preserve">enn endlich 2030 mehr Wasserstoff da ist und mehr erneuerbare Energien ab 2030 </w:t>
      </w:r>
      <w:r w:rsidR="00E554F1">
        <w:rPr>
          <w:u w:val="single"/>
        </w:rPr>
        <w:t xml:space="preserve">könnte man die </w:t>
      </w:r>
      <w:r w:rsidR="00245AFC" w:rsidRPr="00E554F1">
        <w:rPr>
          <w:u w:val="single"/>
        </w:rPr>
        <w:t xml:space="preserve">Klimaschutzverträge noch einmal hochskalieren, um vielen weitere Industrien beim Umbau zu helfen, </w:t>
      </w:r>
      <w:r w:rsidR="00245AFC" w:rsidRPr="00E554F1">
        <w:t xml:space="preserve">die </w:t>
      </w:r>
      <w:r w:rsidR="004A01E2" w:rsidRPr="00E554F1">
        <w:rPr>
          <w:u w:val="single"/>
        </w:rPr>
        <w:t xml:space="preserve">sonstigen Industrien </w:t>
      </w:r>
      <w:r w:rsidR="00245AFC" w:rsidRPr="00E554F1">
        <w:rPr>
          <w:u w:val="single"/>
        </w:rPr>
        <w:t xml:space="preserve">müssen dann </w:t>
      </w:r>
      <w:r w:rsidR="004A01E2" w:rsidRPr="00E554F1">
        <w:rPr>
          <w:u w:val="single"/>
        </w:rPr>
        <w:t>ab 2030, wenn das ETS langsam teurer wird, den Umbau dann selbst angehen</w:t>
      </w:r>
      <w:r w:rsidR="004A01E2">
        <w:t>.</w:t>
      </w:r>
    </w:p>
    <w:p w14:paraId="4B07027D" w14:textId="77777777" w:rsidR="009D4D9F" w:rsidRDefault="009D4D9F" w:rsidP="00873B99"/>
    <w:p w14:paraId="6272959B" w14:textId="164997F7" w:rsidR="00BA1F7B" w:rsidRDefault="00BA1F7B" w:rsidP="00873B99">
      <w:r>
        <w:t>Warum ich das hier so sage, wir</w:t>
      </w:r>
      <w:r w:rsidR="00884199">
        <w:t>d</w:t>
      </w:r>
      <w:r>
        <w:t xml:space="preserve"> aus meiner Sicht </w:t>
      </w:r>
      <w:r w:rsidR="009D4D9F">
        <w:t>auch aus</w:t>
      </w:r>
      <w:r>
        <w:t xml:space="preserve"> den Projekten deutlich, die in der ersten Ausschreibungsrunde gefördert wurden, deshalb nochmal hier:</w:t>
      </w:r>
    </w:p>
    <w:p w14:paraId="05AE45A8" w14:textId="77777777" w:rsidR="00491F72" w:rsidRDefault="00491F72" w:rsidP="00873B99"/>
    <w:p w14:paraId="7FCA7D0A" w14:textId="09A483F8" w:rsidR="005C5561" w:rsidRDefault="005C5561" w:rsidP="005C5561">
      <w:r>
        <w:lastRenderedPageBreak/>
        <w:t>Die erste Ausschreibungsrunde der Klimaschutzverträge (bis zum 11. Juli 2024) wird als Erfolg eingeschätzt, da 17 Gebote eingingen, für die man 5,3 Mrd. Euro hätte bereitstellen müssen. Nun werden davon 15 Projekte ausgewählt, die weniger Geld brauchen, um 1 Tonne CO2 einzusparen. In einigen dieser Projekte geht es um den Einsatz von Wasserstoff.</w:t>
      </w:r>
      <w:r>
        <w:rPr>
          <w:rStyle w:val="Funotenzeichen"/>
        </w:rPr>
        <w:footnoteReference w:id="2509"/>
      </w:r>
      <w:r>
        <w:t xml:space="preserve"> Die Firmen sind.</w:t>
      </w:r>
      <w:r>
        <w:rPr>
          <w:rStyle w:val="Funotenzeichen"/>
        </w:rPr>
        <w:footnoteReference w:id="2510"/>
      </w:r>
      <w:r>
        <w:t xml:space="preserve"> Den höchsten Einzelbetrag von 564 Mill. Euro hat die Papierfabrik Adolf Jass aus Fulda erhalten, die den für die Produktion nötigen Dampf nun mit Strom statt mit Erdgas erzeugen wird. Der geringste Betrag von 57 Mill. Euro geht an die Firma Knauf </w:t>
      </w:r>
      <w:proofErr w:type="spellStart"/>
      <w:r>
        <w:t>Insulation</w:t>
      </w:r>
      <w:proofErr w:type="spellEnd"/>
      <w:r>
        <w:t xml:space="preserve"> Operation, die ihre Öfen umrüsten will.</w:t>
      </w:r>
      <w:r>
        <w:rPr>
          <w:rStyle w:val="Funotenzeichen"/>
        </w:rPr>
        <w:footnoteReference w:id="2511"/>
      </w:r>
      <w:r>
        <w:t xml:space="preserve"> Die Glencore Nordenham Metall GmbH (Zink- und Bleihütte) wird mit 360 Mill. Euro, bei der Umstellung von Petrolkoks auf selbst hergestellte </w:t>
      </w:r>
      <w:proofErr w:type="spellStart"/>
      <w:r>
        <w:t>Biokohle</w:t>
      </w:r>
      <w:proofErr w:type="spellEnd"/>
      <w:r>
        <w:t xml:space="preserve"> und bei der Umstellung von Öl und Erdgas auf Wasserstoff unterstützt.</w:t>
      </w:r>
      <w:r>
        <w:rPr>
          <w:rStyle w:val="Funotenzeichen"/>
        </w:rPr>
        <w:footnoteReference w:id="2512"/>
      </w:r>
      <w:r>
        <w:t xml:space="preserve"> BASF will in Ludwigshafen mit 310 Mill. Euro die weltweit größte Wärmepumpe bauen, wobei erstmals eine Wärmepumpe zur Dampferzeugung eingesetzt werden soll. Bis zu 500.000 Tonne Dampf sollen pro Jahr erzeugt werden, die vor allem zur </w:t>
      </w:r>
      <w:proofErr w:type="spellStart"/>
      <w:r>
        <w:t>Ameisensäurenproduktion</w:t>
      </w:r>
      <w:proofErr w:type="spellEnd"/>
      <w:r>
        <w:t xml:space="preserve"> eingesetzt werden sollen. Die Wärme erhält die Wärmepumpe vom Chemiewerk selbst, nämlich von zwei </w:t>
      </w:r>
      <w:proofErr w:type="spellStart"/>
      <w:r>
        <w:t>Ethylencrackern</w:t>
      </w:r>
      <w:proofErr w:type="spellEnd"/>
      <w:r>
        <w:t>. Gespart werden 100.000 Tonnen Treibhausemissionen jährlich. Die Anlage soll 2027 in Betrieb gehen.</w:t>
      </w:r>
      <w:r>
        <w:rPr>
          <w:rStyle w:val="Funotenzeichen"/>
        </w:rPr>
        <w:footnoteReference w:id="2513"/>
      </w:r>
      <w:r>
        <w:t xml:space="preserve"> Die Schmiedewerke Gröditz, ein Teil des Stahlkonzerns Georgsmarienhütte, stellen Kurbelwellen u.a. für Kreuzfahrtschiffe her, zum Schmieden muss der Stahl auf 1300 Grad erhitzt werden. Hier soll in einem Schmiedeofen statt Erdgas zukünftig Wasserstoff eingesetzt werden, dafür erhalten die Schmiedewerke 173 Mill. Euro.</w:t>
      </w:r>
      <w:r>
        <w:rPr>
          <w:rStyle w:val="Funotenzeichen"/>
        </w:rPr>
        <w:footnoteReference w:id="2514"/>
      </w:r>
      <w:r>
        <w:t xml:space="preserve"> Siehe die auch die Webseite der GMH Gruppe.</w:t>
      </w:r>
      <w:r>
        <w:rPr>
          <w:rStyle w:val="Funotenzeichen"/>
        </w:rPr>
        <w:footnoteReference w:id="2515"/>
      </w:r>
      <w:r>
        <w:t xml:space="preserve"> </w:t>
      </w:r>
      <w:r w:rsidRPr="007C70BA">
        <w:t xml:space="preserve">H&amp;R Chemisch-Pharmazeutische Spezialitäten </w:t>
      </w:r>
      <w:r>
        <w:t>erhält 116 Mill. Euro für eine Power-</w:t>
      </w:r>
      <w:proofErr w:type="spellStart"/>
      <w:r>
        <w:t>to</w:t>
      </w:r>
      <w:proofErr w:type="spellEnd"/>
      <w:r>
        <w:t>-Heat Technologie, die Gas ersetzt.</w:t>
      </w:r>
      <w:r>
        <w:rPr>
          <w:rStyle w:val="Funotenzeichen"/>
        </w:rPr>
        <w:footnoteReference w:id="2516"/>
      </w:r>
      <w:r>
        <w:t xml:space="preserve"> Das Ziegelwerk </w:t>
      </w:r>
      <w:proofErr w:type="spellStart"/>
      <w:r>
        <w:t>Janinhoff</w:t>
      </w:r>
      <w:proofErr w:type="spellEnd"/>
      <w:r>
        <w:t xml:space="preserve"> erhält 60 Mill. Euro für die Ziegelproduktion mit grünem Wasserstoff.</w:t>
      </w:r>
      <w:r>
        <w:rPr>
          <w:rStyle w:val="Funotenzeichen"/>
        </w:rPr>
        <w:footnoteReference w:id="2517"/>
      </w:r>
      <w:r>
        <w:t xml:space="preserve"> Der Baumaterial- und Ziegelhersteller Wienerberger stellt in Kirchkimmen für 72 Mill. Euro eines seiner Ziegelwerke um, hier wird nun ein Ofen, der 1.100 Grad Celsius Hitze erzeugt von Gas auf Strom umgestellt.</w:t>
      </w:r>
      <w:r>
        <w:rPr>
          <w:rStyle w:val="Funotenzeichen"/>
        </w:rPr>
        <w:footnoteReference w:id="2518"/>
      </w:r>
      <w:r>
        <w:t xml:space="preserve"> Im Saint-Gobain ISOVER Glaswolle Werk in Speyer wird eine Schmelzwanne von Gas auf Strom umgestellt, weiter Prozessschritte müssen </w:t>
      </w:r>
      <w:r>
        <w:lastRenderedPageBreak/>
        <w:t>allerdings noch folgen. Im Saint-Gobain Glaswerk in Köln Porz wird ebenfalls eine Schmelzwanne von Gas auf Strom umgestellt.</w:t>
      </w:r>
      <w:r>
        <w:rPr>
          <w:rStyle w:val="Funotenzeichen"/>
        </w:rPr>
        <w:footnoteReference w:id="2519"/>
      </w:r>
      <w:r>
        <w:t xml:space="preserve"> Schumacher </w:t>
      </w:r>
      <w:proofErr w:type="spellStart"/>
      <w:r>
        <w:t>Packaging</w:t>
      </w:r>
      <w:proofErr w:type="spellEnd"/>
      <w:r>
        <w:t xml:space="preserve"> mit drei Papierfabriken für recycelte Wellpappen-Rohpapier und zwei Kartonwerke, insgesamt mit 29 Standorten, baut viele Solarkraftwerke auf, bei sich auf dem Firmengelände, in Deutschland und in Polen.</w:t>
      </w:r>
      <w:r>
        <w:rPr>
          <w:rStyle w:val="Funotenzeichen"/>
        </w:rPr>
        <w:footnoteReference w:id="2520"/>
      </w:r>
      <w:r>
        <w:t xml:space="preserve"> Durch einen 51 Mill. Klimaschutzvertrag baut Schumacher </w:t>
      </w:r>
      <w:proofErr w:type="spellStart"/>
      <w:r>
        <w:t>Packaging</w:t>
      </w:r>
      <w:proofErr w:type="spellEnd"/>
      <w:r>
        <w:t xml:space="preserve"> die Wärme auf klimaneutrale Biomasse und baut einen Solarpark am Standort auf.</w:t>
      </w:r>
      <w:r>
        <w:rPr>
          <w:rStyle w:val="Funotenzeichen"/>
        </w:rPr>
        <w:footnoteReference w:id="2521"/>
      </w:r>
      <w:r>
        <w:t xml:space="preserve"> Weitere Papierfirmen auf der Liste sind Kimberly-Clark und Drewsen Spezialpapiere. Das Tesa Werk in Norderstedt in Hamburg ist Teil des Projekts HH-WIN und wird an das Hamburger Wasserstoff Industrie Netz angeschlossen, ab 2027 sollen Klebebänder mit Hilfe von grünem Wasserstoff hergestellt werden. Die Förderhöhe konnte nicht herausgefunden werden.</w:t>
      </w:r>
      <w:r>
        <w:rPr>
          <w:rStyle w:val="Funotenzeichen"/>
        </w:rPr>
        <w:footnoteReference w:id="2522"/>
      </w:r>
      <w:r>
        <w:t xml:space="preserve"> Es fehlt noch die Südzucker AG, hier sind Informationen schwer zu finden. </w:t>
      </w:r>
    </w:p>
    <w:p w14:paraId="68FE51BE" w14:textId="77777777" w:rsidR="005C5561" w:rsidRDefault="005C5561" w:rsidP="00873B99"/>
    <w:p w14:paraId="38C76E38" w14:textId="157DA280" w:rsidR="00141B4F" w:rsidRDefault="00141B4F" w:rsidP="00873B99">
      <w:r>
        <w:t xml:space="preserve">Kurz: Dampf mit Strom statt Erdgas, </w:t>
      </w:r>
      <w:proofErr w:type="spellStart"/>
      <w:r>
        <w:t>Biokohle</w:t>
      </w:r>
      <w:proofErr w:type="spellEnd"/>
      <w:r>
        <w:t xml:space="preserve"> statt Petrolgas, Wärmepumpe zur Dampferzeugung, Wasserstoff statt Erdgas im Schmiedeofen, Wasserstoff bei Ziegelproduktion, Schmelzwanne mit Strom, Wärme aus Biomasse</w:t>
      </w:r>
      <w:r w:rsidR="00884199">
        <w:t xml:space="preserve"> und</w:t>
      </w:r>
      <w:r>
        <w:t xml:space="preserve"> Klebebänder mit Wasserstoff</w:t>
      </w:r>
      <w:r w:rsidR="00884199">
        <w:t>, für 4 Mrd. Euro</w:t>
      </w:r>
      <w:r w:rsidR="009D4D9F">
        <w:t>, enthält einige technologisch interessante Lösungen, ist nicht zu teuer, o.k. kann man so lassen</w:t>
      </w:r>
      <w:r w:rsidR="00E554F1">
        <w:t>, dennoch bleibt es ein Tropfen auf dem heißen Stein, ohne den Umbau großer Industriesektoren</w:t>
      </w:r>
      <w:r w:rsidR="009D4D9F">
        <w:t>.</w:t>
      </w:r>
    </w:p>
    <w:p w14:paraId="79E3F582" w14:textId="77777777" w:rsidR="0069349D" w:rsidRDefault="0069349D" w:rsidP="002476D9"/>
    <w:p w14:paraId="3FF7A481" w14:textId="446E9E1C" w:rsidR="007312BE" w:rsidRDefault="007312BE" w:rsidP="002476D9">
      <w:r>
        <w:t>16.7 Umbau der 30 größten Industrieanlagen in Deutschland</w:t>
      </w:r>
    </w:p>
    <w:p w14:paraId="27751673" w14:textId="77777777" w:rsidR="007312BE" w:rsidRDefault="007312BE" w:rsidP="002476D9"/>
    <w:p w14:paraId="7EDB039C" w14:textId="6C312B38" w:rsidR="00141B4F" w:rsidRDefault="004A01E2" w:rsidP="00491F72">
      <w:r>
        <w:t>Aus diesen Gründen wäre es auch nicht</w:t>
      </w:r>
      <w:r w:rsidR="00E554F1">
        <w:t xml:space="preserve"> besonders</w:t>
      </w:r>
      <w:r>
        <w:t xml:space="preserve"> hilfreich, die</w:t>
      </w:r>
      <w:r w:rsidR="00141B4F">
        <w:t xml:space="preserve"> 30 größten Industrieanlagen umzubauen, die besonders viel CO2 emittieren</w:t>
      </w:r>
      <w:r>
        <w:t>, weil auch hier die Anlagen, die umgebaut worden sind, höhere Preisniveau</w:t>
      </w:r>
      <w:r w:rsidR="00406619">
        <w:t>s</w:t>
      </w:r>
      <w:r>
        <w:t xml:space="preserve"> haben</w:t>
      </w:r>
      <w:r w:rsidR="00406619">
        <w:t xml:space="preserve"> und der Staat unter Druck geraten würde, diese Preise herunter zu subventionieren</w:t>
      </w:r>
      <w:r>
        <w:t xml:space="preserve">. </w:t>
      </w:r>
      <w:r w:rsidR="00406619">
        <w:t xml:space="preserve">Es gäbe aber eine Rettung, die es doch ermöglichen würde: </w:t>
      </w:r>
      <w:r>
        <w:t>Man könnt</w:t>
      </w:r>
      <w:r w:rsidR="00406619">
        <w:t>e</w:t>
      </w:r>
      <w:r>
        <w:t xml:space="preserve"> </w:t>
      </w:r>
      <w:r w:rsidRPr="007312BE">
        <w:rPr>
          <w:u w:val="single"/>
        </w:rPr>
        <w:t>Quoten</w:t>
      </w:r>
      <w:r w:rsidR="00406619">
        <w:t xml:space="preserve"> oder Abnahmeverpflichtungen nutzen und </w:t>
      </w:r>
      <w:r>
        <w:t xml:space="preserve">festlegen, dass die grünen Produkte der früh umgebauten Anlagen eben </w:t>
      </w:r>
      <w:proofErr w:type="gramStart"/>
      <w:r>
        <w:t>von den Industrie</w:t>
      </w:r>
      <w:proofErr w:type="gramEnd"/>
      <w:r>
        <w:t xml:space="preserve">, die diese Produkte nutzen, </w:t>
      </w:r>
      <w:r w:rsidR="00245AFC">
        <w:t xml:space="preserve">ohne Limits (unter Nutzung eines Verteilschlüssels) </w:t>
      </w:r>
      <w:r w:rsidR="007312BE">
        <w:t xml:space="preserve">gekauft werden müssten. Hier taucht </w:t>
      </w:r>
      <w:r w:rsidR="007312BE" w:rsidRPr="007312BE">
        <w:rPr>
          <w:u w:val="single"/>
        </w:rPr>
        <w:t xml:space="preserve">dann allerdings das Problem Europa auf, denn würde </w:t>
      </w:r>
      <w:r w:rsidR="00C65A6B">
        <w:rPr>
          <w:u w:val="single"/>
        </w:rPr>
        <w:t xml:space="preserve">man </w:t>
      </w:r>
      <w:r w:rsidR="007312BE" w:rsidRPr="007312BE">
        <w:rPr>
          <w:u w:val="single"/>
        </w:rPr>
        <w:t>nur die deutsche Industrie verpflichten</w:t>
      </w:r>
      <w:r w:rsidR="00E554F1">
        <w:rPr>
          <w:u w:val="single"/>
        </w:rPr>
        <w:t xml:space="preserve">, </w:t>
      </w:r>
      <w:r w:rsidR="007312BE" w:rsidRPr="007312BE">
        <w:rPr>
          <w:u w:val="single"/>
        </w:rPr>
        <w:t>hätte</w:t>
      </w:r>
      <w:r w:rsidR="00C65A6B">
        <w:rPr>
          <w:u w:val="single"/>
        </w:rPr>
        <w:t>n</w:t>
      </w:r>
      <w:r w:rsidR="007312BE" w:rsidRPr="007312BE">
        <w:rPr>
          <w:u w:val="single"/>
        </w:rPr>
        <w:t xml:space="preserve"> </w:t>
      </w:r>
      <w:r w:rsidR="00E554F1">
        <w:rPr>
          <w:u w:val="single"/>
        </w:rPr>
        <w:t>diese</w:t>
      </w:r>
      <w:r w:rsidR="00C65A6B">
        <w:rPr>
          <w:u w:val="single"/>
        </w:rPr>
        <w:t xml:space="preserve"> </w:t>
      </w:r>
      <w:r w:rsidR="007312BE" w:rsidRPr="007312BE">
        <w:rPr>
          <w:u w:val="single"/>
        </w:rPr>
        <w:t>Kostennachteile gegenüber europäischen Konkurrenten</w:t>
      </w:r>
      <w:r w:rsidR="007312BE">
        <w:t xml:space="preserve">. </w:t>
      </w:r>
      <w:r w:rsidR="00E554F1" w:rsidRPr="00E554F1">
        <w:rPr>
          <w:u w:val="single"/>
        </w:rPr>
        <w:t xml:space="preserve">Man müsste diese Idee </w:t>
      </w:r>
      <w:r w:rsidR="00E554F1">
        <w:rPr>
          <w:u w:val="single"/>
        </w:rPr>
        <w:t xml:space="preserve">also </w:t>
      </w:r>
      <w:r w:rsidR="00E554F1" w:rsidRPr="00E554F1">
        <w:rPr>
          <w:u w:val="single"/>
        </w:rPr>
        <w:t xml:space="preserve">in der ganzen EU </w:t>
      </w:r>
      <w:proofErr w:type="spellStart"/>
      <w:r w:rsidR="00E554F1" w:rsidRPr="00E554F1">
        <w:rPr>
          <w:u w:val="single"/>
        </w:rPr>
        <w:t>umsetzen</w:t>
      </w:r>
      <w:r w:rsidR="007312BE">
        <w:t>t</w:t>
      </w:r>
      <w:proofErr w:type="spellEnd"/>
      <w:r>
        <w:t xml:space="preserve">:  </w:t>
      </w:r>
    </w:p>
    <w:p w14:paraId="63399BEB" w14:textId="77777777" w:rsidR="00141B4F" w:rsidRDefault="00141B4F" w:rsidP="00491F72"/>
    <w:p w14:paraId="4A23A076" w14:textId="47B6FCC3" w:rsidR="00491F72" w:rsidRDefault="00491F72" w:rsidP="00491F72">
      <w:r>
        <w:t>Der WWF (2023) hat die 30 größten Industrieanlagen in Deutschland aufgezählt, die besonders viel CO2 emittieren, es sind: Duisburg, Thyssenkrupp Integriertes Hüttenwerk, Dampfkesselanlage, Kraftwerk Hamborn Block 5, Heizkraftwerk Duisburg Hamborn, Kokerei Duisburg Schwelgern und das Krupp Mannesmann Werk Glocke Duisburg sowie ein</w:t>
      </w:r>
      <w:r w:rsidR="00C65A6B">
        <w:t xml:space="preserve"> weiteres</w:t>
      </w:r>
      <w:r>
        <w:t xml:space="preserve"> Kraftwerk; </w:t>
      </w:r>
      <w:r w:rsidR="00C65A6B">
        <w:t xml:space="preserve">dann </w:t>
      </w:r>
      <w:proofErr w:type="spellStart"/>
      <w:r>
        <w:t>Rogesa</w:t>
      </w:r>
      <w:proofErr w:type="spellEnd"/>
      <w:r>
        <w:t xml:space="preserve"> Stahlwerk in Dillingen, dort noch ein Dillinger Hüttenwerke und ROGESA Gichtgaskraftwerk, in Dillingen noch die Zentralkokerei; Salzgitter Flachstahl und Kraftwerk; </w:t>
      </w:r>
      <w:proofErr w:type="spellStart"/>
      <w:r>
        <w:t>Acelor</w:t>
      </w:r>
      <w:proofErr w:type="spellEnd"/>
      <w:r>
        <w:t xml:space="preserve"> Mittal Stahlwerk Block 4 Bremen; </w:t>
      </w:r>
      <w:proofErr w:type="spellStart"/>
      <w:r>
        <w:t>Acelor</w:t>
      </w:r>
      <w:proofErr w:type="spellEnd"/>
      <w:r>
        <w:t xml:space="preserve"> Mittal Eisenhüttenstadt Stahlerzeugung und Dampfheizkraftwerk; Rheinkalk Werk </w:t>
      </w:r>
      <w:proofErr w:type="spellStart"/>
      <w:r>
        <w:t>Flandersbach</w:t>
      </w:r>
      <w:proofErr w:type="spellEnd"/>
      <w:r>
        <w:t xml:space="preserve"> in Wülfrath; </w:t>
      </w:r>
      <w:proofErr w:type="spellStart"/>
      <w:r>
        <w:t>Cemex</w:t>
      </w:r>
      <w:proofErr w:type="spellEnd"/>
      <w:r>
        <w:t xml:space="preserve"> Zement Rüdersdorf; Yara Brunsbüttel Ammoniakanlage; Dyckerhoff Drehöfen Deuna; Dow Chemicals, </w:t>
      </w:r>
      <w:proofErr w:type="spellStart"/>
      <w:r>
        <w:t>Ethylencracker</w:t>
      </w:r>
      <w:proofErr w:type="spellEnd"/>
      <w:r>
        <w:t xml:space="preserve">-Anlage Böhlen; Holcim Zementwerk Lägerdorf; SKW Stickstoffwerke </w:t>
      </w:r>
      <w:proofErr w:type="spellStart"/>
      <w:r>
        <w:t>Piesternitz</w:t>
      </w:r>
      <w:proofErr w:type="spellEnd"/>
      <w:r>
        <w:t xml:space="preserve"> Ammoniakanlage 1 und 2; HeidelbergCement Werk Burglengenfeld; </w:t>
      </w:r>
      <w:proofErr w:type="spellStart"/>
      <w:r>
        <w:t>Opterra</w:t>
      </w:r>
      <w:proofErr w:type="spellEnd"/>
      <w:r>
        <w:t xml:space="preserve"> Zement Karlsdorf; Basell Polyolefine </w:t>
      </w:r>
      <w:proofErr w:type="spellStart"/>
      <w:r>
        <w:t>Ethylencracker</w:t>
      </w:r>
      <w:proofErr w:type="spellEnd"/>
      <w:r>
        <w:t xml:space="preserve">-Anlage OM6 Wesseling; BASF Ammoniak-Fabrik 4 Ludwigshafen; Schwenk Zementwerk Bernburg; INEOS </w:t>
      </w:r>
      <w:proofErr w:type="spellStart"/>
      <w:r>
        <w:t>Ethylencracker</w:t>
      </w:r>
      <w:proofErr w:type="spellEnd"/>
      <w:r>
        <w:t xml:space="preserve">-Anlage Köln. Diese 30 </w:t>
      </w:r>
      <w:r>
        <w:lastRenderedPageBreak/>
        <w:t>Firmen kommen für 57,8 Mill. Tonnen CO2 auf (2022)</w:t>
      </w:r>
      <w:r>
        <w:rPr>
          <w:rStyle w:val="Funotenzeichen"/>
        </w:rPr>
        <w:footnoteReference w:id="2523"/>
      </w:r>
      <w:r>
        <w:t>, von 746 Mill. Tonnen CO2 Emissionen in Deutschland.</w:t>
      </w:r>
      <w:r>
        <w:rPr>
          <w:rStyle w:val="Funotenzeichen"/>
        </w:rPr>
        <w:footnoteReference w:id="2524"/>
      </w:r>
      <w:r w:rsidR="00884199">
        <w:t xml:space="preserve"> </w:t>
      </w:r>
    </w:p>
    <w:p w14:paraId="7AD14A7D" w14:textId="77777777" w:rsidR="00491F72" w:rsidRDefault="00491F72" w:rsidP="002476D9"/>
    <w:p w14:paraId="7886B5A8" w14:textId="687CB512" w:rsidR="007312BE" w:rsidRDefault="007312BE" w:rsidP="002476D9">
      <w:r>
        <w:t xml:space="preserve">16.8 Import von Wasserstoff u.a. durch die </w:t>
      </w:r>
      <w:proofErr w:type="spellStart"/>
      <w:r>
        <w:t>Hintco</w:t>
      </w:r>
      <w:proofErr w:type="spellEnd"/>
    </w:p>
    <w:p w14:paraId="44157963" w14:textId="77777777" w:rsidR="007312BE" w:rsidRDefault="007312BE" w:rsidP="002476D9"/>
    <w:p w14:paraId="1BA6684D" w14:textId="1F0F37E8" w:rsidR="001F0711" w:rsidRDefault="00245AFC" w:rsidP="002476D9">
      <w:r>
        <w:t xml:space="preserve">Kurz noch zur </w:t>
      </w:r>
      <w:proofErr w:type="spellStart"/>
      <w:r>
        <w:t>Hintco</w:t>
      </w:r>
      <w:proofErr w:type="spellEnd"/>
      <w:r>
        <w:t xml:space="preserve">: </w:t>
      </w:r>
      <w:r w:rsidR="00716E09">
        <w:t xml:space="preserve">Die </w:t>
      </w:r>
      <w:proofErr w:type="spellStart"/>
      <w:r w:rsidR="00716E09">
        <w:t>Hintco</w:t>
      </w:r>
      <w:proofErr w:type="spellEnd"/>
      <w:r w:rsidR="00716E09">
        <w:t xml:space="preserve"> </w:t>
      </w:r>
      <w:r w:rsidR="004B2440">
        <w:t xml:space="preserve">GmbH organisiert </w:t>
      </w:r>
      <w:r w:rsidR="00716E09">
        <w:t>Wasserstoffimporte</w:t>
      </w:r>
      <w:r w:rsidR="004B2440">
        <w:t xml:space="preserve"> </w:t>
      </w:r>
      <w:r w:rsidR="00716E09">
        <w:t xml:space="preserve">durch ein Doppelauktionsmodell. H2Global will Investitionssicherheit schaffen, durch ein sog. Doppelauktionsmodell, das langfristige Preise für ausländische Produzenten garantiert, im Binnenland an Höchstbietende verkauft, und wenn diese Preise zu niedrig liegen, den Differenzbetrag übernimmt. Dies übernimmt die </w:t>
      </w:r>
      <w:proofErr w:type="spellStart"/>
      <w:r w:rsidR="00716E09" w:rsidRPr="009C1EC5">
        <w:rPr>
          <w:u w:val="single"/>
        </w:rPr>
        <w:t>Hintco</w:t>
      </w:r>
      <w:proofErr w:type="spellEnd"/>
      <w:r w:rsidR="00716E09" w:rsidRPr="009C1EC5">
        <w:rPr>
          <w:u w:val="single"/>
        </w:rPr>
        <w:t xml:space="preserve"> GmbH</w:t>
      </w:r>
      <w:r w:rsidR="00716E09">
        <w:t xml:space="preserve"> in Leipzig.</w:t>
      </w:r>
      <w:r w:rsidR="00716E09">
        <w:rPr>
          <w:rStyle w:val="Funotenzeichen"/>
        </w:rPr>
        <w:footnoteReference w:id="2525"/>
      </w:r>
      <w:r w:rsidR="00716E09">
        <w:t xml:space="preserve"> </w:t>
      </w:r>
      <w:r w:rsidR="004B2440">
        <w:t xml:space="preserve">Dies kann dann sinnvoll sein, wenn der langfristig </w:t>
      </w:r>
      <w:r w:rsidR="00716E09">
        <w:t>garantierte Preis</w:t>
      </w:r>
      <w:r w:rsidR="004B2440">
        <w:t xml:space="preserve"> für ausländische Produzenten </w:t>
      </w:r>
      <w:r w:rsidR="001F0711">
        <w:t xml:space="preserve">relativ niedrig ist, weil er </w:t>
      </w:r>
      <w:r w:rsidR="004B2440">
        <w:t xml:space="preserve">an Produzenten </w:t>
      </w:r>
      <w:r w:rsidR="001F0711">
        <w:t xml:space="preserve">in </w:t>
      </w:r>
      <w:r w:rsidR="004B2440">
        <w:t>sog. ‚</w:t>
      </w:r>
      <w:r w:rsidR="001F0711">
        <w:t>S</w:t>
      </w:r>
      <w:r w:rsidR="004B2440">
        <w:t>we</w:t>
      </w:r>
      <w:r w:rsidR="001F0711">
        <w:t>e</w:t>
      </w:r>
      <w:r w:rsidR="004B2440">
        <w:t>t</w:t>
      </w:r>
      <w:r w:rsidR="001F0711">
        <w:t>-Spot‘-Ländern fließt, die generell hohe Erträge aus erneuerbaren Energien erzielen, viel Sonne</w:t>
      </w:r>
      <w:r w:rsidR="00AB1F1F">
        <w:t xml:space="preserve"> oder</w:t>
      </w:r>
      <w:r w:rsidR="001F0711">
        <w:t xml:space="preserve"> viel Wind</w:t>
      </w:r>
      <w:r w:rsidR="00AB1F1F">
        <w:t xml:space="preserve">, das kann in Pipelineentfernung der Oman, </w:t>
      </w:r>
      <w:proofErr w:type="gramStart"/>
      <w:r w:rsidR="00AB1F1F">
        <w:t>Saudi Arabien</w:t>
      </w:r>
      <w:proofErr w:type="gramEnd"/>
      <w:r w:rsidR="00AB1F1F">
        <w:t>, Ägypten, Algerien, Marokko, Spanien bei Solar sein oder England und Irland bei Wind</w:t>
      </w:r>
      <w:r w:rsidR="001F0711">
        <w:t xml:space="preserve">. Es steht außer Fragen, dass sich die </w:t>
      </w:r>
      <w:r w:rsidR="00716E09">
        <w:t xml:space="preserve">Risiken für eine Kreditaufnahmen </w:t>
      </w:r>
      <w:r w:rsidR="004A01E2">
        <w:t xml:space="preserve">in diesen Ländern </w:t>
      </w:r>
      <w:r w:rsidR="00716E09">
        <w:t>stark reduzier</w:t>
      </w:r>
      <w:r w:rsidR="001F0711">
        <w:t xml:space="preserve">en lassen, </w:t>
      </w:r>
      <w:r w:rsidR="00AB1F1F">
        <w:t xml:space="preserve">und sich auf die Konditionen, sprich: auch die Kosten, reduzieren lassen, </w:t>
      </w:r>
      <w:r w:rsidR="001F0711">
        <w:t xml:space="preserve">wenn die deutsche Bundesregierung die Einkünfte garantiert. </w:t>
      </w:r>
      <w:r w:rsidR="001F0711" w:rsidRPr="001F0711">
        <w:rPr>
          <w:u w:val="single"/>
        </w:rPr>
        <w:t>Um einen schnellen Hochlauf von Wasserstoffproduktion für Deutschland im Ausland möglich zu machen und um damit den Ausbau von erneuerbaren Energien in Deutschland in Grenzen zu halten, ist diese Idee also uneingeschränkt gut</w:t>
      </w:r>
      <w:r w:rsidR="00AB1F1F">
        <w:rPr>
          <w:u w:val="single"/>
        </w:rPr>
        <w:t>, wenn man eben den Preis im Auge behält</w:t>
      </w:r>
      <w:r w:rsidR="001F0711">
        <w:t xml:space="preserve">. </w:t>
      </w:r>
      <w:r w:rsidR="00424180">
        <w:t xml:space="preserve">Fragt sich </w:t>
      </w:r>
      <w:r w:rsidR="00AB1F1F">
        <w:t>trotzdem</w:t>
      </w:r>
      <w:r w:rsidR="00424180">
        <w:t>, wie teuer dies w</w:t>
      </w:r>
      <w:r w:rsidR="00AB1F1F">
        <w:t>erden kann</w:t>
      </w:r>
      <w:r w:rsidR="00424180">
        <w:t>:</w:t>
      </w:r>
    </w:p>
    <w:p w14:paraId="35051777" w14:textId="77777777" w:rsidR="001F0711" w:rsidRDefault="001F0711" w:rsidP="002476D9"/>
    <w:p w14:paraId="5CC75D86" w14:textId="0A9F9E81" w:rsidR="000916CD" w:rsidRDefault="004A01E2" w:rsidP="00424180">
      <w:r>
        <w:t xml:space="preserve">Bierdeckelrechnung: </w:t>
      </w:r>
      <w:r w:rsidR="00AB1F1F">
        <w:t>W</w:t>
      </w:r>
      <w:r w:rsidR="00EF471D">
        <w:t>ie</w:t>
      </w:r>
      <w:r w:rsidR="00251787">
        <w:t xml:space="preserve"> soll die </w:t>
      </w:r>
      <w:proofErr w:type="spellStart"/>
      <w:r w:rsidR="00251787">
        <w:t>Hintco</w:t>
      </w:r>
      <w:proofErr w:type="spellEnd"/>
      <w:r w:rsidR="00251787">
        <w:t xml:space="preserve"> </w:t>
      </w:r>
      <w:r w:rsidR="00E05EB1">
        <w:t>50 % des deutschen Wasserstoffbedarfs im Ausland mit</w:t>
      </w:r>
      <w:r w:rsidR="001F0711">
        <w:t xml:space="preserve"> langfristig garantieren Preisen</w:t>
      </w:r>
      <w:r w:rsidR="00E05EB1">
        <w:t xml:space="preserve"> vorfinanzieren, das wären </w:t>
      </w:r>
      <w:r w:rsidR="001F0711">
        <w:t>z.B.</w:t>
      </w:r>
      <w:r w:rsidR="00E05EB1">
        <w:t xml:space="preserve"> </w:t>
      </w:r>
      <w:r w:rsidR="00AB1F1F">
        <w:t xml:space="preserve">jährlich </w:t>
      </w:r>
      <w:r w:rsidR="00E05EB1">
        <w:t>5.000.000 Tonnen Wasserstoff</w:t>
      </w:r>
      <w:r w:rsidR="00AB1F1F">
        <w:t>, die pro Tonne 6000 Euro kosten könnten</w:t>
      </w:r>
      <w:r w:rsidR="00E05EB1">
        <w:t xml:space="preserve">: </w:t>
      </w:r>
      <w:r w:rsidR="00AB1F1F">
        <w:t>Wie viel kostet die Infrastruktur</w:t>
      </w:r>
      <w:r w:rsidR="007E4CF4">
        <w:t xml:space="preserve"> im Ausland</w:t>
      </w:r>
      <w:r w:rsidR="00AB1F1F">
        <w:t xml:space="preserve">? </w:t>
      </w:r>
      <w:r w:rsidR="00251787">
        <w:t>500 100 MW Elektrolyseure</w:t>
      </w:r>
      <w:r w:rsidR="00E05EB1">
        <w:t>, die 10.000 Tonnen Wasserstoff jährlich produzieren, die kosten</w:t>
      </w:r>
      <w:r w:rsidR="00251787">
        <w:t xml:space="preserve"> 100 Mill. </w:t>
      </w:r>
      <w:r w:rsidR="00E05EB1">
        <w:t>500 * 100 Mill. Euro sind</w:t>
      </w:r>
      <w:r w:rsidR="00251787">
        <w:t xml:space="preserve"> 50 Mrd. </w:t>
      </w:r>
      <w:r w:rsidR="00E05EB1">
        <w:t xml:space="preserve">Euro </w:t>
      </w:r>
      <w:r w:rsidR="00251787">
        <w:t>und die dazugehörigen erneuerbaren Energien</w:t>
      </w:r>
      <w:r w:rsidR="00E05EB1">
        <w:t xml:space="preserve"> die für jeden Elektrolyseur</w:t>
      </w:r>
      <w:r w:rsidR="00251787">
        <w:t xml:space="preserve"> 0,8 TWh</w:t>
      </w:r>
      <w:r w:rsidR="00E05EB1">
        <w:t xml:space="preserve"> jährlich bereitstellen müssen kosten wie folgt: </w:t>
      </w:r>
      <w:r w:rsidR="00251787">
        <w:t>Werder Kessin</w:t>
      </w:r>
      <w:r w:rsidR="00E05EB1">
        <w:t xml:space="preserve"> mit 0,3 TWh braucht man </w:t>
      </w:r>
      <w:proofErr w:type="gramStart"/>
      <w:r w:rsidR="00E05EB1">
        <w:t>3 mal</w:t>
      </w:r>
      <w:proofErr w:type="gramEnd"/>
      <w:r w:rsidR="00E05EB1">
        <w:t>, dann hat man 0,9 TWh, einmal Werder Kessin kostet 220 Millionen Euro. Also 220 * 3 =</w:t>
      </w:r>
      <w:r w:rsidR="00251787">
        <w:t xml:space="preserve"> 660 Mill. </w:t>
      </w:r>
      <w:r w:rsidR="00E05EB1">
        <w:t>und dann 660 Mill. *</w:t>
      </w:r>
      <w:r w:rsidR="00251787">
        <w:t xml:space="preserve"> 500 = 330 Mrd. </w:t>
      </w:r>
      <w:r w:rsidR="001F0711">
        <w:t>Insgesamt: 370 Mrd. Euro</w:t>
      </w:r>
      <w:r w:rsidR="00424180">
        <w:t xml:space="preserve"> </w:t>
      </w:r>
      <w:r w:rsidR="001F0711">
        <w:t xml:space="preserve">… </w:t>
      </w:r>
      <w:r w:rsidR="00AB1F1F">
        <w:t>die müssen</w:t>
      </w:r>
      <w:r w:rsidR="00424180">
        <w:t xml:space="preserve"> </w:t>
      </w:r>
      <w:r w:rsidR="00AB1F1F">
        <w:t xml:space="preserve">im Ausland </w:t>
      </w:r>
      <w:r w:rsidR="00424180">
        <w:t xml:space="preserve">finanziert werden, durch den Wasserstoffpreis für Deutschland … </w:t>
      </w:r>
      <w:r w:rsidR="001F0711">
        <w:t xml:space="preserve">klar ist, </w:t>
      </w:r>
      <w:r w:rsidR="00424180">
        <w:t xml:space="preserve">dies kann auch </w:t>
      </w:r>
      <w:r w:rsidR="001F0711">
        <w:t xml:space="preserve">für die </w:t>
      </w:r>
      <w:proofErr w:type="spellStart"/>
      <w:r w:rsidR="001F0711">
        <w:t>Hintco</w:t>
      </w:r>
      <w:proofErr w:type="spellEnd"/>
      <w:r w:rsidR="001F0711">
        <w:t xml:space="preserve"> teuer werden</w:t>
      </w:r>
      <w:r w:rsidR="00424180">
        <w:t xml:space="preserve"> … wenn man Glück</w:t>
      </w:r>
      <w:r w:rsidR="00AB1F1F">
        <w:t xml:space="preserve"> </w:t>
      </w:r>
      <w:r w:rsidR="009408FC">
        <w:t>hat kann man aus</w:t>
      </w:r>
      <w:r w:rsidR="00AB1F1F">
        <w:t xml:space="preserve"> günstigen Ländern</w:t>
      </w:r>
      <w:r w:rsidR="00424180">
        <w:t xml:space="preserve"> </w:t>
      </w:r>
      <w:r w:rsidR="009408FC">
        <w:t xml:space="preserve">für </w:t>
      </w:r>
      <w:r w:rsidR="00424180">
        <w:t xml:space="preserve">6000 Euro pro Tonne Wasserstoff </w:t>
      </w:r>
      <w:r w:rsidR="009408FC">
        <w:t>beziehen (korrespondierend mit einem Strompreis von 10 Cent/kWh)</w:t>
      </w:r>
      <w:r w:rsidR="00424180">
        <w:t xml:space="preserve">, dies </w:t>
      </w:r>
      <w:r w:rsidR="00AB1F1F">
        <w:t xml:space="preserve">bei </w:t>
      </w:r>
      <w:r w:rsidR="00424180">
        <w:t xml:space="preserve">5.000.000 Tonnen Wasserstoff pro Jahr gerechnet </w:t>
      </w:r>
      <w:r w:rsidR="00AB1F1F">
        <w:t>5.000.000 * 600</w:t>
      </w:r>
      <w:r>
        <w:t>0</w:t>
      </w:r>
      <w:r w:rsidR="00AB1F1F">
        <w:t xml:space="preserve"> </w:t>
      </w:r>
      <w:r w:rsidR="00424180">
        <w:t xml:space="preserve">= das sind </w:t>
      </w:r>
      <w:r w:rsidR="00AB1F1F">
        <w:t>30</w:t>
      </w:r>
      <w:r w:rsidR="00424180">
        <w:t>.000.000.000, das sind 30 Mrd. Euro (pro Jahr!!!), für den Garantiepreis, dann kommt es auf die Auktionen an, wie stark sich dies reduzieren lässt …</w:t>
      </w:r>
      <w:r w:rsidR="009408FC">
        <w:t xml:space="preserve"> … die </w:t>
      </w:r>
      <w:proofErr w:type="spellStart"/>
      <w:r w:rsidR="009408FC">
        <w:t>Hintco</w:t>
      </w:r>
      <w:proofErr w:type="spellEnd"/>
      <w:r w:rsidR="009408FC">
        <w:t xml:space="preserve"> ist </w:t>
      </w:r>
      <w:r w:rsidR="00D03354">
        <w:t xml:space="preserve">aber für den Differenzpreis erst mit insgesamt </w:t>
      </w:r>
      <w:r w:rsidR="009408FC">
        <w:t>4,4 Mrd. ausgestattet.</w:t>
      </w:r>
      <w:r w:rsidR="009408FC">
        <w:rPr>
          <w:rStyle w:val="Funotenzeichen"/>
        </w:rPr>
        <w:footnoteReference w:id="2526"/>
      </w:r>
      <w:r w:rsidR="009408FC">
        <w:t xml:space="preserve"> </w:t>
      </w:r>
    </w:p>
    <w:p w14:paraId="487ECE3E" w14:textId="77777777" w:rsidR="000916CD" w:rsidRDefault="000916CD" w:rsidP="00424180"/>
    <w:p w14:paraId="1105F2D0" w14:textId="5E852637" w:rsidR="007E4CF4" w:rsidRDefault="007E4CF4" w:rsidP="007E4CF4">
      <w:r>
        <w:t xml:space="preserve">Oben wurde in Teil 2 bei den Elektrolyseuren geklärt, dass bis 2027 128.000 Tonnen grüner Wasserstoff in Deutschland verfügbar sein werden, dies reicht tatsächlich nur für eine </w:t>
      </w:r>
      <w:proofErr w:type="spellStart"/>
      <w:r>
        <w:t>Midrex</w:t>
      </w:r>
      <w:proofErr w:type="spellEnd"/>
      <w:r>
        <w:t xml:space="preserve">-Direktreduktions-Stahlanlage (dazu muss in Duisburg auch noch der Thyssen Nucera Elektrolyseur fertig werden, aufgrund Krise dort, könnte das gar nicht klappen). Dazu kommen durch die </w:t>
      </w:r>
      <w:proofErr w:type="spellStart"/>
      <w:r>
        <w:t>Hintco</w:t>
      </w:r>
      <w:proofErr w:type="spellEnd"/>
      <w:r>
        <w:t xml:space="preserve"> </w:t>
      </w:r>
      <w:r>
        <w:lastRenderedPageBreak/>
        <w:t xml:space="preserve">2027 19.500 Tonnen und dann 2028 40.000 Wasserstoff aus Ägypten, durch die SEFE organisiert ab 2030 200.000 grüner Wasserstoff aus </w:t>
      </w:r>
      <w:proofErr w:type="gramStart"/>
      <w:r>
        <w:t>Saudi Arabien</w:t>
      </w:r>
      <w:proofErr w:type="gramEnd"/>
      <w:r>
        <w:t xml:space="preserve"> und 200.000 Tonnen Wasserstoff in Form von Ammoniak aus Ägypten. Es kommt also Bewegung in die Sache. </w:t>
      </w:r>
    </w:p>
    <w:p w14:paraId="478135CE" w14:textId="77777777" w:rsidR="007E4CF4" w:rsidRDefault="007E4CF4" w:rsidP="00424180"/>
    <w:p w14:paraId="34AF01A0" w14:textId="7F5C9686" w:rsidR="0084438A" w:rsidRDefault="007E4CF4" w:rsidP="00424180">
      <w:r>
        <w:t xml:space="preserve">Dies könnte auch deshalb aus Sicht der </w:t>
      </w:r>
      <w:proofErr w:type="spellStart"/>
      <w:r>
        <w:t>Hintco</w:t>
      </w:r>
      <w:proofErr w:type="spellEnd"/>
      <w:r>
        <w:t xml:space="preserve"> funktionieren</w:t>
      </w:r>
      <w:r w:rsidR="00D03354">
        <w:t xml:space="preserve">, </w:t>
      </w:r>
      <w:r w:rsidR="000916CD">
        <w:t xml:space="preserve">weil </w:t>
      </w:r>
      <w:r w:rsidR="00424180">
        <w:t>der Wasserstoffpreis</w:t>
      </w:r>
      <w:r w:rsidR="000916CD">
        <w:t xml:space="preserve"> in Europa</w:t>
      </w:r>
      <w:r w:rsidR="00424180">
        <w:t xml:space="preserve"> recht hoch liegen </w:t>
      </w:r>
      <w:r w:rsidR="000916CD">
        <w:t xml:space="preserve">wird </w:t>
      </w:r>
      <w:proofErr w:type="gramStart"/>
      <w:r w:rsidR="00424180">
        <w:t>…</w:t>
      </w:r>
      <w:proofErr w:type="gramEnd"/>
      <w:r w:rsidR="00424180">
        <w:t xml:space="preserve"> wenn es sich um grünen Wasserstoff handelt</w:t>
      </w:r>
      <w:r w:rsidR="000916CD">
        <w:t xml:space="preserve"> … </w:t>
      </w:r>
      <w:r w:rsidR="00AB1F1F">
        <w:t xml:space="preserve">denn wer </w:t>
      </w:r>
      <w:r w:rsidR="000916CD">
        <w:t xml:space="preserve">kann </w:t>
      </w:r>
      <w:r w:rsidR="00AB1F1F">
        <w:t xml:space="preserve">in Europa noch billiger </w:t>
      </w:r>
      <w:r w:rsidR="000916CD">
        <w:t xml:space="preserve">als die Länder mit viel Sonne </w:t>
      </w:r>
      <w:r w:rsidR="00AB1F1F">
        <w:t>produzieren</w:t>
      </w:r>
      <w:r w:rsidR="00D03354">
        <w:t>?</w:t>
      </w:r>
      <w:r w:rsidR="00AB1F1F">
        <w:t xml:space="preserve"> </w:t>
      </w:r>
      <w:r w:rsidR="00424180">
        <w:t xml:space="preserve">… </w:t>
      </w:r>
      <w:r w:rsidR="00D03354">
        <w:t>Jetzt kommen die Probleme aber doch: v</w:t>
      </w:r>
      <w:r w:rsidR="00AB1F1F">
        <w:t xml:space="preserve">ielleicht </w:t>
      </w:r>
      <w:r>
        <w:t xml:space="preserve">kann dies </w:t>
      </w:r>
      <w:r w:rsidR="00AB1F1F">
        <w:t xml:space="preserve">Frankreich, wenn es Elektrolyseure an Atomkraftwerke </w:t>
      </w:r>
      <w:r w:rsidR="00D03354">
        <w:t xml:space="preserve">mit 4 Cent/kWh </w:t>
      </w:r>
      <w:r w:rsidR="0045071F">
        <w:t xml:space="preserve">anschließt </w:t>
      </w:r>
      <w:r w:rsidR="00AB1F1F">
        <w:t>…</w:t>
      </w:r>
      <w:r w:rsidR="00D03354">
        <w:t xml:space="preserve"> und </w:t>
      </w:r>
      <w:r w:rsidR="000916CD">
        <w:t xml:space="preserve">wenn </w:t>
      </w:r>
      <w:r w:rsidR="00AB1F1F">
        <w:t>in der Übergangsphas</w:t>
      </w:r>
      <w:r w:rsidR="000916CD">
        <w:t>e</w:t>
      </w:r>
      <w:r w:rsidR="00D03354">
        <w:t xml:space="preserve"> blauer Wasserstoff aus Erdgas mit Dampfreformierung plus CCS genutzt w</w:t>
      </w:r>
      <w:r w:rsidR="0045071F">
        <w:t>e</w:t>
      </w:r>
      <w:r w:rsidR="00D03354">
        <w:t>rd</w:t>
      </w:r>
      <w:r w:rsidR="0045071F">
        <w:t>en darf</w:t>
      </w:r>
      <w:r w:rsidR="00D03354">
        <w:t xml:space="preserve">, den will nämlich die SEFE </w:t>
      </w:r>
      <w:r w:rsidR="0084438A">
        <w:t xml:space="preserve">teilweise </w:t>
      </w:r>
      <w:r w:rsidR="00D03354">
        <w:t>aus Norwegen importieren.</w:t>
      </w:r>
      <w:r w:rsidR="00D03354">
        <w:rPr>
          <w:rStyle w:val="Funotenzeichen"/>
        </w:rPr>
        <w:footnoteReference w:id="2527"/>
      </w:r>
      <w:r w:rsidR="00D03354">
        <w:t xml:space="preserve"> </w:t>
      </w:r>
    </w:p>
    <w:p w14:paraId="3D9F15B3" w14:textId="77777777" w:rsidR="0084438A" w:rsidRDefault="0084438A" w:rsidP="00424180"/>
    <w:tbl>
      <w:tblPr>
        <w:tblStyle w:val="Tabellenraster"/>
        <w:tblW w:w="0" w:type="auto"/>
        <w:tblLook w:val="04A0" w:firstRow="1" w:lastRow="0" w:firstColumn="1" w:lastColumn="0" w:noHBand="0" w:noVBand="1"/>
      </w:tblPr>
      <w:tblGrid>
        <w:gridCol w:w="9062"/>
      </w:tblGrid>
      <w:tr w:rsidR="0084438A" w14:paraId="05073661" w14:textId="77777777">
        <w:tc>
          <w:tcPr>
            <w:tcW w:w="9062" w:type="dxa"/>
          </w:tcPr>
          <w:p w14:paraId="1F867A1C" w14:textId="47CAC3F6" w:rsidR="0084438A" w:rsidRDefault="007F2DD8" w:rsidP="00424180">
            <w:r>
              <w:t xml:space="preserve">Wird die SEFE für die </w:t>
            </w:r>
            <w:proofErr w:type="spellStart"/>
            <w:r>
              <w:t>Hintco</w:t>
            </w:r>
            <w:proofErr w:type="spellEnd"/>
            <w:r>
              <w:t xml:space="preserve"> zum Problem, wenn die SEFE blauen Wasserstoff </w:t>
            </w:r>
            <w:proofErr w:type="gramStart"/>
            <w:r>
              <w:t>zu günstigen Preise</w:t>
            </w:r>
            <w:proofErr w:type="gramEnd"/>
            <w:r>
              <w:t xml:space="preserve"> aus Norwegen importiert und die </w:t>
            </w:r>
            <w:proofErr w:type="spellStart"/>
            <w:r>
              <w:t>Hintco</w:t>
            </w:r>
            <w:proofErr w:type="spellEnd"/>
            <w:r>
              <w:t xml:space="preserve"> dann nur geringe Preise für ihren grünen Wasserstoff bekommt und der Restbetrag dann staatlich bezahlt werden muss? Nein, </w:t>
            </w:r>
            <w:proofErr w:type="spellStart"/>
            <w:r>
              <w:t>dass</w:t>
            </w:r>
            <w:proofErr w:type="spellEnd"/>
            <w:r>
              <w:t xml:space="preserve"> ist unwahrscheinlich, weil </w:t>
            </w:r>
            <w:r w:rsidR="0084438A">
              <w:t xml:space="preserve">Norwegen </w:t>
            </w:r>
            <w:r>
              <w:t>gar nicht so viel blauen Wasserstoff produzieren kann: Es müsste über</w:t>
            </w:r>
            <w:r w:rsidR="0084438A">
              <w:t xml:space="preserve"> Dampfreformierungsanlagen </w:t>
            </w:r>
            <w:r>
              <w:t>verfügten, die einen hohen CO2-Ausstoß hätten</w:t>
            </w:r>
            <w:r w:rsidR="0084438A">
              <w:t xml:space="preserve">, </w:t>
            </w:r>
            <w:r>
              <w:t xml:space="preserve">z.B. </w:t>
            </w:r>
            <w:r w:rsidR="0084438A">
              <w:t>für 720.000 Tonnen Wasserstoff für Deutschlands 4 Stahlwerke … rechnen wir mit 1.000.000 Tonnen Wasserstoff … dafür br</w:t>
            </w:r>
            <w:r w:rsidR="007E4CF4">
              <w:t>ächte</w:t>
            </w:r>
            <w:r w:rsidR="0084438A">
              <w:t xml:space="preserve"> man 6.000.000 Tonnen Erdgas, 1.000.000 Tonnen Erdgas führen zu 2.000.000 bis 2.500.000 Tonnen CO2</w:t>
            </w:r>
            <w:r>
              <w:t>, 2.500.000</w:t>
            </w:r>
            <w:r w:rsidR="0084438A">
              <w:t xml:space="preserve"> * 6 = 15.000.0000 Tonnen CO2 bzw. 15 Mill. Tonnen CO2</w:t>
            </w:r>
            <w:r w:rsidR="007E4CF4">
              <w:t xml:space="preserve"> </w:t>
            </w:r>
            <w:r w:rsidR="0084438A">
              <w:t>…</w:t>
            </w:r>
            <w:r w:rsidR="007E4CF4">
              <w:t xml:space="preserve"> (mit KI von Google gerechnet)</w:t>
            </w:r>
            <w:r>
              <w:t xml:space="preserve">, Norwegen ist Mitglied des ETS). Aber das Hauptproblem ist, dass dieser CO2-Ausstoß verpresst werden muss, sonst ist es kein blauer Wasserstoff: </w:t>
            </w:r>
            <w:r w:rsidR="0084438A">
              <w:t xml:space="preserve">Siehe </w:t>
            </w:r>
            <w:r w:rsidR="007E4CF4">
              <w:t xml:space="preserve">nun Zitat aus </w:t>
            </w:r>
            <w:r w:rsidR="0084438A">
              <w:t xml:space="preserve">Teil 2: </w:t>
            </w:r>
            <w:r w:rsidR="007E4CF4">
              <w:t>„</w:t>
            </w:r>
            <w:r w:rsidR="0084438A">
              <w:t xml:space="preserve">Zusammengerechnet für die Nordsee sind dies jährlich Northern Lights, in Phase 2, ab 2026, 5 Mill. Tonnen, Greensand und </w:t>
            </w:r>
            <w:proofErr w:type="spellStart"/>
            <w:r w:rsidR="0084438A">
              <w:t>Bifrost</w:t>
            </w:r>
            <w:proofErr w:type="spellEnd"/>
            <w:r w:rsidR="0084438A">
              <w:t xml:space="preserve">, Dänemark, 11 Mill. Tonnen, </w:t>
            </w:r>
            <w:proofErr w:type="spellStart"/>
            <w:r w:rsidR="0084438A">
              <w:t>Porthos</w:t>
            </w:r>
            <w:proofErr w:type="spellEnd"/>
            <w:r w:rsidR="0084438A">
              <w:t>, Niederlande, 2,5 Mill. Tonnen, England 8,5 Mill. Tonnen … Dunkirk wird hier weggelassen … insgesamt sind dies 27 Mill. Tonnen jährlich.</w:t>
            </w:r>
            <w:r w:rsidR="007E4CF4">
              <w:t xml:space="preserve">“ </w:t>
            </w:r>
            <w:r w:rsidR="0084438A">
              <w:t xml:space="preserve">Kurz: blauer Wasserstoff für nur die 4 Stahlwerke Deutschlands würde </w:t>
            </w:r>
            <w:r>
              <w:t xml:space="preserve">zur Hälfte die </w:t>
            </w:r>
            <w:r w:rsidR="0084438A">
              <w:t xml:space="preserve">geplante </w:t>
            </w:r>
            <w:proofErr w:type="gramStart"/>
            <w:r w:rsidR="0084438A">
              <w:t>CCS Kapazität</w:t>
            </w:r>
            <w:proofErr w:type="gramEnd"/>
            <w:r w:rsidR="0084438A">
              <w:t xml:space="preserve"> in der Nordsee auslasten und dies</w:t>
            </w:r>
            <w:r>
              <w:t>e</w:t>
            </w:r>
            <w:r w:rsidR="0084438A">
              <w:t xml:space="preserve"> ist bereits </w:t>
            </w:r>
            <w:r>
              <w:t xml:space="preserve">teils </w:t>
            </w:r>
            <w:r w:rsidR="0084438A">
              <w:t>an andere Unternehme</w:t>
            </w:r>
            <w:r>
              <w:t>n</w:t>
            </w:r>
            <w:r w:rsidR="0084438A">
              <w:t xml:space="preserve">. </w:t>
            </w:r>
            <w:r w:rsidR="0084438A" w:rsidRPr="007F2DD8">
              <w:rPr>
                <w:u w:val="single"/>
              </w:rPr>
              <w:t>Das geht also gar nicht</w:t>
            </w:r>
            <w:r w:rsidR="0084438A">
              <w:t xml:space="preserve">.  </w:t>
            </w:r>
          </w:p>
        </w:tc>
      </w:tr>
    </w:tbl>
    <w:p w14:paraId="0B91BF77" w14:textId="77777777" w:rsidR="0084438A" w:rsidRDefault="0084438A" w:rsidP="00424180"/>
    <w:p w14:paraId="256E0400" w14:textId="42470664" w:rsidR="000916CD" w:rsidRDefault="007E4CF4" w:rsidP="00424180">
      <w:r>
        <w:t xml:space="preserve">Kurz: </w:t>
      </w:r>
      <w:r w:rsidR="007F2DD8">
        <w:t xml:space="preserve">Die SEFE wird somit für die </w:t>
      </w:r>
      <w:proofErr w:type="spellStart"/>
      <w:r w:rsidR="007F2DD8">
        <w:t>Hintco</w:t>
      </w:r>
      <w:proofErr w:type="spellEnd"/>
      <w:r w:rsidR="007F2DD8">
        <w:t xml:space="preserve"> aller Wahrscheinlichkeit nach nicht zum Problem.</w:t>
      </w:r>
      <w:r>
        <w:t xml:space="preserve"> </w:t>
      </w:r>
      <w:r w:rsidR="007F2DD8">
        <w:t>V</w:t>
      </w:r>
      <w:r>
        <w:t xml:space="preserve">iel spricht dafür, dass Norwegen nicht zu großen Mengen blauen Wasserstoff heranschaffen kann, der Preis für Wasserstoff wird in Europa </w:t>
      </w:r>
      <w:r w:rsidR="007F2DD8">
        <w:t xml:space="preserve">somit </w:t>
      </w:r>
      <w:r w:rsidR="006C789E">
        <w:t xml:space="preserve">nicht allzu niedrig </w:t>
      </w:r>
      <w:r>
        <w:t xml:space="preserve">liegen, </w:t>
      </w:r>
      <w:r w:rsidR="006C789E">
        <w:t>somit muss</w:t>
      </w:r>
      <w:r w:rsidR="00D03354">
        <w:t xml:space="preserve"> die </w:t>
      </w:r>
      <w:proofErr w:type="spellStart"/>
      <w:r w:rsidR="00D03354">
        <w:t>Hintco</w:t>
      </w:r>
      <w:proofErr w:type="spellEnd"/>
      <w:r w:rsidR="00D03354">
        <w:t xml:space="preserve"> </w:t>
      </w:r>
      <w:r w:rsidR="006C789E">
        <w:t xml:space="preserve">bzw. der Staat </w:t>
      </w:r>
      <w:r w:rsidR="00D03354">
        <w:t xml:space="preserve">nicht </w:t>
      </w:r>
      <w:r w:rsidR="006C789E">
        <w:t>allzu</w:t>
      </w:r>
      <w:r w:rsidR="00D03354">
        <w:t xml:space="preserve"> viel </w:t>
      </w:r>
      <w:proofErr w:type="spellStart"/>
      <w:r w:rsidR="00D03354">
        <w:t>dazubutter</w:t>
      </w:r>
      <w:r w:rsidR="006C789E">
        <w:t>n</w:t>
      </w:r>
      <w:proofErr w:type="spellEnd"/>
      <w:r>
        <w:t>.</w:t>
      </w:r>
      <w:r w:rsidR="00D03354">
        <w:t xml:space="preserve"> </w:t>
      </w:r>
      <w:r>
        <w:t xml:space="preserve">Irgendwer </w:t>
      </w:r>
      <w:r w:rsidR="00D03354">
        <w:t xml:space="preserve">muss </w:t>
      </w:r>
      <w:r w:rsidR="000916CD">
        <w:t xml:space="preserve">eben in Europa </w:t>
      </w:r>
      <w:r w:rsidR="00D03354">
        <w:t>den</w:t>
      </w:r>
      <w:r w:rsidR="0025222D">
        <w:t xml:space="preserve"> </w:t>
      </w:r>
      <w:r w:rsidR="000916CD">
        <w:t xml:space="preserve">importierten </w:t>
      </w:r>
      <w:r w:rsidR="0025222D">
        <w:t xml:space="preserve">grünen Wasserstoff </w:t>
      </w:r>
      <w:r w:rsidR="000916CD">
        <w:t>auch zu einem moderat hohen Preis</w:t>
      </w:r>
      <w:r w:rsidR="0025222D">
        <w:t xml:space="preserve"> </w:t>
      </w:r>
      <w:r w:rsidR="000916CD">
        <w:t>kaufen, denn sonst gibt es ein zu großes Risiko für</w:t>
      </w:r>
      <w:r>
        <w:t xml:space="preserve"> Kostensteigerungen für</w:t>
      </w:r>
      <w:r w:rsidR="000916CD">
        <w:t xml:space="preserve"> die </w:t>
      </w:r>
      <w:proofErr w:type="spellStart"/>
      <w:r w:rsidR="000916CD">
        <w:t>Hintco</w:t>
      </w:r>
      <w:proofErr w:type="spellEnd"/>
      <w:r w:rsidR="000916CD">
        <w:t xml:space="preserve"> </w:t>
      </w:r>
      <w:r w:rsidR="000916CD" w:rsidRPr="007E4CF4">
        <w:rPr>
          <w:u w:val="single"/>
        </w:rPr>
        <w:t>und sie wird sich immer weniger engagieren Importe mit ihren Differenzverträgen zu organisieren</w:t>
      </w:r>
      <w:r w:rsidR="000916CD">
        <w:t xml:space="preserve">. </w:t>
      </w:r>
      <w:r w:rsidR="006C789E">
        <w:t xml:space="preserve">Zur Not braucht man auch hier eine Quote, dass die Industrie auch den grünen Wasserstoff aus den Importen nutzt.  </w:t>
      </w:r>
    </w:p>
    <w:p w14:paraId="6DC51566" w14:textId="77777777" w:rsidR="000916CD" w:rsidRDefault="000916CD" w:rsidP="00424180"/>
    <w:p w14:paraId="3970F4C2" w14:textId="77347280" w:rsidR="007E4CF4" w:rsidRDefault="006C789E" w:rsidP="00424180">
      <w:r>
        <w:t xml:space="preserve">Eigentlich würde man denken, dass die </w:t>
      </w:r>
      <w:r w:rsidR="007E4CF4">
        <w:t xml:space="preserve">deutsche Industrie </w:t>
      </w:r>
      <w:r>
        <w:t>sich selbst Wasserstoff aus dem Ausland organisieren kann, aber dies schaffen derzeit offenbar nur wenige:</w:t>
      </w:r>
    </w:p>
    <w:p w14:paraId="479F44DD" w14:textId="77777777" w:rsidR="00D52643" w:rsidRDefault="00D52643" w:rsidP="00716E09"/>
    <w:tbl>
      <w:tblPr>
        <w:tblStyle w:val="Tabellenraster"/>
        <w:tblW w:w="0" w:type="auto"/>
        <w:tblLook w:val="04A0" w:firstRow="1" w:lastRow="0" w:firstColumn="1" w:lastColumn="0" w:noHBand="0" w:noVBand="1"/>
      </w:tblPr>
      <w:tblGrid>
        <w:gridCol w:w="9062"/>
      </w:tblGrid>
      <w:tr w:rsidR="0045071F" w14:paraId="22E27697" w14:textId="77777777">
        <w:tc>
          <w:tcPr>
            <w:tcW w:w="9062" w:type="dxa"/>
          </w:tcPr>
          <w:p w14:paraId="51BEE19F" w14:textId="352CBC81" w:rsidR="0045071F" w:rsidRDefault="0045071F" w:rsidP="00716E09">
            <w:r>
              <w:t xml:space="preserve">Sowas machen </w:t>
            </w:r>
            <w:r w:rsidR="00484766">
              <w:t xml:space="preserve">heutzutage offenbar </w:t>
            </w:r>
            <w:r>
              <w:t xml:space="preserve">nur noch die Leute, die in Geld schwimmen, aus der fossilen Industrie: Sir Andrew </w:t>
            </w:r>
            <w:proofErr w:type="spellStart"/>
            <w:r>
              <w:t>Mckenzie</w:t>
            </w:r>
            <w:proofErr w:type="spellEnd"/>
            <w:r>
              <w:t xml:space="preserve"> war im Januar 2024 auf Besuch im Oman. Shell hat 35 % von Green Energy Oman (GEO)</w:t>
            </w:r>
            <w:r>
              <w:rPr>
                <w:rStyle w:val="Funotenzeichen"/>
              </w:rPr>
              <w:footnoteReference w:id="2528"/>
            </w:r>
            <w:r>
              <w:t xml:space="preserve"> gekauft (andere Anteilseigner sind OQ vom Sultanat von Oman, </w:t>
            </w:r>
            <w:proofErr w:type="spellStart"/>
            <w:r>
              <w:t>EnerTech</w:t>
            </w:r>
            <w:proofErr w:type="spellEnd"/>
            <w:r>
              <w:t>, ein staatlicher Konzern aus Kuweit, InterContinental Energy ICE und Golden Wellspring Wealth). Ziel ist es in mehreren Phasen 1,8 Mill. Tonnen grünen Wasserstoff herzustellen und grünes Ammoniak, siehe S. 38 und diese Pressemeldung von Green Energy Oman</w:t>
            </w:r>
            <w:r w:rsidR="00AA0EC2">
              <w:t xml:space="preserve">. </w:t>
            </w:r>
            <w:r w:rsidR="00AA0EC2">
              <w:rPr>
                <w:rStyle w:val="Funotenzeichen"/>
              </w:rPr>
              <w:footnoteReference w:id="2529"/>
            </w:r>
          </w:p>
        </w:tc>
      </w:tr>
    </w:tbl>
    <w:p w14:paraId="1B347558" w14:textId="77777777" w:rsidR="00250CA4" w:rsidRDefault="00250CA4" w:rsidP="00716E09"/>
    <w:p w14:paraId="14F4F69A" w14:textId="6789D796" w:rsidR="00A6155E" w:rsidRDefault="00A6155E" w:rsidP="00A6155E">
      <w:r>
        <w:t>16.</w:t>
      </w:r>
      <w:r w:rsidR="007312BE">
        <w:t>9</w:t>
      </w:r>
      <w:r>
        <w:t xml:space="preserve"> Erneuerbare Energien im Vergleich zu den Kosten für fossile Energien </w:t>
      </w:r>
    </w:p>
    <w:p w14:paraId="6FFABBCA" w14:textId="77777777" w:rsidR="00E240D0" w:rsidRDefault="00E240D0" w:rsidP="002476D9"/>
    <w:p w14:paraId="26343BC9" w14:textId="71D11A09" w:rsidR="00D5678A" w:rsidRPr="00247700" w:rsidRDefault="00D82270" w:rsidP="002D7959">
      <w:r>
        <w:t>Es wäre es schön, wen</w:t>
      </w:r>
      <w:r w:rsidR="00D5678A">
        <w:t>n Strom aus</w:t>
      </w:r>
      <w:r>
        <w:t xml:space="preserve"> </w:t>
      </w:r>
      <w:r w:rsidR="002D7959">
        <w:t>erneuerbaren Energien</w:t>
      </w:r>
      <w:r w:rsidR="00D5678A">
        <w:t xml:space="preserve"> und</w:t>
      </w:r>
      <w:r w:rsidR="002D7959">
        <w:t xml:space="preserve"> Wasserstoff </w:t>
      </w:r>
      <w:r w:rsidR="00D5678A">
        <w:t xml:space="preserve">aus Elektrolyseuren </w:t>
      </w:r>
      <w:r w:rsidR="00B17644">
        <w:t xml:space="preserve">sehr </w:t>
      </w:r>
      <w:r w:rsidR="00D5678A">
        <w:t>günstig</w:t>
      </w:r>
      <w:r w:rsidR="00B17644">
        <w:t xml:space="preserve"> </w:t>
      </w:r>
      <w:r>
        <w:t>wäre</w:t>
      </w:r>
      <w:r w:rsidR="00B17644">
        <w:t>n</w:t>
      </w:r>
      <w:r w:rsidR="002D7959">
        <w:t>, dann würden sie sich von selbst durchsetzen, wie damals Erdöl und Erdgas</w:t>
      </w:r>
      <w:r w:rsidR="002474AC">
        <w:t>.</w:t>
      </w:r>
      <w:r w:rsidR="002F487C">
        <w:t xml:space="preserve"> Leider ist dies nicht so, deshalb braucht man ein Emissionshandelssystem oder einen CO2-Preis, der fossile Energien sukzessive teurer macht.</w:t>
      </w:r>
      <w:r w:rsidR="002474AC">
        <w:t xml:space="preserve"> </w:t>
      </w:r>
      <w:r w:rsidR="002D7959" w:rsidRPr="00247700">
        <w:t>Vaclav Smil (2022)</w:t>
      </w:r>
      <w:r w:rsidR="002474AC" w:rsidRPr="00247700">
        <w:t xml:space="preserve"> beschreibt</w:t>
      </w:r>
      <w:r w:rsidR="00247700" w:rsidRPr="00247700">
        <w:t xml:space="preserve"> in zwei </w:t>
      </w:r>
      <w:r w:rsidR="00247700">
        <w:t xml:space="preserve">Sätzen </w:t>
      </w:r>
      <w:r w:rsidR="002F487C" w:rsidRPr="00247700">
        <w:t>warum sich Öl durchsetzen konnte</w:t>
      </w:r>
      <w:r w:rsidR="002D7959" w:rsidRPr="00247700">
        <w:t xml:space="preserve">: </w:t>
      </w:r>
    </w:p>
    <w:p w14:paraId="6E05D646" w14:textId="77777777" w:rsidR="00D5678A" w:rsidRPr="00247700" w:rsidRDefault="00D5678A" w:rsidP="002D7959"/>
    <w:p w14:paraId="563423BB" w14:textId="3CE666E3" w:rsidR="002D7959" w:rsidRPr="000D484B" w:rsidRDefault="002D7959" w:rsidP="002D7959">
      <w:pPr>
        <w:rPr>
          <w:lang w:val="en-GB"/>
        </w:rPr>
      </w:pPr>
      <w:r w:rsidRPr="002474AC">
        <w:rPr>
          <w:lang w:val="en-GB"/>
        </w:rPr>
        <w:t xml:space="preserve">„Global oil extraction of crude oil doubles during the 1950s, and by 1964 crude oil surpassed coal as the most important fossil fuel, but although its output kept on rising, supply remained plentiful and so prices were falling. </w:t>
      </w:r>
      <w:r>
        <w:rPr>
          <w:lang w:val="en-GB"/>
        </w:rPr>
        <w:t xml:space="preserve">In constant (inflation adjusted) monies, the world oil price was lower in 1950 </w:t>
      </w:r>
      <w:proofErr w:type="spellStart"/>
      <w:r>
        <w:rPr>
          <w:lang w:val="en-GB"/>
        </w:rPr>
        <w:t>then</w:t>
      </w:r>
      <w:proofErr w:type="spellEnd"/>
      <w:r>
        <w:rPr>
          <w:lang w:val="en-GB"/>
        </w:rPr>
        <w:t xml:space="preserve"> it was in the 1940, lower in 1960 than it was in 1950 – and lower still in 1970 than in 1960.”</w:t>
      </w:r>
      <w:r>
        <w:rPr>
          <w:rStyle w:val="Funotenzeichen"/>
        </w:rPr>
        <w:footnoteReference w:id="2530"/>
      </w:r>
      <w:r w:rsidRPr="0060604D">
        <w:rPr>
          <w:lang w:val="en-GB"/>
        </w:rPr>
        <w:t xml:space="preserve"> </w:t>
      </w:r>
    </w:p>
    <w:p w14:paraId="45D00C24" w14:textId="77777777" w:rsidR="00CC0BB8" w:rsidRPr="001C1C8A" w:rsidRDefault="00CC0BB8" w:rsidP="002D7959">
      <w:pPr>
        <w:rPr>
          <w:lang w:val="en-GB"/>
        </w:rPr>
      </w:pPr>
    </w:p>
    <w:p w14:paraId="45C93765" w14:textId="106D2278" w:rsidR="002D7959" w:rsidRDefault="002D7959" w:rsidP="002D7959">
      <w:r>
        <w:t xml:space="preserve">Für </w:t>
      </w:r>
      <w:r w:rsidRPr="006600A5">
        <w:rPr>
          <w:b/>
          <w:bCs/>
        </w:rPr>
        <w:t>10 Mrd.</w:t>
      </w:r>
      <w:r>
        <w:t xml:space="preserve"> Euro Investitionen in erneuerbare Energien bekomm</w:t>
      </w:r>
      <w:r w:rsidR="00B17644">
        <w:t>t man im Moment</w:t>
      </w:r>
      <w:r>
        <w:t xml:space="preserve">: </w:t>
      </w:r>
    </w:p>
    <w:p w14:paraId="65231E40" w14:textId="3BB0F9E7" w:rsidR="002D7959" w:rsidRDefault="002D7959" w:rsidP="002D7959">
      <w:r>
        <w:t xml:space="preserve">Für </w:t>
      </w:r>
      <w:r w:rsidR="00E86EF1">
        <w:t>10</w:t>
      </w:r>
      <w:r>
        <w:t xml:space="preserve"> Mrd. / 100 Mill. = </w:t>
      </w:r>
      <w:r w:rsidR="00E86EF1">
        <w:t>10</w:t>
      </w:r>
      <w:r>
        <w:t xml:space="preserve">0 Solarparks Barth Flughafen bekommen: mit einer Jahresleistung von </w:t>
      </w:r>
      <w:r w:rsidR="00E86EF1">
        <w:t>100</w:t>
      </w:r>
      <w:r>
        <w:t xml:space="preserve"> * 0,06 Terawattstunden = </w:t>
      </w:r>
      <w:r w:rsidR="00E86EF1">
        <w:t>6</w:t>
      </w:r>
      <w:r>
        <w:t xml:space="preserve"> Terawattstunden. </w:t>
      </w:r>
    </w:p>
    <w:p w14:paraId="5C58EBDC" w14:textId="0F63CF4F" w:rsidR="002D7959" w:rsidRDefault="00E86EF1" w:rsidP="002D7959">
      <w:r>
        <w:t>Für 10</w:t>
      </w:r>
      <w:r w:rsidR="002D7959">
        <w:t xml:space="preserve"> Mrd.</w:t>
      </w:r>
      <w:r>
        <w:t xml:space="preserve"> / 220 Mill. = 45 Landwindparks</w:t>
      </w:r>
      <w:r w:rsidR="002D7959">
        <w:t xml:space="preserve"> Werder </w:t>
      </w:r>
      <w:proofErr w:type="spellStart"/>
      <w:r w:rsidR="002D7959">
        <w:t>Kessin</w:t>
      </w:r>
      <w:proofErr w:type="spellEnd"/>
      <w:r>
        <w:t>: mit einer Jahresleistung von</w:t>
      </w:r>
      <w:r w:rsidR="002D7959">
        <w:t xml:space="preserve"> </w:t>
      </w:r>
      <w:r>
        <w:t>45</w:t>
      </w:r>
      <w:r w:rsidR="002D7959">
        <w:t>,</w:t>
      </w:r>
      <w:r>
        <w:t>45</w:t>
      </w:r>
      <w:r w:rsidR="002D7959">
        <w:t xml:space="preserve"> * 0,3 Terawattstunden </w:t>
      </w:r>
      <w:proofErr w:type="gramStart"/>
      <w:r w:rsidR="002D7959">
        <w:t xml:space="preserve">=  </w:t>
      </w:r>
      <w:r>
        <w:t>13</w:t>
      </w:r>
      <w:proofErr w:type="gramEnd"/>
      <w:r w:rsidR="002D7959">
        <w:t>,</w:t>
      </w:r>
      <w:r>
        <w:t>6</w:t>
      </w:r>
      <w:r w:rsidR="002D7959">
        <w:t xml:space="preserve"> Terawattstunden. </w:t>
      </w:r>
    </w:p>
    <w:p w14:paraId="02A72CC6" w14:textId="49C89F7F" w:rsidR="00CC0BB8" w:rsidRPr="00CC0BB8" w:rsidRDefault="00CC0BB8" w:rsidP="00D82270">
      <w:r>
        <w:t xml:space="preserve">Für 10 Mrd. / 2 Mrd. </w:t>
      </w:r>
      <w:r w:rsidRPr="00CC0BB8">
        <w:t>= 5 Offshore Windparks Hohe See / Albatros, mit einer Ja</w:t>
      </w:r>
      <w:r>
        <w:t>hresleistung von 5 * 2,5 Terawattstunden = 10 Terawattstunden.</w:t>
      </w:r>
    </w:p>
    <w:p w14:paraId="27EA82C0" w14:textId="76282D48" w:rsidR="002D7959" w:rsidRDefault="002D7959" w:rsidP="00D82270">
      <w:r>
        <w:t xml:space="preserve">Landwind </w:t>
      </w:r>
      <w:r w:rsidR="00D5678A">
        <w:t xml:space="preserve">ist also </w:t>
      </w:r>
      <w:r>
        <w:t>günstiger als Solar</w:t>
      </w:r>
      <w:r w:rsidR="00CC0BB8">
        <w:t xml:space="preserve"> und Offshore-Windkraft</w:t>
      </w:r>
      <w:r w:rsidR="00E86EF1">
        <w:t xml:space="preserve">. </w:t>
      </w:r>
    </w:p>
    <w:p w14:paraId="1DFC0745" w14:textId="77777777" w:rsidR="002D7959" w:rsidRPr="002D7959" w:rsidRDefault="002D7959" w:rsidP="00D82270"/>
    <w:p w14:paraId="0E728232" w14:textId="59B6A723" w:rsidR="002D7959" w:rsidRDefault="00B17644" w:rsidP="00D82270">
      <w:r>
        <w:t xml:space="preserve">Die </w:t>
      </w:r>
      <w:r w:rsidR="00CC0BB8">
        <w:t>fossilen</w:t>
      </w:r>
      <w:r>
        <w:t xml:space="preserve"> Energiequellen halten sich aber hartnäckig: </w:t>
      </w:r>
      <w:r w:rsidR="002D7959">
        <w:t>Ein Kohlekraftwerk mit 1000 MW Leistung kostet 1 bis 2,5 Mrd.</w:t>
      </w:r>
      <w:r w:rsidR="00E86EF1">
        <w:t xml:space="preserve"> Euro</w:t>
      </w:r>
      <w:r w:rsidR="002D7959">
        <w:rPr>
          <w:rStyle w:val="Funotenzeichen"/>
        </w:rPr>
        <w:footnoteReference w:id="2531"/>
      </w:r>
      <w:r w:rsidR="002D7959">
        <w:t>, bei Volllast sind das 8760 MWh, das sind 8,7 Terawattstunden</w:t>
      </w:r>
      <w:r w:rsidR="00E86EF1">
        <w:t>.</w:t>
      </w:r>
      <w:r w:rsidR="002D7959">
        <w:t xml:space="preserve"> </w:t>
      </w:r>
      <w:r w:rsidR="00E86EF1">
        <w:t>I</w:t>
      </w:r>
      <w:r w:rsidR="002D7959">
        <w:t>n China und Indien ist der Bau von Kohlekraftwerken sicher günstig.</w:t>
      </w:r>
      <w:r w:rsidR="00E86EF1">
        <w:t xml:space="preserve"> Man bekommt vielleicht für 10 Mrd. Euro </w:t>
      </w:r>
      <w:r w:rsidR="008816AD">
        <w:t>/ 1,5 = 6,6 Kohlekraftwerke * 8,7 TWh = 58 Terawattstunden.</w:t>
      </w:r>
      <w:r w:rsidR="002D7959">
        <w:t xml:space="preserve"> Ein Atomkraftwerk kostet vielleicht 10 Mrd.</w:t>
      </w:r>
      <w:r w:rsidR="00E86EF1">
        <w:t xml:space="preserve"> Euro</w:t>
      </w:r>
      <w:r w:rsidR="002D7959">
        <w:t xml:space="preserve">, neu ist die Info, dass China nun in der Lage, ist für 2,4 Mrd. </w:t>
      </w:r>
      <w:r w:rsidR="00E86EF1">
        <w:t xml:space="preserve">Euro </w:t>
      </w:r>
      <w:r w:rsidR="002D7959">
        <w:t>einen 1200 MW Atom-Kraftwerksblock herzustellen</w:t>
      </w:r>
      <w:r w:rsidR="002D7959">
        <w:rPr>
          <w:rStyle w:val="Funotenzeichen"/>
        </w:rPr>
        <w:footnoteReference w:id="2532"/>
      </w:r>
      <w:r w:rsidR="00E86EF1">
        <w:t>, der schafft bei Volllast 1200 * 8760 = 10.512.000 MWh, das sind 10 Terawattstunden</w:t>
      </w:r>
      <w:r w:rsidR="008816AD">
        <w:t>.</w:t>
      </w:r>
      <w:r w:rsidR="00E86EF1">
        <w:t xml:space="preserve"> Atomkraftwerke laufen nahezu Volllast</w:t>
      </w:r>
      <w:r w:rsidR="008816AD">
        <w:t>, nimmt man 5 Mrd. als Kosten für 1 Atomkraftwerk in China, dann bekommt man für 10 Mrd. / 5 = 2 * 10 TWh = 20 Terawattstunden.</w:t>
      </w:r>
      <w:r w:rsidR="00E86EF1">
        <w:t xml:space="preserve"> </w:t>
      </w:r>
    </w:p>
    <w:p w14:paraId="4EFF9722" w14:textId="77777777" w:rsidR="002D7959" w:rsidRDefault="002D7959" w:rsidP="00D82270"/>
    <w:p w14:paraId="6A4C7383" w14:textId="65C7C4C7" w:rsidR="008816AD" w:rsidRPr="008816AD" w:rsidRDefault="008816AD" w:rsidP="00D82270">
      <w:r>
        <w:t xml:space="preserve">10 Mrd. </w:t>
      </w:r>
      <w:r w:rsidRPr="008816AD">
        <w:t>Euro</w:t>
      </w:r>
      <w:r>
        <w:t xml:space="preserve"> investiert in</w:t>
      </w:r>
      <w:r w:rsidRPr="008816AD">
        <w:t xml:space="preserve"> Solar </w:t>
      </w:r>
      <w:r w:rsidR="00B17644">
        <w:t xml:space="preserve">= </w:t>
      </w:r>
      <w:r w:rsidRPr="008816AD">
        <w:t xml:space="preserve">6 TWh, </w:t>
      </w:r>
      <w:r w:rsidR="00CC0BB8">
        <w:t xml:space="preserve">Offshore-Windkraft = 10 TWh, </w:t>
      </w:r>
      <w:r w:rsidRPr="008816AD">
        <w:t xml:space="preserve">Landwind </w:t>
      </w:r>
      <w:r w:rsidR="00B17644">
        <w:t xml:space="preserve">= </w:t>
      </w:r>
      <w:r w:rsidRPr="008816AD">
        <w:t xml:space="preserve">13,6 TWh, </w:t>
      </w:r>
      <w:r w:rsidR="00CC0BB8">
        <w:t xml:space="preserve">günstige Kernkraftwerke = 20 TWh. </w:t>
      </w:r>
      <w:r>
        <w:t xml:space="preserve">günstige </w:t>
      </w:r>
      <w:r w:rsidRPr="008816AD">
        <w:t>Koh</w:t>
      </w:r>
      <w:r>
        <w:t xml:space="preserve">lekraftwerke </w:t>
      </w:r>
      <w:r w:rsidR="00B17644">
        <w:t xml:space="preserve">= </w:t>
      </w:r>
      <w:r>
        <w:t xml:space="preserve">58 TWh, </w:t>
      </w:r>
      <w:r w:rsidR="00B17644">
        <w:t>Wenn man dann noch Kohle hat</w:t>
      </w:r>
      <w:r w:rsidR="00CC0BB8">
        <w:rPr>
          <w:rStyle w:val="Funotenzeichen"/>
        </w:rPr>
        <w:footnoteReference w:id="2533"/>
      </w:r>
      <w:r w:rsidR="00B17644">
        <w:t>, wie China und Indien …</w:t>
      </w:r>
      <w:r w:rsidR="00CC0BB8">
        <w:t xml:space="preserve"> oder Öl- und Erdgas in den USA … und es kein Emissionshandelssystem gibt, dass CO2 teurer macht … sind fossile Energieträger leider immer noch günstig</w:t>
      </w:r>
      <w:r w:rsidR="00D5678A">
        <w:t>er als erneuerbare Energien</w:t>
      </w:r>
      <w:r w:rsidR="00CC0BB8">
        <w:t>, teils sehr günstig.</w:t>
      </w:r>
    </w:p>
    <w:p w14:paraId="54CE8CBA" w14:textId="77777777" w:rsidR="00251305" w:rsidRDefault="00251305" w:rsidP="00D82270"/>
    <w:p w14:paraId="436906FE" w14:textId="2AAD6C3D" w:rsidR="006F5F8C" w:rsidRDefault="006F5F8C" w:rsidP="00D82270">
      <w:r>
        <w:t>Dazu kommt, dass derzeit immer mehr Öl verfügbar ist, es wird erwartet, dass für 2025 täglich 1,2 Millionen Fass / Barrel (= 159 Liter) zur Verfügung steht</w:t>
      </w:r>
      <w:r w:rsidR="00184DA5">
        <w:t xml:space="preserve">, der Preis könnte nach Berechnungen der </w:t>
      </w:r>
      <w:r w:rsidR="00184DA5">
        <w:lastRenderedPageBreak/>
        <w:t xml:space="preserve">Weltbank auf </w:t>
      </w:r>
      <w:r w:rsidR="006C6397">
        <w:t>73 Dollar 2025 absinken, dies sei erst zweimal in der Geschichte der Fall gewesen, als während Corona so wenig verbraucht wurde und 1998 als der Ölpreis immer stärker absank</w:t>
      </w:r>
      <w:r w:rsidR="00184DA5">
        <w:t>.</w:t>
      </w:r>
      <w:r w:rsidR="00184DA5">
        <w:rPr>
          <w:rStyle w:val="Funotenzeichen"/>
        </w:rPr>
        <w:footnoteReference w:id="2534"/>
      </w:r>
      <w:r>
        <w:t xml:space="preserve"> </w:t>
      </w:r>
    </w:p>
    <w:p w14:paraId="7C4F97C9" w14:textId="77777777" w:rsidR="006F5F8C" w:rsidRDefault="006F5F8C" w:rsidP="00D82270"/>
    <w:p w14:paraId="299E3D33" w14:textId="0C8D614B" w:rsidR="00026A55" w:rsidRDefault="008D7258" w:rsidP="00D82270">
      <w:r>
        <w:t xml:space="preserve">Daraus folgt, dass es überhaupt </w:t>
      </w:r>
      <w:proofErr w:type="gramStart"/>
      <w:r>
        <w:t>keine Sinn</w:t>
      </w:r>
      <w:proofErr w:type="gramEnd"/>
      <w:r>
        <w:t xml:space="preserve"> macht, erneuerbare Energien immer günstiger machen zu wollen, um fossile Energien unterbieten zu können, dies wird nie passieren</w:t>
      </w:r>
      <w:r w:rsidR="00247700">
        <w:t>, jedenfalls bis zu dem Punkt an dem Öl- und Gas als Rohstoffe versiegen. Dies wird aber nicht bis 2050 passieren</w:t>
      </w:r>
      <w:r>
        <w:t xml:space="preserve">. Man kann die Energiewende </w:t>
      </w:r>
      <w:r w:rsidR="00247700">
        <w:t xml:space="preserve">also </w:t>
      </w:r>
      <w:r>
        <w:t>nur voranbringen mit diese</w:t>
      </w:r>
      <w:r w:rsidR="00247700">
        <w:t>n</w:t>
      </w:r>
      <w:r>
        <w:t xml:space="preserve"> oder ähnlichen regulatorischen Instrumente, wie sie derzeit genutzt werden. Eine liberale Freihandelslösung, der Verzicht auf Klimazölle, ein freier Wettbewerb der Energieträger, die Freigabe der Erdöl- und Gasexploration wäre</w:t>
      </w:r>
      <w:r w:rsidR="00247700">
        <w:t>n</w:t>
      </w:r>
      <w:r>
        <w:t xml:space="preserve"> nicht sinnvoll, wir müssen die </w:t>
      </w:r>
      <w:r w:rsidR="00812E2F">
        <w:t>Möbel im Wohnzimmer</w:t>
      </w:r>
      <w:r>
        <w:t xml:space="preserve"> schon </w:t>
      </w:r>
      <w:r w:rsidR="00812E2F">
        <w:t xml:space="preserve">etwas umstellen. </w:t>
      </w:r>
      <w:r w:rsidR="00247700">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sectPr w:rsidR="00026A55">
      <w:footerReference w:type="default" r:id="rId2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7E861" w14:textId="77777777" w:rsidR="009A3E3D" w:rsidRDefault="009A3E3D" w:rsidP="00112190">
      <w:pPr>
        <w:spacing w:line="240" w:lineRule="auto"/>
      </w:pPr>
      <w:r>
        <w:separator/>
      </w:r>
    </w:p>
  </w:endnote>
  <w:endnote w:type="continuationSeparator" w:id="0">
    <w:p w14:paraId="3453E174" w14:textId="77777777" w:rsidR="009A3E3D" w:rsidRDefault="009A3E3D" w:rsidP="001121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3921321"/>
      <w:docPartObj>
        <w:docPartGallery w:val="Page Numbers (Bottom of Page)"/>
        <w:docPartUnique/>
      </w:docPartObj>
    </w:sdtPr>
    <w:sdtContent>
      <w:p w14:paraId="7A801479" w14:textId="4040F201" w:rsidR="005D1E78" w:rsidRDefault="005D1E78">
        <w:pPr>
          <w:pStyle w:val="Fuzeile"/>
          <w:jc w:val="center"/>
        </w:pPr>
        <w:r>
          <w:fldChar w:fldCharType="begin"/>
        </w:r>
        <w:r>
          <w:instrText>PAGE   \* MERGEFORMAT</w:instrText>
        </w:r>
        <w:r>
          <w:fldChar w:fldCharType="separate"/>
        </w:r>
        <w:r>
          <w:t>2</w:t>
        </w:r>
        <w:r>
          <w:fldChar w:fldCharType="end"/>
        </w:r>
      </w:p>
    </w:sdtContent>
  </w:sdt>
  <w:p w14:paraId="01CB0AE9" w14:textId="77777777" w:rsidR="005D1E78" w:rsidRDefault="005D1E7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80633E" w14:textId="77777777" w:rsidR="009A3E3D" w:rsidRDefault="009A3E3D" w:rsidP="00112190">
      <w:pPr>
        <w:spacing w:line="240" w:lineRule="auto"/>
      </w:pPr>
      <w:r>
        <w:separator/>
      </w:r>
    </w:p>
  </w:footnote>
  <w:footnote w:type="continuationSeparator" w:id="0">
    <w:p w14:paraId="280C28D4" w14:textId="77777777" w:rsidR="009A3E3D" w:rsidRDefault="009A3E3D" w:rsidP="00112190">
      <w:pPr>
        <w:spacing w:line="240" w:lineRule="auto"/>
      </w:pPr>
      <w:r>
        <w:continuationSeparator/>
      </w:r>
    </w:p>
  </w:footnote>
  <w:footnote w:id="1">
    <w:p w14:paraId="60A77655" w14:textId="77777777" w:rsidR="00BB6C2F" w:rsidRPr="004E65C1" w:rsidRDefault="00BB6C2F" w:rsidP="00BB6C2F">
      <w:pPr>
        <w:pStyle w:val="Funotentext"/>
      </w:pPr>
      <w:r>
        <w:rPr>
          <w:rStyle w:val="Funotenzeichen"/>
        </w:rPr>
        <w:footnoteRef/>
      </w:r>
      <w:r w:rsidRPr="003A68C5">
        <w:rPr>
          <w:lang w:val="en-US"/>
        </w:rPr>
        <w:t xml:space="preserve"> IPCC 2023: 4. AR6 Climate Change 2022 Mitigation of Climate Change. </w:t>
      </w:r>
      <w:r w:rsidRPr="004F7F91">
        <w:t xml:space="preserve">IPCC, 2022. </w:t>
      </w:r>
      <w:r w:rsidRPr="004E65C1">
        <w:t xml:space="preserve">Quelle: </w:t>
      </w:r>
      <w:hyperlink r:id="rId1" w:history="1">
        <w:r w:rsidRPr="004E65C1">
          <w:rPr>
            <w:rStyle w:val="Hyperlink"/>
          </w:rPr>
          <w:t>https://www.ipcc.ch/</w:t>
        </w:r>
      </w:hyperlink>
      <w:r w:rsidRPr="004E65C1">
        <w:t xml:space="preserve"> - Zugegriffen: 14.10.2023. </w:t>
      </w:r>
    </w:p>
  </w:footnote>
  <w:footnote w:id="2">
    <w:p w14:paraId="6AA124FD" w14:textId="77777777" w:rsidR="00BB6C2F" w:rsidRPr="00531690" w:rsidRDefault="00BB6C2F" w:rsidP="00BB6C2F">
      <w:pPr>
        <w:pStyle w:val="Funotentext"/>
      </w:pPr>
      <w:r>
        <w:rPr>
          <w:rStyle w:val="Funotenzeichen"/>
        </w:rPr>
        <w:footnoteRef/>
      </w:r>
      <w:r w:rsidRPr="00531690">
        <w:t xml:space="preserve"> IPCC 2023: 82. </w:t>
      </w:r>
    </w:p>
  </w:footnote>
  <w:footnote w:id="3">
    <w:p w14:paraId="4314EE3A" w14:textId="77777777" w:rsidR="00BB6C2F" w:rsidRPr="00C45C4D" w:rsidRDefault="00BB6C2F" w:rsidP="00BB6C2F">
      <w:pPr>
        <w:pStyle w:val="Funotentext"/>
      </w:pPr>
      <w:r>
        <w:rPr>
          <w:rStyle w:val="Funotenzeichen"/>
        </w:rPr>
        <w:footnoteRef/>
      </w:r>
      <w:r w:rsidRPr="00531690">
        <w:t xml:space="preserve"> Müller-Jung, Joachim. </w:t>
      </w:r>
      <w:r>
        <w:t xml:space="preserve">Die Klimaziele schmelzen wie Gletschereis. </w:t>
      </w:r>
      <w:r w:rsidRPr="006D53C9">
        <w:t xml:space="preserve">FAZ, 30.10.2023. </w:t>
      </w:r>
      <w:r w:rsidRPr="00C45C4D">
        <w:t xml:space="preserve">URL: </w:t>
      </w:r>
      <w:hyperlink r:id="rId2" w:anchor="void" w:history="1">
        <w:r w:rsidRPr="00C45C4D">
          <w:rPr>
            <w:rStyle w:val="Hyperlink"/>
          </w:rPr>
          <w:t>https://www.faz.net/aktuell/wissen/neues-co-budget-die-klimaziele-schmelzen-wie-gletschereis-19278553.html?GEPC=s9#void</w:t>
        </w:r>
      </w:hyperlink>
      <w:r w:rsidRPr="00C45C4D">
        <w:t xml:space="preserve"> </w:t>
      </w:r>
      <w:r>
        <w:t>–</w:t>
      </w:r>
      <w:r w:rsidRPr="00C45C4D">
        <w:t xml:space="preserve"> Zu</w:t>
      </w:r>
      <w:r>
        <w:t xml:space="preserve">gegriffen: 31.10.2023. Diese 250 Mrd. Tonnen, die in diesem Artikel erwähnt werden, sind aber nicht auf der Webseite vom IPCC zu finden, etwa bei Pressemitteilungen. </w:t>
      </w:r>
    </w:p>
  </w:footnote>
  <w:footnote w:id="4">
    <w:p w14:paraId="34E3F769" w14:textId="195D67B6" w:rsidR="00052004" w:rsidRDefault="00052004" w:rsidP="00052004">
      <w:pPr>
        <w:pStyle w:val="Funotentext"/>
      </w:pPr>
      <w:r>
        <w:rPr>
          <w:rStyle w:val="Funotenzeichen"/>
        </w:rPr>
        <w:footnoteRef/>
      </w:r>
      <w:r>
        <w:t xml:space="preserve"> Diese Auflistung ist entnommen aus: Bundesgesetzblatt Annex A </w:t>
      </w:r>
      <w:proofErr w:type="spellStart"/>
      <w:r>
        <w:t>to</w:t>
      </w:r>
      <w:proofErr w:type="spellEnd"/>
      <w:r>
        <w:t xml:space="preserve"> </w:t>
      </w:r>
      <w:proofErr w:type="spellStart"/>
      <w:r>
        <w:t>the</w:t>
      </w:r>
      <w:proofErr w:type="spellEnd"/>
      <w:r>
        <w:t xml:space="preserve"> Kyoto Protocol, 2015: </w:t>
      </w:r>
      <w:hyperlink r:id="rId3" w:anchor="/text/bgbl215s0306.pdf?_ts=1744538288987" w:history="1">
        <w:r w:rsidRPr="001B0D55">
          <w:rPr>
            <w:rStyle w:val="Hyperlink"/>
          </w:rPr>
          <w:t>https://www.bgbl.de/xaver/bgbl/start.xav?startbk=Bundesanzeiger_BGBl&amp;jumpTo=bgbl215s0306.pdf#/text/bgbl215s0306.pdf?_ts=1744538288987</w:t>
        </w:r>
      </w:hyperlink>
      <w:r>
        <w:t xml:space="preserve"> – Zugegriffen: 11.04.2025. Im Original Kyoto Protokoll ist die Liste kürzer: Carbon </w:t>
      </w:r>
      <w:proofErr w:type="spellStart"/>
      <w:r>
        <w:t>dioxide</w:t>
      </w:r>
      <w:proofErr w:type="spellEnd"/>
      <w:r>
        <w:t xml:space="preserve"> (CO2); </w:t>
      </w:r>
      <w:proofErr w:type="spellStart"/>
      <w:r w:rsidRPr="00052004">
        <w:t>Methane</w:t>
      </w:r>
      <w:proofErr w:type="spellEnd"/>
      <w:r w:rsidRPr="00052004">
        <w:t xml:space="preserve"> (CH4)</w:t>
      </w:r>
      <w:r>
        <w:t xml:space="preserve">; </w:t>
      </w:r>
      <w:proofErr w:type="spellStart"/>
      <w:r w:rsidRPr="00052004">
        <w:t>Nitrous</w:t>
      </w:r>
      <w:proofErr w:type="spellEnd"/>
      <w:r w:rsidRPr="00052004">
        <w:t xml:space="preserve"> </w:t>
      </w:r>
      <w:proofErr w:type="spellStart"/>
      <w:r w:rsidRPr="00052004">
        <w:t>oxide</w:t>
      </w:r>
      <w:proofErr w:type="spellEnd"/>
      <w:r w:rsidRPr="00052004">
        <w:t xml:space="preserve"> (NO2)</w:t>
      </w:r>
      <w:r>
        <w:t xml:space="preserve">; </w:t>
      </w:r>
      <w:proofErr w:type="spellStart"/>
      <w:r>
        <w:t>Hydrofluorocarbons</w:t>
      </w:r>
      <w:proofErr w:type="spellEnd"/>
      <w:r>
        <w:t xml:space="preserve"> (HFCs); </w:t>
      </w:r>
      <w:proofErr w:type="spellStart"/>
      <w:r>
        <w:t>Perfluorocarbons</w:t>
      </w:r>
      <w:proofErr w:type="spellEnd"/>
      <w:r>
        <w:t xml:space="preserve"> (PFCs); Sulphur </w:t>
      </w:r>
      <w:proofErr w:type="spellStart"/>
      <w:r>
        <w:t>hexafluoride</w:t>
      </w:r>
      <w:proofErr w:type="spellEnd"/>
      <w:r>
        <w:t xml:space="preserve"> (SF)</w:t>
      </w:r>
      <w:r w:rsidR="00224A2F">
        <w:t>, siehe</w:t>
      </w:r>
      <w:r>
        <w:t xml:space="preserve">: </w:t>
      </w:r>
      <w:hyperlink r:id="rId4" w:history="1">
        <w:r w:rsidRPr="001B0D55">
          <w:rPr>
            <w:rStyle w:val="Hyperlink"/>
          </w:rPr>
          <w:t>https://unfccc.int/sites/default/files/resource/docs/cop3/l07a01.pdf?download</w:t>
        </w:r>
      </w:hyperlink>
      <w:r>
        <w:t xml:space="preserve"> - Zugegriffen: 11.04.2025. </w:t>
      </w:r>
    </w:p>
  </w:footnote>
  <w:footnote w:id="5">
    <w:p w14:paraId="6BE81154" w14:textId="77777777" w:rsidR="00052004" w:rsidRDefault="00052004" w:rsidP="00052004">
      <w:pPr>
        <w:pStyle w:val="Funotentext"/>
      </w:pPr>
      <w:r>
        <w:rPr>
          <w:rStyle w:val="Funotenzeichen"/>
        </w:rPr>
        <w:footnoteRef/>
      </w:r>
      <w:r>
        <w:t xml:space="preserve"> „</w:t>
      </w:r>
      <w:r w:rsidRPr="001E5CD8">
        <w:t xml:space="preserve">Treibhausgase sind diejenigen gasförmigen Bestandteile in der </w:t>
      </w:r>
      <w:r w:rsidRPr="001E5CD8">
        <w:rPr>
          <w:rFonts w:ascii="Tahoma" w:hAnsi="Tahoma" w:cs="Tahoma"/>
        </w:rPr>
        <w:t>⁠</w:t>
      </w:r>
      <w:r w:rsidRPr="001E5CD8">
        <w:t>Atmosph</w:t>
      </w:r>
      <w:r w:rsidRPr="001E5CD8">
        <w:rPr>
          <w:rFonts w:cs="Calibri"/>
        </w:rPr>
        <w:t>ä</w:t>
      </w:r>
      <w:r w:rsidRPr="001E5CD8">
        <w:t>re</w:t>
      </w:r>
      <w:r w:rsidRPr="001E5CD8">
        <w:rPr>
          <w:rFonts w:ascii="Tahoma" w:hAnsi="Tahoma" w:cs="Tahoma"/>
        </w:rPr>
        <w:t>⁠</w:t>
      </w:r>
      <w:r w:rsidRPr="001E5CD8">
        <w:t>, sowohl nat</w:t>
      </w:r>
      <w:r w:rsidRPr="001E5CD8">
        <w:rPr>
          <w:rFonts w:cs="Calibri"/>
        </w:rPr>
        <w:t>ü</w:t>
      </w:r>
      <w:r w:rsidRPr="001E5CD8">
        <w:t xml:space="preserve">rlichen wie anthropogenen Ursprungs, welche thermische Infrarotstrahlung absorbieren und wieder ausstrahlen. Diese Eigenschaft verursacht den </w:t>
      </w:r>
      <w:r w:rsidRPr="001E5CD8">
        <w:rPr>
          <w:rFonts w:ascii="Tahoma" w:hAnsi="Tahoma" w:cs="Tahoma"/>
        </w:rPr>
        <w:t>⁠</w:t>
      </w:r>
      <w:r w:rsidRPr="001E5CD8">
        <w:t>Treibhauseffekt</w:t>
      </w:r>
      <w:r w:rsidRPr="001E5CD8">
        <w:rPr>
          <w:rFonts w:ascii="Tahoma" w:hAnsi="Tahoma" w:cs="Tahoma"/>
        </w:rPr>
        <w:t>⁠</w:t>
      </w:r>
      <w:r w:rsidRPr="001E5CD8">
        <w:t>. Wasserdampf (H2O), Kohlendioxid (CO2), Lachgas (N2O), Methan (CH4) und Ozon (O3) sind die Haupttreibhausgase in der Erdatmosph</w:t>
      </w:r>
      <w:r w:rsidRPr="001E5CD8">
        <w:rPr>
          <w:rFonts w:cs="Calibri"/>
        </w:rPr>
        <w:t>ä</w:t>
      </w:r>
      <w:r w:rsidRPr="001E5CD8">
        <w:t>re. Au</w:t>
      </w:r>
      <w:r w:rsidRPr="001E5CD8">
        <w:rPr>
          <w:rFonts w:cs="Calibri"/>
        </w:rPr>
        <w:t>ß</w:t>
      </w:r>
      <w:r w:rsidRPr="001E5CD8">
        <w:t>erdem gibt es eine Vielzahl von ausschlie</w:t>
      </w:r>
      <w:r w:rsidRPr="001E5CD8">
        <w:rPr>
          <w:rFonts w:cs="Calibri"/>
        </w:rPr>
        <w:t>ß</w:t>
      </w:r>
      <w:r w:rsidRPr="001E5CD8">
        <w:t>lich vom Menschen produzierten Treibhausgasen in der Atmosph</w:t>
      </w:r>
      <w:r w:rsidRPr="001E5CD8">
        <w:rPr>
          <w:rFonts w:cs="Calibri"/>
        </w:rPr>
        <w:t>ä</w:t>
      </w:r>
      <w:r w:rsidRPr="001E5CD8">
        <w:t>re, wie die Halogenkohlenwasserstoffe und andere chlor- und bromhaltige Substanzen.</w:t>
      </w:r>
      <w:r>
        <w:t xml:space="preserve">“ Definition vom Umweltbundesamt: </w:t>
      </w:r>
      <w:hyperlink r:id="rId5" w:anchor="alphabar" w:history="1">
        <w:r w:rsidRPr="0039637B">
          <w:rPr>
            <w:rStyle w:val="Hyperlink"/>
          </w:rPr>
          <w:t>https://www.umweltbundesamt.de/service/glossar/t?tag=Treibhausgas#alphabar</w:t>
        </w:r>
      </w:hyperlink>
      <w:r>
        <w:t xml:space="preserve"> – Zugegriffen: 14.10.2023.</w:t>
      </w:r>
    </w:p>
  </w:footnote>
  <w:footnote w:id="6">
    <w:p w14:paraId="1FDD8568" w14:textId="7E7F14B6" w:rsidR="0065179C" w:rsidRDefault="0065179C">
      <w:pPr>
        <w:pStyle w:val="Funotentext"/>
      </w:pPr>
      <w:r>
        <w:rPr>
          <w:rStyle w:val="Funotenzeichen"/>
        </w:rPr>
        <w:footnoteRef/>
      </w:r>
      <w:r>
        <w:t xml:space="preserve"> Siehe: </w:t>
      </w:r>
      <w:hyperlink r:id="rId6" w:history="1">
        <w:r w:rsidRPr="00083B1E">
          <w:rPr>
            <w:rStyle w:val="Hyperlink"/>
          </w:rPr>
          <w:t>https://www.umweltbundesamt.de/themen/klima-energie/klimaschutz-energiepolitik-in-deutschland/treibhausgas-emissionen/die-treibhausgase</w:t>
        </w:r>
      </w:hyperlink>
      <w:r>
        <w:t xml:space="preserve"> - Zugegriffen: 15.05.2025. </w:t>
      </w:r>
    </w:p>
  </w:footnote>
  <w:footnote w:id="7">
    <w:p w14:paraId="19C8F3D6" w14:textId="3737725F" w:rsidR="00112190" w:rsidRDefault="00112190" w:rsidP="00112190">
      <w:pPr>
        <w:pStyle w:val="Funotentext"/>
      </w:pPr>
      <w:r>
        <w:rPr>
          <w:rStyle w:val="Funotenzeichen"/>
        </w:rPr>
        <w:footnoteRef/>
      </w:r>
      <w:r>
        <w:t xml:space="preserve"> Dies ist Szenario C1. Hier finden sich mehrere Szenarien. IPCC 20</w:t>
      </w:r>
      <w:r w:rsidR="008F15DB">
        <w:t>2</w:t>
      </w:r>
      <w:r>
        <w:t xml:space="preserve">3: 84. </w:t>
      </w:r>
      <w:r w:rsidR="008F15DB">
        <w:t xml:space="preserve">Eine erste Erwähnung fand das 43 % Ziel wohl 2022, im Sechsten Sachstandsbericht der Arbeitsgruppe III des Zwischenstaatlichen Ausschusses für Klimaveränderungen (IPCC), April 2022, diese Info ist entnommen aus ChatGPT. Siehe: </w:t>
      </w:r>
      <w:r>
        <w:t xml:space="preserve">IPCC Mitigation 2022: 79-80. </w:t>
      </w:r>
      <w:bookmarkStart w:id="5" w:name="_Hlk148208498"/>
      <w:r w:rsidR="008F15DB">
        <w:t xml:space="preserve">Siehe die </w:t>
      </w:r>
      <w:proofErr w:type="gramStart"/>
      <w:r w:rsidR="008F15DB">
        <w:t>IPCC Webseite</w:t>
      </w:r>
      <w:proofErr w:type="gramEnd"/>
      <w:r w:rsidR="008F15DB">
        <w:t xml:space="preserve"> hier: </w:t>
      </w:r>
      <w:hyperlink r:id="rId7" w:history="1">
        <w:r w:rsidR="008F15DB" w:rsidRPr="00932F3C">
          <w:rPr>
            <w:rStyle w:val="Hyperlink"/>
          </w:rPr>
          <w:t>https://www.ipcc.ch/2022/04/04/ipcc-ar6-wgiii-pressrelease/</w:t>
        </w:r>
      </w:hyperlink>
      <w:r w:rsidR="008F15DB">
        <w:t xml:space="preserve"> - Zugegriffen: 20.04.2025.</w:t>
      </w:r>
      <w:r>
        <w:t xml:space="preserve">Die gesamten Treibhausgasemissionen (Green House Gas </w:t>
      </w:r>
      <w:proofErr w:type="spellStart"/>
      <w:r>
        <w:t>Emissions</w:t>
      </w:r>
      <w:proofErr w:type="spellEnd"/>
      <w:r>
        <w:t>, GHG) enthalten CO2, Methan, Lachgas, fluorierte Gase und Freisetzungen von CO2 aufgrund von Landnutzungsänderungen, etwa Abholzung oder Trockenlegung von Mooren.</w:t>
      </w:r>
    </w:p>
    <w:bookmarkEnd w:id="5"/>
  </w:footnote>
  <w:footnote w:id="8">
    <w:p w14:paraId="4D3F22C5" w14:textId="77777777" w:rsidR="00112190" w:rsidRPr="00DD3E62" w:rsidRDefault="00112190" w:rsidP="00112190">
      <w:pPr>
        <w:pStyle w:val="Funotentext"/>
        <w:rPr>
          <w:lang w:val="en-GB"/>
        </w:rPr>
      </w:pPr>
      <w:r>
        <w:rPr>
          <w:rStyle w:val="Funotenzeichen"/>
        </w:rPr>
        <w:footnoteRef/>
      </w:r>
      <w:r w:rsidRPr="00DD3E62">
        <w:rPr>
          <w:lang w:val="en-GB"/>
        </w:rPr>
        <w:t xml:space="preserve"> </w:t>
      </w:r>
      <w:proofErr w:type="spellStart"/>
      <w:r>
        <w:rPr>
          <w:lang w:val="en-GB"/>
        </w:rPr>
        <w:t>Siehe</w:t>
      </w:r>
      <w:proofErr w:type="spellEnd"/>
      <w:r>
        <w:rPr>
          <w:lang w:val="en-GB"/>
        </w:rPr>
        <w:t xml:space="preserve">: </w:t>
      </w:r>
      <w:proofErr w:type="spellStart"/>
      <w:r>
        <w:rPr>
          <w:lang w:val="en-GB"/>
        </w:rPr>
        <w:t>Abschnitt</w:t>
      </w:r>
      <w:proofErr w:type="spellEnd"/>
      <w:r>
        <w:rPr>
          <w:lang w:val="en-GB"/>
        </w:rPr>
        <w:t xml:space="preserve"> B, Abs. 13: “</w:t>
      </w:r>
      <w:r w:rsidRPr="00DD3E62">
        <w:rPr>
          <w:lang w:val="en-GB"/>
        </w:rPr>
        <w:t>in order to reduce global GHG emissions by 43 per cent by 2030 and further by 60 per cent by 2035 compared with 2019 levels and reach net zero CO2 emissions by 2050 globally.</w:t>
      </w:r>
      <w:r>
        <w:rPr>
          <w:lang w:val="en-GB"/>
        </w:rPr>
        <w:t>” in</w:t>
      </w:r>
      <w:r w:rsidRPr="00DD3E62">
        <w:rPr>
          <w:lang w:val="en-GB"/>
        </w:rPr>
        <w:t xml:space="preserve">: Technical dialogue of the first global stocktake. Synthesis report by the co-facilitators on the technical dialogue, FCCC/SB/2023/9, 08 September 2023: https://unfccc.int/documents/631600 - </w:t>
      </w:r>
      <w:proofErr w:type="spellStart"/>
      <w:r w:rsidRPr="00DD3E62">
        <w:rPr>
          <w:lang w:val="en-GB"/>
        </w:rPr>
        <w:t>Zugegriffen</w:t>
      </w:r>
      <w:proofErr w:type="spellEnd"/>
      <w:r w:rsidRPr="00DD3E62">
        <w:rPr>
          <w:lang w:val="en-GB"/>
        </w:rPr>
        <w:t>: 22.12.2023.</w:t>
      </w:r>
    </w:p>
  </w:footnote>
  <w:footnote w:id="9">
    <w:p w14:paraId="4FDAA9F6" w14:textId="77777777" w:rsidR="00014AFA" w:rsidRDefault="00014AFA" w:rsidP="00014AFA">
      <w:pPr>
        <w:pStyle w:val="Funotentext"/>
      </w:pPr>
      <w:r>
        <w:rPr>
          <w:rStyle w:val="Funotenzeichen"/>
        </w:rPr>
        <w:footnoteRef/>
      </w:r>
      <w:r>
        <w:t xml:space="preserve"> Siehe: </w:t>
      </w:r>
      <w:hyperlink r:id="rId8" w:history="1">
        <w:r w:rsidRPr="00D414D2">
          <w:rPr>
            <w:rStyle w:val="Hyperlink"/>
          </w:rPr>
          <w:t>https://edgar.jrc.ec.europa.eu/</w:t>
        </w:r>
      </w:hyperlink>
      <w:r>
        <w:t xml:space="preserve"> - Zugegriffen: 14.10.2023. In der EDGAR Datenbank wurden die Werte für 2022 leicht verändert, die Excel-Tabellen sind nicht mehr identisch, wenn man zeitlich später zugreift, etwa am 07.06.2024. Es können hier aber nicht alle Werte erneut eingegeben werden. Die Größenordnungen haben sich nicht geändert. </w:t>
      </w:r>
    </w:p>
  </w:footnote>
  <w:footnote w:id="10">
    <w:p w14:paraId="0A25CB18" w14:textId="77777777" w:rsidR="00112190" w:rsidRPr="00397351" w:rsidRDefault="00112190" w:rsidP="00112190">
      <w:pPr>
        <w:pStyle w:val="Funotentext"/>
      </w:pPr>
      <w:r>
        <w:rPr>
          <w:rStyle w:val="Funotenzeichen"/>
        </w:rPr>
        <w:footnoteRef/>
      </w:r>
      <w:r w:rsidRPr="003A68C5">
        <w:t xml:space="preserve"> Daten aus EDGAR Datenbank: GHG </w:t>
      </w:r>
      <w:proofErr w:type="spellStart"/>
      <w:r w:rsidRPr="003A68C5">
        <w:t>Emissions</w:t>
      </w:r>
      <w:proofErr w:type="spellEnd"/>
      <w:r w:rsidRPr="003A68C5">
        <w:t xml:space="preserve"> </w:t>
      </w:r>
      <w:proofErr w:type="spellStart"/>
      <w:r w:rsidRPr="003A68C5">
        <w:t>of</w:t>
      </w:r>
      <w:proofErr w:type="spellEnd"/>
      <w:r w:rsidRPr="003A68C5">
        <w:t xml:space="preserve"> all World Countries 2023. </w:t>
      </w:r>
      <w:r w:rsidRPr="00397351">
        <w:t>Sie</w:t>
      </w:r>
      <w:r>
        <w:t xml:space="preserve">he: </w:t>
      </w:r>
      <w:hyperlink r:id="rId9" w:history="1">
        <w:r w:rsidRPr="008618CF">
          <w:rPr>
            <w:rStyle w:val="Hyperlink"/>
          </w:rPr>
          <w:t>https://edgar.jrc.ec.europa.eu/</w:t>
        </w:r>
      </w:hyperlink>
      <w:r>
        <w:t xml:space="preserve"> - Zugegriffen: 14.10.2023. </w:t>
      </w:r>
    </w:p>
  </w:footnote>
  <w:footnote w:id="11">
    <w:p w14:paraId="66ECFDEE" w14:textId="77777777" w:rsidR="00112190" w:rsidRPr="00A25092" w:rsidRDefault="00112190" w:rsidP="00112190">
      <w:pPr>
        <w:pStyle w:val="Funotentext"/>
        <w:rPr>
          <w:lang w:val="en-GB"/>
        </w:rPr>
      </w:pPr>
      <w:r>
        <w:rPr>
          <w:rStyle w:val="Funotenzeichen"/>
        </w:rPr>
        <w:footnoteRef/>
      </w:r>
      <w:r w:rsidRPr="00397351">
        <w:t xml:space="preserve"> Eigene Berechnungen. </w:t>
      </w:r>
      <w:r w:rsidRPr="00A25092">
        <w:rPr>
          <w:lang w:val="en-GB"/>
        </w:rPr>
        <w:t xml:space="preserve">Daten </w:t>
      </w:r>
      <w:proofErr w:type="spellStart"/>
      <w:r w:rsidRPr="00A25092">
        <w:rPr>
          <w:lang w:val="en-GB"/>
        </w:rPr>
        <w:t>aus</w:t>
      </w:r>
      <w:proofErr w:type="spellEnd"/>
      <w:r w:rsidRPr="00A25092">
        <w:rPr>
          <w:lang w:val="en-GB"/>
        </w:rPr>
        <w:t>: GHG Emissions of all World Countries 2023.</w:t>
      </w:r>
    </w:p>
  </w:footnote>
  <w:footnote w:id="12">
    <w:p w14:paraId="65E17242" w14:textId="5B767719" w:rsidR="00C63846" w:rsidRPr="00514D7A" w:rsidRDefault="00C63846" w:rsidP="00C63846">
      <w:pPr>
        <w:pStyle w:val="Funotentext"/>
        <w:rPr>
          <w:lang w:val="en-GB"/>
        </w:rPr>
      </w:pPr>
      <w:r>
        <w:rPr>
          <w:rStyle w:val="Funotenzeichen"/>
        </w:rPr>
        <w:footnoteRef/>
      </w:r>
      <w:r w:rsidRPr="00514D7A">
        <w:rPr>
          <w:lang w:val="en-GB"/>
        </w:rPr>
        <w:t xml:space="preserve"> Global Energy Monitor, Coal Power</w:t>
      </w:r>
      <w:r>
        <w:rPr>
          <w:lang w:val="en-GB"/>
        </w:rPr>
        <w:t xml:space="preserve"> by Country: Annual CO2 (Million Tonnes), </w:t>
      </w:r>
      <w:proofErr w:type="spellStart"/>
      <w:r>
        <w:rPr>
          <w:lang w:val="en-GB"/>
        </w:rPr>
        <w:t>siehe</w:t>
      </w:r>
      <w:proofErr w:type="spellEnd"/>
      <w:r>
        <w:rPr>
          <w:lang w:val="en-GB"/>
        </w:rPr>
        <w:t xml:space="preserve">: </w:t>
      </w:r>
      <w:hyperlink r:id="rId10" w:history="1">
        <w:r w:rsidRPr="003B12DC">
          <w:rPr>
            <w:rStyle w:val="Hyperlink"/>
            <w:lang w:val="en-GB"/>
          </w:rPr>
          <w:t>https://globalenergymonitor.org</w:t>
        </w:r>
      </w:hyperlink>
      <w:r w:rsidRPr="00514D7A">
        <w:rPr>
          <w:lang w:val="en-GB"/>
        </w:rPr>
        <w:t xml:space="preserve"> – </w:t>
      </w:r>
      <w:proofErr w:type="spellStart"/>
      <w:r w:rsidRPr="00514D7A">
        <w:rPr>
          <w:lang w:val="en-GB"/>
        </w:rPr>
        <w:t>Zugegriffen</w:t>
      </w:r>
      <w:proofErr w:type="spellEnd"/>
      <w:r w:rsidRPr="00514D7A">
        <w:rPr>
          <w:lang w:val="en-GB"/>
        </w:rPr>
        <w:t>: 28.11.2023.</w:t>
      </w:r>
    </w:p>
  </w:footnote>
  <w:footnote w:id="13">
    <w:p w14:paraId="30BE219C" w14:textId="22D04C0F" w:rsidR="00BA48A7" w:rsidRDefault="00BA48A7" w:rsidP="00BA48A7">
      <w:pPr>
        <w:pStyle w:val="Funotentext"/>
      </w:pPr>
      <w:r>
        <w:rPr>
          <w:rStyle w:val="Funotenzeichen"/>
        </w:rPr>
        <w:footnoteRef/>
      </w:r>
      <w:r>
        <w:t xml:space="preserve"> Als eine von vielen Firmen bietet beispielsweise die Firma ASCO einen Drucktank für CO2 an: 14 Meter Höhe, 3,2 Meter Durchmesser, 24 bar Druck, für 100 Tonnen CO2. Siehe die Firma ASCO mit ihren CO2-Lagertanks: </w:t>
      </w:r>
      <w:hyperlink r:id="rId11" w:history="1">
        <w:r w:rsidRPr="00AD3C1F">
          <w:rPr>
            <w:rStyle w:val="Hyperlink"/>
          </w:rPr>
          <w:t>https://www.ascoco2.com/co2-und-trockeneiszubehoer/co2-lagerung/polyurethanisolierter-co2-lagertank</w:t>
        </w:r>
      </w:hyperlink>
      <w:r>
        <w:t xml:space="preserve"> - Zugegriffen: 09.09.2024. </w:t>
      </w:r>
    </w:p>
  </w:footnote>
  <w:footnote w:id="14">
    <w:p w14:paraId="3179BB61" w14:textId="77777777" w:rsidR="00C63846" w:rsidRDefault="00C63846" w:rsidP="00C63846">
      <w:pPr>
        <w:pStyle w:val="Funotentext"/>
      </w:pPr>
      <w:r>
        <w:rPr>
          <w:rStyle w:val="Funotenzeichen"/>
        </w:rPr>
        <w:footnoteRef/>
      </w:r>
      <w:r>
        <w:t xml:space="preserve"> Siehe: </w:t>
      </w:r>
      <w:hyperlink r:id="rId12" w:history="1">
        <w:r w:rsidRPr="001B0D55">
          <w:rPr>
            <w:rStyle w:val="Hyperlink"/>
          </w:rPr>
          <w:t>https://www.ingenieur.de/technik/fachbereiche/umwelt/vom-umweltgift-zum-wertstoff-anlage-produziert-kohlenstoff-aus-umgebungsluft/</w:t>
        </w:r>
      </w:hyperlink>
      <w:r>
        <w:t xml:space="preserve"> - Zugegriffen: 13.04.2025. </w:t>
      </w:r>
    </w:p>
  </w:footnote>
  <w:footnote w:id="15">
    <w:p w14:paraId="2616444B" w14:textId="77777777" w:rsidR="00C63846" w:rsidRDefault="00C63846" w:rsidP="00C63846">
      <w:pPr>
        <w:pStyle w:val="Funotentext"/>
      </w:pPr>
      <w:r>
        <w:rPr>
          <w:rStyle w:val="Funotenzeichen"/>
        </w:rPr>
        <w:footnoteRef/>
      </w:r>
      <w:r>
        <w:t xml:space="preserve"> Siehe: </w:t>
      </w:r>
      <w:hyperlink r:id="rId13" w:history="1">
        <w:r w:rsidRPr="001B0D55">
          <w:rPr>
            <w:rStyle w:val="Hyperlink"/>
          </w:rPr>
          <w:t>https://www.tvt.kit.edu/21_3547.php</w:t>
        </w:r>
      </w:hyperlink>
      <w:r>
        <w:t xml:space="preserve"> - Zugegriffen: 11.04.2025. </w:t>
      </w:r>
    </w:p>
  </w:footnote>
  <w:footnote w:id="16">
    <w:p w14:paraId="3F46B2BC" w14:textId="77777777" w:rsidR="00C63846" w:rsidRDefault="00C63846" w:rsidP="00C63846">
      <w:pPr>
        <w:pStyle w:val="Funotentext"/>
      </w:pPr>
      <w:r>
        <w:rPr>
          <w:rStyle w:val="Funotenzeichen"/>
        </w:rPr>
        <w:footnoteRef/>
      </w:r>
      <w:r>
        <w:t xml:space="preserve"> Siehe die Webseite von Benjamin Dietrich: </w:t>
      </w:r>
      <w:hyperlink r:id="rId14" w:history="1">
        <w:r w:rsidRPr="001B0D55">
          <w:rPr>
            <w:rStyle w:val="Hyperlink"/>
          </w:rPr>
          <w:t>https://www.tvt.kit.edu/21_113.php</w:t>
        </w:r>
      </w:hyperlink>
      <w:r>
        <w:t xml:space="preserve"> - Zugegriffen: 11.04.2025. </w:t>
      </w:r>
    </w:p>
  </w:footnote>
  <w:footnote w:id="17">
    <w:p w14:paraId="1643A6B3" w14:textId="77777777" w:rsidR="00C63846" w:rsidRDefault="00C63846" w:rsidP="00C63846">
      <w:pPr>
        <w:pStyle w:val="Funotentext"/>
      </w:pPr>
      <w:r>
        <w:rPr>
          <w:rStyle w:val="Funotenzeichen"/>
        </w:rPr>
        <w:footnoteRef/>
      </w:r>
      <w:r>
        <w:t xml:space="preserve"> Siehe </w:t>
      </w:r>
      <w:r w:rsidRPr="00385CB9">
        <w:t>Erzeugung von CO2-Negativem Kohlenstoff und Wasserstoff aus Biogas (BioNeCH2)</w:t>
      </w:r>
      <w:r>
        <w:t xml:space="preserve">: </w:t>
      </w:r>
      <w:hyperlink r:id="rId15" w:history="1">
        <w:r w:rsidRPr="001B0D55">
          <w:rPr>
            <w:rStyle w:val="Hyperlink"/>
          </w:rPr>
          <w:t>https://www.tvt.kit.edu/21_4251.php</w:t>
        </w:r>
      </w:hyperlink>
      <w:r>
        <w:t xml:space="preserve"> - Zugegriffen: 11.04.2025. </w:t>
      </w:r>
    </w:p>
  </w:footnote>
  <w:footnote w:id="18">
    <w:p w14:paraId="3C5ED0AF" w14:textId="77777777" w:rsidR="00C63846" w:rsidRDefault="00C63846" w:rsidP="00C63846">
      <w:pPr>
        <w:pStyle w:val="Funotentext"/>
      </w:pPr>
      <w:r>
        <w:rPr>
          <w:rStyle w:val="Funotenzeichen"/>
        </w:rPr>
        <w:footnoteRef/>
      </w:r>
      <w:r>
        <w:t xml:space="preserve"> Siehe: </w:t>
      </w:r>
      <w:hyperlink r:id="rId16" w:history="1">
        <w:r w:rsidRPr="001B0D55">
          <w:rPr>
            <w:rStyle w:val="Hyperlink"/>
          </w:rPr>
          <w:t>https://www.faz.net/aktuell/wissen/zukunftstechnologie-so-wird-aus-co2-reiner-kohlenstoff-18664300.html</w:t>
        </w:r>
      </w:hyperlink>
      <w:r>
        <w:t xml:space="preserve"> - Zugegriffen: 11.04.2025. </w:t>
      </w:r>
    </w:p>
  </w:footnote>
  <w:footnote w:id="19">
    <w:p w14:paraId="697DAD44" w14:textId="77777777" w:rsidR="00A911FC" w:rsidRDefault="00A911FC" w:rsidP="00A911FC">
      <w:pPr>
        <w:pStyle w:val="Funotentext"/>
      </w:pPr>
      <w:r>
        <w:rPr>
          <w:rStyle w:val="Funotenzeichen"/>
        </w:rPr>
        <w:footnoteRef/>
      </w:r>
      <w:r>
        <w:t xml:space="preserve"> Siehe: </w:t>
      </w:r>
      <w:hyperlink r:id="rId17" w:history="1">
        <w:r w:rsidRPr="00D414D2">
          <w:rPr>
            <w:rStyle w:val="Hyperlink"/>
          </w:rPr>
          <w:t>https://edgar.jrc.ec.europa.eu/</w:t>
        </w:r>
      </w:hyperlink>
      <w:r>
        <w:t xml:space="preserve"> - Zugegriffen: 14.10.2023. In der EDGAR Datenbank wurden die Werte für 2022 leicht verändert, die Excel-Tabellen sind nicht mehr identisch, wenn man zeitlich später zugreift, etwa am 07.06.2024. Es können hier aber nicht alle Werte erneut eingegeben werden. Die Größenordnungen haben sich nicht geändert. </w:t>
      </w:r>
    </w:p>
  </w:footnote>
  <w:footnote w:id="20">
    <w:p w14:paraId="156CFA40" w14:textId="77777777" w:rsidR="00A911FC" w:rsidRPr="002441A3" w:rsidRDefault="00A911FC" w:rsidP="00A911FC">
      <w:pPr>
        <w:pStyle w:val="Funotentext"/>
      </w:pPr>
      <w:r>
        <w:rPr>
          <w:rStyle w:val="Funotenzeichen"/>
        </w:rPr>
        <w:footnoteRef/>
      </w:r>
      <w:r w:rsidRPr="002441A3">
        <w:t xml:space="preserve"> World Energy Outlook 2023: 268. </w:t>
      </w:r>
    </w:p>
  </w:footnote>
  <w:footnote w:id="21">
    <w:p w14:paraId="0D5D28E3" w14:textId="77777777" w:rsidR="00A911FC" w:rsidRPr="00B9236C" w:rsidRDefault="00A911FC" w:rsidP="00A911FC">
      <w:pPr>
        <w:pStyle w:val="Funotentext"/>
      </w:pPr>
      <w:r>
        <w:rPr>
          <w:rStyle w:val="Funotenzeichen"/>
        </w:rPr>
        <w:footnoteRef/>
      </w:r>
      <w:r w:rsidRPr="00B9236C">
        <w:t xml:space="preserve"> Siehe: </w:t>
      </w:r>
      <w:hyperlink r:id="rId18" w:history="1">
        <w:r w:rsidRPr="008633A4">
          <w:rPr>
            <w:rStyle w:val="Hyperlink"/>
          </w:rPr>
          <w:t>https://en.wikipedia.org/wiki/List_of_coal-fired_power_stations_in_Vietnam</w:t>
        </w:r>
      </w:hyperlink>
      <w:r>
        <w:t xml:space="preserve"> - Zugegriffen: 22.11.2023. Siehe auch Global Energy Monitor Wiki: </w:t>
      </w:r>
      <w:hyperlink r:id="rId19" w:history="1">
        <w:r w:rsidRPr="008633A4">
          <w:rPr>
            <w:rStyle w:val="Hyperlink"/>
          </w:rPr>
          <w:t>https://www.gem.wiki/Na_Duong_power_station</w:t>
        </w:r>
      </w:hyperlink>
      <w:r>
        <w:t xml:space="preserve"> - Zugegriffen: 22.11.2023.</w:t>
      </w:r>
    </w:p>
  </w:footnote>
  <w:footnote w:id="22">
    <w:p w14:paraId="6E26137F" w14:textId="190256F6" w:rsidR="00802B56" w:rsidRPr="00802B56" w:rsidRDefault="00802B56">
      <w:pPr>
        <w:pStyle w:val="Funotentext"/>
      </w:pPr>
      <w:r>
        <w:rPr>
          <w:rStyle w:val="Funotenzeichen"/>
        </w:rPr>
        <w:footnoteRef/>
      </w:r>
      <w:r w:rsidRPr="00802B56">
        <w:t xml:space="preserve"> Siehe Wikipedia: </w:t>
      </w:r>
      <w:hyperlink r:id="rId20" w:history="1">
        <w:r w:rsidRPr="001B0D55">
          <w:rPr>
            <w:rStyle w:val="Hyperlink"/>
          </w:rPr>
          <w:t>https://de.wikipedia.org/wiki/Kohlekraftwerk</w:t>
        </w:r>
      </w:hyperlink>
      <w:r>
        <w:t xml:space="preserve"> </w:t>
      </w:r>
    </w:p>
  </w:footnote>
  <w:footnote w:id="23">
    <w:p w14:paraId="49F632C1" w14:textId="77777777" w:rsidR="00A911FC" w:rsidRPr="00400B27" w:rsidRDefault="00A911FC" w:rsidP="00A911FC">
      <w:pPr>
        <w:pStyle w:val="Funotentext"/>
      </w:pPr>
      <w:r>
        <w:rPr>
          <w:rStyle w:val="Funotenzeichen"/>
        </w:rPr>
        <w:footnoteRef/>
      </w:r>
      <w:r w:rsidRPr="00400B27">
        <w:t xml:space="preserve"> Global Energy Monitor 2023: 7-8.</w:t>
      </w:r>
    </w:p>
  </w:footnote>
  <w:footnote w:id="24">
    <w:p w14:paraId="6201A8F6" w14:textId="6C39EACB" w:rsidR="00802B56" w:rsidRDefault="00802B56">
      <w:pPr>
        <w:pStyle w:val="Funotentext"/>
      </w:pPr>
      <w:r>
        <w:rPr>
          <w:rStyle w:val="Funotenzeichen"/>
        </w:rPr>
        <w:footnoteRef/>
      </w:r>
      <w:r>
        <w:t xml:space="preserve"> ChatGPT. Wie viel kostet ein Kohlekraftwerk. </w:t>
      </w:r>
      <w:proofErr w:type="spellStart"/>
      <w:r>
        <w:t>So weit</w:t>
      </w:r>
      <w:proofErr w:type="spellEnd"/>
      <w:r>
        <w:t xml:space="preserve"> ich mich erinnere, habe ich anderswo noch niedrigere Preise für ein Kraftwerk gebunden z.B. 600 Mill. Euro / US$.</w:t>
      </w:r>
    </w:p>
  </w:footnote>
  <w:footnote w:id="25">
    <w:p w14:paraId="0810FDA0" w14:textId="005A4E6A" w:rsidR="00EB611F" w:rsidRDefault="00EB611F">
      <w:pPr>
        <w:pStyle w:val="Funotentext"/>
      </w:pPr>
      <w:r>
        <w:rPr>
          <w:rStyle w:val="Funotenzeichen"/>
        </w:rPr>
        <w:footnoteRef/>
      </w:r>
      <w:r>
        <w:t xml:space="preserve"> </w:t>
      </w:r>
      <w:r w:rsidRPr="00EB611F">
        <w:t xml:space="preserve">Für 10 Mrd. Euro Investitionen in erneuerbare Energien würde man für 5 Mrd. / 100 Mill. = 50 Solarkraftwerke Barth Flughafen bekommen: mit einer Jahresleistung von 50 * 0,06 Terawattstunden = 3 Terawattstunden. Für weitere 5 Mrd. Werder Kessin Landwind, sind: 5 Mrd. / 220 Mill. = 22,7. 22,7 * 0,3 Terawattstunden </w:t>
      </w:r>
      <w:proofErr w:type="gramStart"/>
      <w:r w:rsidRPr="00EB611F">
        <w:t>=  6</w:t>
      </w:r>
      <w:proofErr w:type="gramEnd"/>
      <w:r w:rsidRPr="00EB611F">
        <w:t>,81 Terawattstunden. 3 TWh plus 6,81 TWh, sind 9,81 TWh, ca. 10 Terawattstunden.</w:t>
      </w:r>
    </w:p>
  </w:footnote>
  <w:footnote w:id="26">
    <w:p w14:paraId="057C31B1" w14:textId="77777777" w:rsidR="00441169" w:rsidRDefault="00441169" w:rsidP="00441169">
      <w:pPr>
        <w:pStyle w:val="Funotentext"/>
      </w:pPr>
      <w:r>
        <w:rPr>
          <w:rStyle w:val="Funotenzeichen"/>
        </w:rPr>
        <w:footnoteRef/>
      </w:r>
      <w:r>
        <w:t xml:space="preserve"> 10 neue Reaktoren möchte China im Jahr 2025 bauen. China baut weitere Reaktoren. FAZ, 30.04.2025. </w:t>
      </w:r>
    </w:p>
  </w:footnote>
  <w:footnote w:id="27">
    <w:p w14:paraId="0505E8FD" w14:textId="77777777" w:rsidR="00A911FC" w:rsidRDefault="00A911FC" w:rsidP="00A911FC">
      <w:pPr>
        <w:pStyle w:val="Funotentext"/>
      </w:pPr>
      <w:r>
        <w:rPr>
          <w:rStyle w:val="Funotenzeichen"/>
        </w:rPr>
        <w:footnoteRef/>
      </w:r>
      <w:r>
        <w:t xml:space="preserve"> Seit dem 16. November 2017, siehe: </w:t>
      </w:r>
      <w:hyperlink r:id="rId21" w:history="1">
        <w:r w:rsidRPr="005C07CB">
          <w:rPr>
            <w:rStyle w:val="Hyperlink"/>
          </w:rPr>
          <w:t>https://poweringpastcoal.org/</w:t>
        </w:r>
      </w:hyperlink>
      <w:r>
        <w:t xml:space="preserve"> </w:t>
      </w:r>
    </w:p>
  </w:footnote>
  <w:footnote w:id="28">
    <w:p w14:paraId="4EC7E157" w14:textId="77777777" w:rsidR="00A911FC" w:rsidRPr="00643AC9" w:rsidRDefault="00A911FC" w:rsidP="00A911FC">
      <w:pPr>
        <w:pStyle w:val="Funotentext"/>
      </w:pPr>
      <w:r>
        <w:rPr>
          <w:rStyle w:val="Funotenzeichen"/>
        </w:rPr>
        <w:footnoteRef/>
      </w:r>
      <w:r w:rsidRPr="00643AC9">
        <w:t xml:space="preserve"> Siehe: </w:t>
      </w:r>
      <w:hyperlink r:id="rId22" w:history="1">
        <w:r w:rsidRPr="00643AC9">
          <w:rPr>
            <w:rStyle w:val="Hyperlink"/>
          </w:rPr>
          <w:t>https://globalenergymonitor.org</w:t>
        </w:r>
      </w:hyperlink>
      <w:r w:rsidRPr="00643AC9">
        <w:t xml:space="preserve"> </w:t>
      </w:r>
      <w:r>
        <w:t>–</w:t>
      </w:r>
      <w:r w:rsidRPr="00643AC9">
        <w:t xml:space="preserve"> Z</w:t>
      </w:r>
      <w:r>
        <w:t xml:space="preserve">ugegriffen: 28.11.2023. </w:t>
      </w:r>
    </w:p>
  </w:footnote>
  <w:footnote w:id="29">
    <w:p w14:paraId="651C9F9E" w14:textId="77777777" w:rsidR="00A911FC" w:rsidRPr="00997BE2" w:rsidRDefault="00A911FC" w:rsidP="00A911FC">
      <w:pPr>
        <w:pStyle w:val="Funotentext"/>
        <w:rPr>
          <w:lang w:val="en-GB"/>
        </w:rPr>
      </w:pPr>
      <w:r>
        <w:rPr>
          <w:rStyle w:val="Funotenzeichen"/>
        </w:rPr>
        <w:footnoteRef/>
      </w:r>
      <w:r w:rsidRPr="00997BE2">
        <w:rPr>
          <w:lang w:val="en-GB"/>
        </w:rPr>
        <w:t xml:space="preserve"> Global Energy Monitor, Coal Power by Country: Annual CO2 (Million Tonnes), </w:t>
      </w:r>
      <w:proofErr w:type="spellStart"/>
      <w:r w:rsidRPr="00997BE2">
        <w:rPr>
          <w:lang w:val="en-GB"/>
        </w:rPr>
        <w:t>siehe</w:t>
      </w:r>
      <w:proofErr w:type="spellEnd"/>
      <w:r w:rsidRPr="00997BE2">
        <w:rPr>
          <w:lang w:val="en-GB"/>
        </w:rPr>
        <w:t xml:space="preserve">: https://globalenergymonitor.org – </w:t>
      </w:r>
      <w:proofErr w:type="spellStart"/>
      <w:r w:rsidRPr="00997BE2">
        <w:rPr>
          <w:lang w:val="en-GB"/>
        </w:rPr>
        <w:t>Zugegriffen</w:t>
      </w:r>
      <w:proofErr w:type="spellEnd"/>
      <w:r w:rsidRPr="00997BE2">
        <w:rPr>
          <w:lang w:val="en-GB"/>
        </w:rPr>
        <w:t>: 28.11.2023.</w:t>
      </w:r>
    </w:p>
  </w:footnote>
  <w:footnote w:id="30">
    <w:p w14:paraId="16246883" w14:textId="77777777" w:rsidR="00A911FC" w:rsidRPr="00550090" w:rsidRDefault="00A911FC" w:rsidP="00A911FC">
      <w:pPr>
        <w:pStyle w:val="Funotentext"/>
        <w:rPr>
          <w:lang w:val="en-US"/>
        </w:rPr>
      </w:pPr>
      <w:r>
        <w:rPr>
          <w:rStyle w:val="Funotenzeichen"/>
        </w:rPr>
        <w:footnoteRef/>
      </w:r>
      <w:r w:rsidRPr="00550090">
        <w:rPr>
          <w:lang w:val="en-US"/>
        </w:rPr>
        <w:t xml:space="preserve"> Global Energy Monitor China Briefing 2023: 10.</w:t>
      </w:r>
    </w:p>
  </w:footnote>
  <w:footnote w:id="31">
    <w:p w14:paraId="22F5AD04" w14:textId="77777777" w:rsidR="005C1317" w:rsidRDefault="005C1317" w:rsidP="005C1317">
      <w:pPr>
        <w:pStyle w:val="Funotentext"/>
      </w:pPr>
      <w:r>
        <w:rPr>
          <w:rStyle w:val="Funotenzeichen"/>
        </w:rPr>
        <w:footnoteRef/>
      </w:r>
      <w:r>
        <w:t xml:space="preserve"> Siehe: </w:t>
      </w:r>
      <w:hyperlink r:id="rId23" w:history="1">
        <w:r w:rsidRPr="00287D4C">
          <w:rPr>
            <w:rStyle w:val="Hyperlink"/>
          </w:rPr>
          <w:t>https://www.eeas.europa.eu/eeas/china-%E2%80%93-co2-neutralit%C3%A4t-im-jahr-2060-ein-m%C3%B6glicher-wendepunkt-f%C3%BCr-das-klima_de</w:t>
        </w:r>
      </w:hyperlink>
      <w:r>
        <w:t xml:space="preserve"> – Zugegriffen: 11.04.2025.  </w:t>
      </w:r>
    </w:p>
  </w:footnote>
  <w:footnote w:id="32">
    <w:p w14:paraId="0AF62D4E" w14:textId="6CD6E7E8" w:rsidR="00FD7E05" w:rsidRDefault="00FD7E05">
      <w:pPr>
        <w:pStyle w:val="Funotentext"/>
      </w:pPr>
      <w:r>
        <w:rPr>
          <w:rStyle w:val="Funotenzeichen"/>
        </w:rPr>
        <w:footnoteRef/>
      </w:r>
      <w:r>
        <w:t xml:space="preserve"> Siehe: </w:t>
      </w:r>
      <w:hyperlink r:id="rId24" w:history="1">
        <w:r w:rsidRPr="004C622C">
          <w:rPr>
            <w:rStyle w:val="Hyperlink"/>
          </w:rPr>
          <w:t>https://www.tagesschau.de/ausland/amerika/china-klima-treibhausgase-100.html</w:t>
        </w:r>
      </w:hyperlink>
      <w:r>
        <w:t xml:space="preserve"> - Zugegriffen: 27.09.2025.  </w:t>
      </w:r>
    </w:p>
  </w:footnote>
  <w:footnote w:id="33">
    <w:p w14:paraId="748EC78A" w14:textId="77777777" w:rsidR="001253A4" w:rsidRDefault="001253A4" w:rsidP="001253A4">
      <w:pPr>
        <w:pStyle w:val="Funotentext"/>
      </w:pPr>
      <w:r>
        <w:rPr>
          <w:rStyle w:val="Funotenzeichen"/>
        </w:rPr>
        <w:footnoteRef/>
      </w:r>
      <w:r>
        <w:t xml:space="preserve"> Dies berichtet zusätzlich: Jochen Stahnke. Bescheidene Klimaziele und ein Seitenhieb auf Trump. FAZ, 25.09.2025. </w:t>
      </w:r>
    </w:p>
  </w:footnote>
  <w:footnote w:id="34">
    <w:p w14:paraId="0094BCBC" w14:textId="0F2706FE" w:rsidR="003E2A03" w:rsidRDefault="003E2A03">
      <w:pPr>
        <w:pStyle w:val="Funotentext"/>
      </w:pPr>
      <w:r>
        <w:rPr>
          <w:rStyle w:val="Funotenzeichen"/>
        </w:rPr>
        <w:footnoteRef/>
      </w:r>
      <w:r>
        <w:t xml:space="preserve"> Hendrik Ankenbrand. Mutter Erde hofft jetzt auf Indien. FAZ, 16.10.2024. </w:t>
      </w:r>
    </w:p>
  </w:footnote>
  <w:footnote w:id="35">
    <w:p w14:paraId="2DF1610F" w14:textId="0B86ECF4" w:rsidR="00E87D9C" w:rsidRDefault="00E87D9C">
      <w:pPr>
        <w:pStyle w:val="Funotentext"/>
      </w:pPr>
      <w:r>
        <w:rPr>
          <w:rStyle w:val="Funotenzeichen"/>
        </w:rPr>
        <w:footnoteRef/>
      </w:r>
      <w:r>
        <w:t xml:space="preserve"> Siehe zu den letzten vier Sätzen: Elias Marini Schäfer. Energiewende in Indien, Länderbericht Auslandsbüro Indien, Dezember 2022, KAS: </w:t>
      </w:r>
      <w:hyperlink r:id="rId25" w:history="1">
        <w:r w:rsidRPr="009B5CF7">
          <w:rPr>
            <w:rStyle w:val="Hyperlink"/>
          </w:rPr>
          <w:t>https://www.kas.de/de/laenderberichte/detail/-/content/energiewende-in-indien</w:t>
        </w:r>
      </w:hyperlink>
      <w:r>
        <w:t xml:space="preserve"> - Zugegriffen: 19.11.2024.  </w:t>
      </w:r>
    </w:p>
  </w:footnote>
  <w:footnote w:id="36">
    <w:p w14:paraId="2FE283E8" w14:textId="28EF4F58" w:rsidR="00B641F8" w:rsidRDefault="00B641F8">
      <w:pPr>
        <w:pStyle w:val="Funotentext"/>
      </w:pPr>
      <w:r>
        <w:rPr>
          <w:rStyle w:val="Funotenzeichen"/>
        </w:rPr>
        <w:footnoteRef/>
      </w:r>
      <w:r>
        <w:t xml:space="preserve"> </w:t>
      </w:r>
      <w:r w:rsidR="00D27B6A">
        <w:t xml:space="preserve">Die Pläne sind im Energieministerium und in der Planungskommission NTI Aayog diskutiert worden, dies meldete Bloomberg. Siehe: </w:t>
      </w:r>
      <w:r>
        <w:t xml:space="preserve">Hendrick Ankenbrand. Indien könnte Klimaziele torpedieren. FAZ, 06.12.205. </w:t>
      </w:r>
    </w:p>
  </w:footnote>
  <w:footnote w:id="37">
    <w:p w14:paraId="0B8CFE9C" w14:textId="704DE87C" w:rsidR="006D32E3" w:rsidRDefault="006D32E3">
      <w:pPr>
        <w:pStyle w:val="Funotentext"/>
      </w:pPr>
      <w:r>
        <w:rPr>
          <w:rStyle w:val="Funotenzeichen"/>
        </w:rPr>
        <w:footnoteRef/>
      </w:r>
      <w:r>
        <w:t xml:space="preserve"> Siehe: </w:t>
      </w:r>
      <w:hyperlink r:id="rId26" w:history="1">
        <w:r w:rsidRPr="001B0D55">
          <w:rPr>
            <w:rStyle w:val="Hyperlink"/>
          </w:rPr>
          <w:t>https://www.umsicht.fraunhofer.de/de/carbonmanagement/kohlenstoffkreislauf.html</w:t>
        </w:r>
      </w:hyperlink>
      <w:r>
        <w:t xml:space="preserve"> - Zugegriffen: 11.04.2025. </w:t>
      </w:r>
    </w:p>
  </w:footnote>
  <w:footnote w:id="38">
    <w:p w14:paraId="2CD685BA" w14:textId="77777777" w:rsidR="00112190" w:rsidRDefault="00112190" w:rsidP="00112190">
      <w:pPr>
        <w:pStyle w:val="Funotentext"/>
      </w:pPr>
      <w:r>
        <w:rPr>
          <w:rStyle w:val="Funotenzeichen"/>
        </w:rPr>
        <w:footnoteRef/>
      </w:r>
      <w:r>
        <w:t xml:space="preserve"> Siehe zu den Landnutzungsänderungen etwa die European </w:t>
      </w:r>
      <w:proofErr w:type="spellStart"/>
      <w:r>
        <w:t>Envirnmental</w:t>
      </w:r>
      <w:proofErr w:type="spellEnd"/>
      <w:r>
        <w:t xml:space="preserve"> Agency: </w:t>
      </w:r>
      <w:hyperlink r:id="rId27" w:history="1">
        <w:r w:rsidRPr="0039637B">
          <w:rPr>
            <w:rStyle w:val="Hyperlink"/>
          </w:rPr>
          <w:t>https://climate-energy.eea.europa.eu/topics/climate-change-mitigation/land-and-forests/intro</w:t>
        </w:r>
      </w:hyperlink>
      <w:r>
        <w:t xml:space="preserve"> - Zugegriffen: 10.14.2023</w:t>
      </w:r>
    </w:p>
  </w:footnote>
  <w:footnote w:id="39">
    <w:p w14:paraId="4E5ED573" w14:textId="3A672BAC" w:rsidR="00242506" w:rsidRDefault="00242506">
      <w:pPr>
        <w:pStyle w:val="Funotentext"/>
      </w:pPr>
      <w:r>
        <w:rPr>
          <w:rStyle w:val="Funotenzeichen"/>
        </w:rPr>
        <w:footnoteRef/>
      </w:r>
      <w:r>
        <w:t xml:space="preserve"> Siehe ausführlich: </w:t>
      </w:r>
      <w:hyperlink r:id="rId28" w:history="1">
        <w:r w:rsidRPr="000A3533">
          <w:rPr>
            <w:rStyle w:val="Hyperlink"/>
          </w:rPr>
          <w:t>https://www.gem.wiki/McElmo_Dome</w:t>
        </w:r>
      </w:hyperlink>
      <w:r>
        <w:t xml:space="preserve"> - Zugegriffen: 09.11.2024.</w:t>
      </w:r>
    </w:p>
  </w:footnote>
  <w:footnote w:id="40">
    <w:p w14:paraId="11780ADE" w14:textId="77777777" w:rsidR="00F0781F" w:rsidRDefault="00F0781F" w:rsidP="00F0781F">
      <w:pPr>
        <w:pStyle w:val="Funotentext"/>
      </w:pPr>
      <w:r>
        <w:rPr>
          <w:rStyle w:val="Funotenzeichen"/>
        </w:rPr>
        <w:footnoteRef/>
      </w:r>
      <w:r>
        <w:t xml:space="preserve"> Siehe: </w:t>
      </w:r>
      <w:hyperlink r:id="rId29" w:history="1">
        <w:r w:rsidRPr="00FD1CE6">
          <w:rPr>
            <w:rStyle w:val="Hyperlink"/>
          </w:rPr>
          <w:t>https://ieefa.org/resources/gorgon-ccs-underperformance-hits-new-low-2023-24</w:t>
        </w:r>
      </w:hyperlink>
      <w:r>
        <w:t xml:space="preserve"> - Zugegriffen: 21.01.2024. </w:t>
      </w:r>
    </w:p>
  </w:footnote>
  <w:footnote w:id="41">
    <w:p w14:paraId="3CD50A7C" w14:textId="77777777" w:rsidR="00112190" w:rsidRDefault="00112190" w:rsidP="00112190">
      <w:pPr>
        <w:pStyle w:val="Funotentext"/>
      </w:pPr>
      <w:r>
        <w:rPr>
          <w:rStyle w:val="Funotenzeichen"/>
        </w:rPr>
        <w:footnoteRef/>
      </w:r>
      <w:r>
        <w:t xml:space="preserve"> Siehe: </w:t>
      </w:r>
      <w:hyperlink r:id="rId30" w:history="1">
        <w:r w:rsidRPr="0039637B">
          <w:rPr>
            <w:rStyle w:val="Hyperlink"/>
          </w:rPr>
          <w:t>https://de.wikipedia.org/wiki/Distickstoffmonoxid</w:t>
        </w:r>
      </w:hyperlink>
      <w:r>
        <w:t xml:space="preserve"> - Zugegriffen: 14.10.2023. Hierzu gibt es zwei ausführliche </w:t>
      </w:r>
      <w:proofErr w:type="gramStart"/>
      <w:r>
        <w:t>IPCC Berichte</w:t>
      </w:r>
      <w:proofErr w:type="gramEnd"/>
      <w:r>
        <w:t xml:space="preserve">, auf die hier noch hingewiesen werden muss. </w:t>
      </w:r>
    </w:p>
  </w:footnote>
  <w:footnote w:id="42">
    <w:p w14:paraId="54000FB0" w14:textId="77777777" w:rsidR="00112190" w:rsidRDefault="00112190" w:rsidP="00112190">
      <w:pPr>
        <w:pStyle w:val="Funotentext"/>
      </w:pPr>
      <w:r>
        <w:rPr>
          <w:rStyle w:val="Funotenzeichen"/>
        </w:rPr>
        <w:footnoteRef/>
      </w:r>
      <w:r>
        <w:t xml:space="preserve"> Siehe zu diesem ganzen Abschnitt: Umweltbundesamt. Berechnung der Treibhausemissionsdaten für das Jahr 2022 gemäß Bundesklimaschutzgesetz, begleitender Bericht, Kurzfassung vom 15. März 2023. In: </w:t>
      </w:r>
      <w:hyperlink r:id="rId31" w:history="1">
        <w:r w:rsidRPr="0039637B">
          <w:rPr>
            <w:rStyle w:val="Hyperlink"/>
          </w:rPr>
          <w:t>https://www.umweltbundesamt.de/sites/default/files/medien/361/dokumente/vjs_2022_-_begleitbericht_final_kurzfassung.pdf</w:t>
        </w:r>
      </w:hyperlink>
      <w:r>
        <w:t xml:space="preserve"> - Zugegriffen: 14.10.2023. </w:t>
      </w:r>
    </w:p>
  </w:footnote>
  <w:footnote w:id="43">
    <w:p w14:paraId="51820596" w14:textId="7B2C9849" w:rsidR="00F82F93" w:rsidRDefault="00F82F93" w:rsidP="00F82F93">
      <w:pPr>
        <w:pStyle w:val="Funotentext"/>
      </w:pPr>
      <w:r>
        <w:rPr>
          <w:rStyle w:val="Funotenzeichen"/>
        </w:rPr>
        <w:footnoteRef/>
      </w:r>
      <w:r w:rsidRPr="00F82F93">
        <w:t xml:space="preserve"> Siehe UBA</w:t>
      </w:r>
      <w:r>
        <w:t>, Christian Böttcher. Aktualisierung der Emissionsfaktoren für</w:t>
      </w:r>
    </w:p>
    <w:p w14:paraId="4F125AC1" w14:textId="551F5179" w:rsidR="00F82F93" w:rsidRPr="00F82F93" w:rsidRDefault="00F82F93" w:rsidP="00F82F93">
      <w:pPr>
        <w:pStyle w:val="Funotentext"/>
      </w:pPr>
      <w:r>
        <w:t>Methan für die Erdgasbereitstellung, Texte 159/2022</w:t>
      </w:r>
      <w:r w:rsidRPr="00F82F93">
        <w:t xml:space="preserve">: </w:t>
      </w:r>
      <w:hyperlink r:id="rId32" w:history="1">
        <w:r w:rsidRPr="00F82F93">
          <w:rPr>
            <w:rStyle w:val="Hyperlink"/>
          </w:rPr>
          <w:t>https://www.umweltbundesamt.de/sites/default/files/medien/479/publikationen/texte_159-2022_aktualisierung_der_emissionsfaktoren_fuer_methan_fuer_die_erdgasbereitstellung.pdf</w:t>
        </w:r>
      </w:hyperlink>
      <w:r w:rsidRPr="00F82F93">
        <w:t xml:space="preserve"> - Zu</w:t>
      </w:r>
      <w:r>
        <w:t xml:space="preserve">gegriffen: 15.05.2025. </w:t>
      </w:r>
    </w:p>
  </w:footnote>
  <w:footnote w:id="44">
    <w:p w14:paraId="6F4AB4F7" w14:textId="55F30FCE" w:rsidR="0065179C" w:rsidRDefault="0065179C">
      <w:pPr>
        <w:pStyle w:val="Funotentext"/>
      </w:pPr>
      <w:r>
        <w:rPr>
          <w:rStyle w:val="Funotenzeichen"/>
        </w:rPr>
        <w:footnoteRef/>
      </w:r>
      <w:r>
        <w:t xml:space="preserve"> Siehe: </w:t>
      </w:r>
      <w:hyperlink r:id="rId33" w:history="1">
        <w:r w:rsidRPr="00083B1E">
          <w:rPr>
            <w:rStyle w:val="Hyperlink"/>
          </w:rPr>
          <w:t>https://www.umweltbundesamt.de/themen/klima-energie/klimaschutz-energiepolitik-in-deutschland/treibhausgas-emissionen/die-treibhausgase</w:t>
        </w:r>
      </w:hyperlink>
      <w:r>
        <w:t xml:space="preserve"> - Zugegriffen: 21.05.2025. </w:t>
      </w:r>
    </w:p>
  </w:footnote>
  <w:footnote w:id="45">
    <w:p w14:paraId="3F11CC4D" w14:textId="77777777" w:rsidR="0046180F" w:rsidRPr="00B81276" w:rsidRDefault="0046180F" w:rsidP="0046180F">
      <w:pPr>
        <w:pStyle w:val="Funotentext"/>
      </w:pPr>
      <w:r>
        <w:rPr>
          <w:rStyle w:val="Funotenzeichen"/>
        </w:rPr>
        <w:footnoteRef/>
      </w:r>
      <w:r w:rsidRPr="0065179C">
        <w:t xml:space="preserve"> Arte. </w:t>
      </w:r>
      <w:r w:rsidRPr="00B81276">
        <w:t xml:space="preserve">Fracking Gas für Europa, </w:t>
      </w:r>
      <w:proofErr w:type="spellStart"/>
      <w:r w:rsidRPr="00B81276">
        <w:t>Youtube</w:t>
      </w:r>
      <w:proofErr w:type="spellEnd"/>
      <w:r w:rsidRPr="00B81276">
        <w:t xml:space="preserve">: 30.11.2023, siehe: </w:t>
      </w:r>
      <w:hyperlink r:id="rId34" w:history="1">
        <w:r w:rsidRPr="00EF6750">
          <w:rPr>
            <w:rStyle w:val="Hyperlink"/>
          </w:rPr>
          <w:t>https://www.youtube.com/watch?v=SdI0wqPwGwo</w:t>
        </w:r>
      </w:hyperlink>
      <w:r>
        <w:t xml:space="preserve"> – Zugegriffen: 11.10.2023. </w:t>
      </w:r>
    </w:p>
  </w:footnote>
  <w:footnote w:id="46">
    <w:p w14:paraId="2EC085BB" w14:textId="4F0219F8" w:rsidR="00E55709" w:rsidRPr="00E55709" w:rsidRDefault="00E55709">
      <w:pPr>
        <w:pStyle w:val="Funotentext"/>
      </w:pPr>
      <w:r>
        <w:rPr>
          <w:rStyle w:val="Funotenzeichen"/>
        </w:rPr>
        <w:footnoteRef/>
      </w:r>
      <w:r w:rsidRPr="003A69F3">
        <w:t xml:space="preserve"> Doku NDR. </w:t>
      </w:r>
      <w:r w:rsidRPr="00E55709">
        <w:t xml:space="preserve">LNG: Schmutziges Flüssiggas. </w:t>
      </w:r>
      <w:proofErr w:type="spellStart"/>
      <w:r>
        <w:t>Youtube</w:t>
      </w:r>
      <w:proofErr w:type="spellEnd"/>
      <w:r>
        <w:t xml:space="preserve">: 16.10.2023, siehe: </w:t>
      </w:r>
      <w:hyperlink r:id="rId35" w:history="1">
        <w:r w:rsidRPr="00A852CC">
          <w:rPr>
            <w:rStyle w:val="Hyperlink"/>
          </w:rPr>
          <w:t>https://www.youtube.com/watch?v=94Vsee3WYqE&amp;t=432s</w:t>
        </w:r>
      </w:hyperlink>
      <w:r>
        <w:t xml:space="preserve"> – Zugegriffen: 16.10.2023. </w:t>
      </w:r>
    </w:p>
  </w:footnote>
  <w:footnote w:id="47">
    <w:p w14:paraId="08BE25D4" w14:textId="771E2ED5" w:rsidR="009A07EA" w:rsidRPr="00550090" w:rsidRDefault="009A07EA">
      <w:pPr>
        <w:pStyle w:val="Funotentext"/>
        <w:rPr>
          <w:lang w:val="en-US"/>
        </w:rPr>
      </w:pPr>
      <w:r>
        <w:rPr>
          <w:rStyle w:val="Funotenzeichen"/>
        </w:rPr>
        <w:footnoteRef/>
      </w:r>
      <w:r w:rsidRPr="00550090">
        <w:rPr>
          <w:lang w:val="en-US"/>
        </w:rPr>
        <w:t xml:space="preserve"> </w:t>
      </w:r>
      <w:proofErr w:type="spellStart"/>
      <w:r w:rsidRPr="00550090">
        <w:rPr>
          <w:lang w:val="en-US"/>
        </w:rPr>
        <w:t>Siehe</w:t>
      </w:r>
      <w:proofErr w:type="spellEnd"/>
      <w:r w:rsidRPr="00550090">
        <w:rPr>
          <w:lang w:val="en-US"/>
        </w:rPr>
        <w:t xml:space="preserve"> die </w:t>
      </w:r>
      <w:proofErr w:type="spellStart"/>
      <w:r w:rsidRPr="00550090">
        <w:rPr>
          <w:lang w:val="en-US"/>
        </w:rPr>
        <w:t>Tabelle</w:t>
      </w:r>
      <w:proofErr w:type="spellEnd"/>
      <w:r w:rsidRPr="00550090">
        <w:rPr>
          <w:lang w:val="en-US"/>
        </w:rPr>
        <w:t xml:space="preserve">: </w:t>
      </w:r>
      <w:proofErr w:type="spellStart"/>
      <w:r w:rsidRPr="00550090">
        <w:rPr>
          <w:lang w:val="en-US"/>
        </w:rPr>
        <w:t>Öl</w:t>
      </w:r>
      <w:proofErr w:type="spellEnd"/>
      <w:r w:rsidRPr="00550090">
        <w:rPr>
          <w:lang w:val="en-US"/>
        </w:rPr>
        <w:t xml:space="preserve"> und Gas Extraction Methane Emissions by Country, June 2024: https://globalenergymonitor.org/projects/global-methane-emitters-tracker/summary-tables/</w:t>
      </w:r>
    </w:p>
  </w:footnote>
  <w:footnote w:id="48">
    <w:p w14:paraId="2166A835" w14:textId="77777777" w:rsidR="00112190" w:rsidRDefault="00112190" w:rsidP="00112190">
      <w:pPr>
        <w:pStyle w:val="Funotentext"/>
      </w:pPr>
      <w:r>
        <w:rPr>
          <w:rStyle w:val="Funotenzeichen"/>
        </w:rPr>
        <w:footnoteRef/>
      </w:r>
      <w:r w:rsidRPr="001872B0">
        <w:t xml:space="preserve"> IPCC 2021: 7. </w:t>
      </w:r>
      <w:r>
        <w:t xml:space="preserve">Siehe auch: </w:t>
      </w:r>
      <w:hyperlink r:id="rId36" w:history="1">
        <w:r w:rsidRPr="004226BE">
          <w:rPr>
            <w:rStyle w:val="Hyperlink"/>
          </w:rPr>
          <w:t>https://www.quarks.de/umwelt/klimawandel/darum-sollten-wir-ueber-methan-sprechen/</w:t>
        </w:r>
      </w:hyperlink>
      <w:r>
        <w:t xml:space="preserve"> - Zugegriffen: 30.12.2023. </w:t>
      </w:r>
    </w:p>
  </w:footnote>
  <w:footnote w:id="49">
    <w:p w14:paraId="7A4FC7DA" w14:textId="77777777" w:rsidR="00112190" w:rsidRDefault="00112190" w:rsidP="00112190">
      <w:pPr>
        <w:pStyle w:val="Funotentext"/>
      </w:pPr>
      <w:r>
        <w:rPr>
          <w:rStyle w:val="Funotenzeichen"/>
        </w:rPr>
        <w:footnoteRef/>
      </w:r>
      <w:r>
        <w:t xml:space="preserve"> Siehe IMEO: </w:t>
      </w:r>
      <w:hyperlink r:id="rId37" w:history="1">
        <w:r w:rsidRPr="00CD5C9A">
          <w:rPr>
            <w:rStyle w:val="Hyperlink"/>
          </w:rPr>
          <w:t>https://www.unep.org/explore-topics/energy/what-we-do/methane/imeo</w:t>
        </w:r>
      </w:hyperlink>
    </w:p>
  </w:footnote>
  <w:footnote w:id="50">
    <w:p w14:paraId="30F418E2" w14:textId="547D15C2" w:rsidR="00E11353" w:rsidRPr="00E11353" w:rsidRDefault="00E11353">
      <w:pPr>
        <w:pStyle w:val="Funotentext"/>
      </w:pPr>
      <w:r>
        <w:rPr>
          <w:rStyle w:val="Funotenzeichen"/>
        </w:rPr>
        <w:footnoteRef/>
      </w:r>
      <w:r w:rsidRPr="00E11353">
        <w:rPr>
          <w:lang w:val="en-GB"/>
        </w:rPr>
        <w:t xml:space="preserve"> Clausing, Kimberly, Crampton, Peter, Ockenfels, </w:t>
      </w:r>
      <w:r>
        <w:rPr>
          <w:lang w:val="en-GB"/>
        </w:rPr>
        <w:t xml:space="preserve">Axel, Wolfram, Cahterine. Letter from America. </w:t>
      </w:r>
      <w:r w:rsidRPr="00E11353">
        <w:rPr>
          <w:lang w:val="en-GB"/>
        </w:rPr>
        <w:t xml:space="preserve">Strategic Climate Cooperation and Greenhouse Gase Price Coordination. </w:t>
      </w:r>
      <w:proofErr w:type="spellStart"/>
      <w:r w:rsidRPr="00550090">
        <w:t>Intereconomics</w:t>
      </w:r>
      <w:proofErr w:type="spellEnd"/>
      <w:r w:rsidRPr="00550090">
        <w:t xml:space="preserve">, Vol. 59. </w:t>
      </w:r>
      <w:proofErr w:type="spellStart"/>
      <w:r w:rsidRPr="00340273">
        <w:t>No</w:t>
      </w:r>
      <w:proofErr w:type="spellEnd"/>
      <w:r w:rsidRPr="00340273">
        <w:t xml:space="preserve">. 1, 2024. Pp. 55-56. </w:t>
      </w:r>
      <w:r w:rsidRPr="00E11353">
        <w:t xml:space="preserve">Siehe: </w:t>
      </w:r>
      <w:hyperlink r:id="rId38" w:history="1">
        <w:r w:rsidRPr="00E11353">
          <w:rPr>
            <w:rStyle w:val="Hyperlink"/>
          </w:rPr>
          <w:t>https://www.intereconomics.eu/contents/year/2024/number/1/article/strategic-climate-cooperation-and-greenhouse-gas-price-coordination.html</w:t>
        </w:r>
      </w:hyperlink>
      <w:r w:rsidRPr="00E11353">
        <w:t xml:space="preserve"> </w:t>
      </w:r>
      <w:r>
        <w:t xml:space="preserve">- Zugegriffen: 17.07.2024. </w:t>
      </w:r>
    </w:p>
  </w:footnote>
  <w:footnote w:id="51">
    <w:p w14:paraId="61B2E4CA" w14:textId="77777777" w:rsidR="00112190" w:rsidRDefault="00112190" w:rsidP="00112190">
      <w:pPr>
        <w:pStyle w:val="Funotentext"/>
      </w:pPr>
      <w:r>
        <w:rPr>
          <w:rStyle w:val="Funotenzeichen"/>
        </w:rPr>
        <w:footnoteRef/>
      </w:r>
      <w:r>
        <w:t xml:space="preserve"> Siehe: </w:t>
      </w:r>
      <w:hyperlink r:id="rId39" w:history="1">
        <w:r w:rsidRPr="004226BE">
          <w:rPr>
            <w:rStyle w:val="Hyperlink"/>
          </w:rPr>
          <w:t>https://gml.noaa.gov/ccgg/</w:t>
        </w:r>
      </w:hyperlink>
      <w:r>
        <w:t xml:space="preserve"> - auf dieser Seite gibt es die Trends der Treibhausgase, CO2 gemessen auf dem Vulkan Mauna Loa in Hawaii: </w:t>
      </w:r>
      <w:hyperlink r:id="rId40" w:history="1">
        <w:r w:rsidRPr="004226BE">
          <w:rPr>
            <w:rStyle w:val="Hyperlink"/>
          </w:rPr>
          <w:t>https://gml.noaa.gov/ccgg/trends/</w:t>
        </w:r>
      </w:hyperlink>
      <w:r>
        <w:t xml:space="preserve"> - Zugegriffen: 30.12.2023. </w:t>
      </w:r>
    </w:p>
  </w:footnote>
  <w:footnote w:id="52">
    <w:p w14:paraId="57F8F89E" w14:textId="00E64563" w:rsidR="00F82F93" w:rsidRDefault="00F82F93" w:rsidP="00F82F93">
      <w:pPr>
        <w:pStyle w:val="Funotentext"/>
      </w:pPr>
      <w:r>
        <w:rPr>
          <w:rStyle w:val="Funotenzeichen"/>
        </w:rPr>
        <w:footnoteRef/>
      </w:r>
      <w:r>
        <w:t xml:space="preserve"> S. 39, </w:t>
      </w:r>
      <w:proofErr w:type="gramStart"/>
      <w:r w:rsidRPr="0053611C">
        <w:t>BMWK Leitmärkte</w:t>
      </w:r>
      <w:proofErr w:type="gramEnd"/>
      <w:r w:rsidRPr="0053611C">
        <w:t xml:space="preserve"> für klimafreundliche Grundstoffe 2024: </w:t>
      </w:r>
      <w:proofErr w:type="gramStart"/>
      <w:r w:rsidRPr="0053611C">
        <w:t>BMWK Leitmärkte</w:t>
      </w:r>
      <w:proofErr w:type="gramEnd"/>
      <w:r w:rsidRPr="0053611C">
        <w:t xml:space="preserve"> für klimafreundliche Rohstoffe, BMWK Mai 2024, siehe: </w:t>
      </w:r>
      <w:hyperlink r:id="rId41" w:history="1">
        <w:r w:rsidRPr="0053611C">
          <w:rPr>
            <w:rStyle w:val="Hyperlink"/>
          </w:rPr>
          <w:t>https://www.bmwk.de/Redaktion/DE/Publikationen/Klimaschutz/leitmaerkte-fuer-klimafreundliche-grundstoffe.html</w:t>
        </w:r>
      </w:hyperlink>
      <w:r w:rsidRPr="0053611C">
        <w:t xml:space="preserve"> - Zugegriffen: 30.04.2025</w:t>
      </w:r>
      <w:r>
        <w:t>. Ottmar Edenhofer vom Potsdam-Institut mahnt an, dass in „fairen Berechnungen“ alle Emissionen beachtet werden sollten, auch „Methanschlupf in der Erdgasnutzung.“ Christian Geinitz. Ab in die Nordsee mit dem CO2. Zum Wohle des Klimas gibt die Ampel ihre Vorbehalte gegen die Speicherung auf – aber nur für bestimmte Emissionen. FAZ, 27.02.2024.</w:t>
      </w:r>
    </w:p>
  </w:footnote>
  <w:footnote w:id="53">
    <w:p w14:paraId="3F360148" w14:textId="29920C0C" w:rsidR="005E6E3F" w:rsidRDefault="005E6E3F">
      <w:pPr>
        <w:pStyle w:val="Funotentext"/>
      </w:pPr>
      <w:r>
        <w:rPr>
          <w:rStyle w:val="Funotenzeichen"/>
        </w:rPr>
        <w:footnoteRef/>
      </w:r>
      <w:r>
        <w:t xml:space="preserve"> Siehe: </w:t>
      </w:r>
      <w:hyperlink r:id="rId42" w:history="1">
        <w:r w:rsidRPr="00187BF9">
          <w:rPr>
            <w:rStyle w:val="Hyperlink"/>
          </w:rPr>
          <w:t>https://www.mpic.de/3856319/ethangaskonzentrationen-steigen-wieder</w:t>
        </w:r>
      </w:hyperlink>
      <w:r>
        <w:t xml:space="preserve"> - Zugegriffen: 11.04.2025. </w:t>
      </w:r>
    </w:p>
  </w:footnote>
  <w:footnote w:id="54">
    <w:p w14:paraId="26FFF71F" w14:textId="77777777" w:rsidR="00112190" w:rsidRPr="00005C35" w:rsidRDefault="00112190" w:rsidP="00112190">
      <w:pPr>
        <w:pStyle w:val="Funotentext"/>
      </w:pPr>
      <w:r>
        <w:rPr>
          <w:rStyle w:val="Funotenzeichen"/>
        </w:rPr>
        <w:footnoteRef/>
      </w:r>
      <w:r w:rsidRPr="00005C35">
        <w:t xml:space="preserve"> IPCC 2023: 82.</w:t>
      </w:r>
    </w:p>
  </w:footnote>
  <w:footnote w:id="55">
    <w:p w14:paraId="44B81CA7" w14:textId="77777777" w:rsidR="00112190" w:rsidRDefault="00112190" w:rsidP="00112190">
      <w:pPr>
        <w:pStyle w:val="Funotentext"/>
      </w:pPr>
      <w:r>
        <w:rPr>
          <w:rStyle w:val="Funotenzeichen"/>
        </w:rPr>
        <w:footnoteRef/>
      </w:r>
      <w:r>
        <w:t xml:space="preserve"> </w:t>
      </w:r>
      <w:r w:rsidRPr="006D53C9">
        <w:t xml:space="preserve">Müller-Jung, Joachim. Die Klimaziele schmelzen wie Gletschereis. FAZ, 30.10.2023. URL: </w:t>
      </w:r>
      <w:hyperlink r:id="rId43" w:history="1">
        <w:r w:rsidRPr="00CD5C9A">
          <w:rPr>
            <w:rStyle w:val="Hyperlink"/>
          </w:rPr>
          <w:t>https://www.faz.net/aktuell/wissen/neues-co-budget-die-klimaziele-schmelzen-wie-gletschereis-19278553.html?GEPC=s9#void</w:t>
        </w:r>
      </w:hyperlink>
      <w:r w:rsidRPr="006D53C9">
        <w:t xml:space="preserve"> – Zugegriffen: 31.10.2023.</w:t>
      </w:r>
    </w:p>
  </w:footnote>
  <w:footnote w:id="56">
    <w:p w14:paraId="66301BF1" w14:textId="77777777" w:rsidR="00112190" w:rsidRDefault="00112190" w:rsidP="00112190">
      <w:pPr>
        <w:pStyle w:val="Funotentext"/>
      </w:pPr>
      <w:r>
        <w:rPr>
          <w:rStyle w:val="Funotenzeichen"/>
        </w:rPr>
        <w:footnoteRef/>
      </w:r>
      <w:r>
        <w:t xml:space="preserve"> Hier im Szenario C3 wären die Reduktionswerte bis 2030 21%, bis 2040 46 %, bis 2050 64 %. IPCC 2023: 82.</w:t>
      </w:r>
    </w:p>
  </w:footnote>
  <w:footnote w:id="57">
    <w:p w14:paraId="5EACCE41" w14:textId="77777777" w:rsidR="00112190" w:rsidRPr="0065100A" w:rsidRDefault="00112190" w:rsidP="00112190">
      <w:pPr>
        <w:pStyle w:val="Funotentext"/>
      </w:pPr>
      <w:r>
        <w:rPr>
          <w:rStyle w:val="Funotenzeichen"/>
        </w:rPr>
        <w:footnoteRef/>
      </w:r>
      <w:r w:rsidRPr="0065100A">
        <w:t xml:space="preserve"> GHG </w:t>
      </w:r>
      <w:proofErr w:type="spellStart"/>
      <w:r w:rsidRPr="0065100A">
        <w:t>Emissions</w:t>
      </w:r>
      <w:proofErr w:type="spellEnd"/>
      <w:r w:rsidRPr="0065100A">
        <w:t xml:space="preserve"> </w:t>
      </w:r>
      <w:proofErr w:type="spellStart"/>
      <w:r w:rsidRPr="0065100A">
        <w:t>of</w:t>
      </w:r>
      <w:proofErr w:type="spellEnd"/>
      <w:r w:rsidRPr="0065100A">
        <w:t xml:space="preserve"> All World Countries 2023: 9, siehe auch EDGAR-Excel</w:t>
      </w:r>
      <w:bookmarkStart w:id="14" w:name="_Hlk167037061"/>
      <w:r w:rsidRPr="0065100A">
        <w:t xml:space="preserve">: </w:t>
      </w:r>
      <w:hyperlink r:id="rId44" w:history="1">
        <w:r w:rsidRPr="0065100A">
          <w:rPr>
            <w:rStyle w:val="Hyperlink"/>
          </w:rPr>
          <w:t>https://edgar.jrc.ec.europa.eu/</w:t>
        </w:r>
      </w:hyperlink>
      <w:bookmarkEnd w:id="14"/>
      <w:r w:rsidRPr="0065100A">
        <w:t xml:space="preserve"> - Zugegriffen: 14.10.2023.</w:t>
      </w:r>
    </w:p>
  </w:footnote>
  <w:footnote w:id="58">
    <w:p w14:paraId="26718E6C" w14:textId="77777777" w:rsidR="00112190" w:rsidRDefault="00112190" w:rsidP="00112190">
      <w:pPr>
        <w:pStyle w:val="Funotentext"/>
      </w:pPr>
      <w:r>
        <w:rPr>
          <w:rStyle w:val="Funotenzeichen"/>
        </w:rPr>
        <w:footnoteRef/>
      </w:r>
      <w:r>
        <w:t xml:space="preserve"> </w:t>
      </w:r>
      <w:r w:rsidRPr="00FF5F59">
        <w:t>Bierdeckelrechnung: 500 Milliarden Tonnen CO2 / 53 Milliarden Tonnen = 9,4 Jahre. 250 Milliarden Tonnen CO2 / 53 Milliarden Tonnen = 4,7 Jahre. 1150 Milliarden Tonnen / 53 Milliarden Tonnen = 21,88 Jahre.</w:t>
      </w:r>
    </w:p>
  </w:footnote>
  <w:footnote w:id="59">
    <w:p w14:paraId="637D5D7A" w14:textId="370B1AA9" w:rsidR="00B01479" w:rsidRDefault="00B01479" w:rsidP="00B01479">
      <w:pPr>
        <w:pStyle w:val="Funotentext"/>
      </w:pPr>
      <w:r>
        <w:rPr>
          <w:rStyle w:val="Funotenzeichen"/>
        </w:rPr>
        <w:footnoteRef/>
      </w:r>
      <w:r>
        <w:t xml:space="preserve"> Siehe zu den Infos, die in diesem Abschnitt präsentiert werden: Joachim Müller-Jung. Die Erderwärmung auf dem Weg in die Entschleunigung. FAZ, 05.06.2024. </w:t>
      </w:r>
    </w:p>
  </w:footnote>
  <w:footnote w:id="60">
    <w:p w14:paraId="6D7193E8" w14:textId="77777777" w:rsidR="00112190" w:rsidRDefault="00112190" w:rsidP="00112190">
      <w:pPr>
        <w:pStyle w:val="Funotentext"/>
      </w:pPr>
      <w:r>
        <w:rPr>
          <w:rStyle w:val="Funotenzeichen"/>
        </w:rPr>
        <w:footnoteRef/>
      </w:r>
      <w:r>
        <w:t xml:space="preserve"> Die Zusammenfassung oben orientiert sich an diesem Artikel der FAZ: Joachim Müller-Jung. Die Erderwärmung auf dem Weg in die Entschleunigung. FAZ, 05.06.2024. Ich finde den Bericht mit dem Titel </w:t>
      </w:r>
      <w:proofErr w:type="spellStart"/>
      <w:r>
        <w:t>Indicators</w:t>
      </w:r>
      <w:proofErr w:type="spellEnd"/>
      <w:r>
        <w:t xml:space="preserve"> </w:t>
      </w:r>
      <w:proofErr w:type="spellStart"/>
      <w:r>
        <w:t>of</w:t>
      </w:r>
      <w:proofErr w:type="spellEnd"/>
      <w:r>
        <w:t xml:space="preserve"> Global Climate Change 2024 nicht auf der </w:t>
      </w:r>
      <w:proofErr w:type="gramStart"/>
      <w:r>
        <w:t>IPCC Webseite</w:t>
      </w:r>
      <w:proofErr w:type="gramEnd"/>
      <w:r>
        <w:t xml:space="preserve">: </w:t>
      </w:r>
      <w:hyperlink r:id="rId45" w:history="1">
        <w:r w:rsidRPr="00DB5ECB">
          <w:rPr>
            <w:rStyle w:val="Hyperlink"/>
          </w:rPr>
          <w:t>https://www.ipcc.ch/</w:t>
        </w:r>
      </w:hyperlink>
      <w:r>
        <w:t xml:space="preserve">, er ist aber im </w:t>
      </w:r>
      <w:proofErr w:type="gramStart"/>
      <w:r>
        <w:t>FAZ Artikel</w:t>
      </w:r>
      <w:proofErr w:type="gramEnd"/>
      <w:r>
        <w:t xml:space="preserve"> verlinkt und findet sich auch hier: </w:t>
      </w:r>
      <w:hyperlink r:id="rId46" w:history="1">
        <w:r w:rsidRPr="00DB5ECB">
          <w:rPr>
            <w:rStyle w:val="Hyperlink"/>
          </w:rPr>
          <w:t>https://essd.copernicus.org/articles/16/2625/2024/</w:t>
        </w:r>
      </w:hyperlink>
      <w:r>
        <w:t xml:space="preserve"> - Zugegriffen: 08.06.2024. </w:t>
      </w:r>
    </w:p>
  </w:footnote>
  <w:footnote w:id="61">
    <w:p w14:paraId="394420D8" w14:textId="77777777" w:rsidR="00112190" w:rsidRDefault="00112190" w:rsidP="00112190">
      <w:pPr>
        <w:pStyle w:val="Funotentext"/>
      </w:pPr>
      <w:r>
        <w:rPr>
          <w:rStyle w:val="Funotenzeichen"/>
        </w:rPr>
        <w:footnoteRef/>
      </w:r>
      <w:r>
        <w:t xml:space="preserve"> Entnommen aus: </w:t>
      </w:r>
      <w:hyperlink r:id="rId47" w:anchor="intro" w:history="1">
        <w:r w:rsidRPr="00384F19">
          <w:rPr>
            <w:rStyle w:val="Hyperlink"/>
          </w:rPr>
          <w:t>https://edgar.jrc.ec.europa.eu/report_2023#intro</w:t>
        </w:r>
      </w:hyperlink>
      <w:r>
        <w:t xml:space="preserve"> – Zugegriffen: 14.10.2023. Diese Steigerungen sind noch extremer in China beispielsweise, siehe den EDGAR Jahresbericht. Zum Thema Kohlekraftwerke siehe gleich weiter unten. </w:t>
      </w:r>
    </w:p>
  </w:footnote>
  <w:footnote w:id="62">
    <w:p w14:paraId="05ACD829" w14:textId="77777777" w:rsidR="00112190" w:rsidRDefault="00112190" w:rsidP="00112190">
      <w:pPr>
        <w:pStyle w:val="Funotentext"/>
      </w:pPr>
      <w:r>
        <w:rPr>
          <w:rStyle w:val="Funotenzeichen"/>
        </w:rPr>
        <w:footnoteRef/>
      </w:r>
      <w:r>
        <w:t xml:space="preserve"> IPCC 2023: 439.</w:t>
      </w:r>
    </w:p>
  </w:footnote>
  <w:footnote w:id="63">
    <w:p w14:paraId="52ED60A1" w14:textId="77777777" w:rsidR="00112190" w:rsidRDefault="00112190" w:rsidP="00112190">
      <w:pPr>
        <w:pStyle w:val="Funotentext"/>
      </w:pPr>
      <w:r>
        <w:rPr>
          <w:rStyle w:val="Funotenzeichen"/>
        </w:rPr>
        <w:footnoteRef/>
      </w:r>
      <w:r>
        <w:t xml:space="preserve"> IPCC Mitigation 2022: 100.</w:t>
      </w:r>
    </w:p>
  </w:footnote>
  <w:footnote w:id="64">
    <w:p w14:paraId="77A0E21E" w14:textId="77777777" w:rsidR="00112190" w:rsidRPr="0065100A" w:rsidRDefault="00112190" w:rsidP="00112190">
      <w:pPr>
        <w:pStyle w:val="Funotentext"/>
      </w:pPr>
      <w:r>
        <w:rPr>
          <w:rStyle w:val="Funotenzeichen"/>
        </w:rPr>
        <w:footnoteRef/>
      </w:r>
      <w:r w:rsidRPr="0065100A">
        <w:t xml:space="preserve"> IPCC Mitigation 2022: 8.</w:t>
      </w:r>
    </w:p>
  </w:footnote>
  <w:footnote w:id="65">
    <w:p w14:paraId="720F8CBC" w14:textId="77777777" w:rsidR="00112190" w:rsidRPr="0065100A" w:rsidRDefault="00112190" w:rsidP="00112190">
      <w:pPr>
        <w:pStyle w:val="Funotentext"/>
      </w:pPr>
      <w:r>
        <w:rPr>
          <w:rStyle w:val="Funotenzeichen"/>
        </w:rPr>
        <w:footnoteRef/>
      </w:r>
      <w:r w:rsidRPr="0065100A">
        <w:t xml:space="preserve"> IPCC 2023: 121-122.</w:t>
      </w:r>
    </w:p>
  </w:footnote>
  <w:footnote w:id="66">
    <w:p w14:paraId="5997019B" w14:textId="77777777" w:rsidR="00112190" w:rsidRPr="00CC647A" w:rsidRDefault="00112190" w:rsidP="00112190">
      <w:pPr>
        <w:pStyle w:val="Funotentext"/>
      </w:pPr>
      <w:r>
        <w:rPr>
          <w:rStyle w:val="Funotenzeichen"/>
        </w:rPr>
        <w:footnoteRef/>
      </w:r>
      <w:r w:rsidRPr="00CC647A">
        <w:t xml:space="preserve"> </w:t>
      </w:r>
      <w:r>
        <w:t xml:space="preserve">Siehe das: </w:t>
      </w:r>
      <w:proofErr w:type="spellStart"/>
      <w:r w:rsidRPr="00CC647A">
        <w:t>Stated</w:t>
      </w:r>
      <w:proofErr w:type="spellEnd"/>
      <w:r w:rsidRPr="00CC647A">
        <w:t xml:space="preserve"> </w:t>
      </w:r>
      <w:proofErr w:type="spellStart"/>
      <w:r w:rsidRPr="00CC647A">
        <w:t>Policies</w:t>
      </w:r>
      <w:proofErr w:type="spellEnd"/>
      <w:r w:rsidRPr="00CC647A">
        <w:t xml:space="preserve"> Szenario</w:t>
      </w:r>
      <w:r>
        <w:t xml:space="preserve"> (STEPS), das realistische </w:t>
      </w:r>
      <w:r w:rsidRPr="00CC647A">
        <w:t>Szenario</w:t>
      </w:r>
      <w:r>
        <w:t xml:space="preserve"> derzeit, aus ihrer Sicht, </w:t>
      </w:r>
      <w:r w:rsidRPr="00CC647A">
        <w:t xml:space="preserve">real </w:t>
      </w:r>
      <w:r>
        <w:t xml:space="preserve">erkennbarer Politiken. </w:t>
      </w:r>
      <w:r w:rsidRPr="00CC647A">
        <w:t xml:space="preserve">Das </w:t>
      </w:r>
      <w:proofErr w:type="spellStart"/>
      <w:r w:rsidRPr="00CC647A">
        <w:t>Announced</w:t>
      </w:r>
      <w:proofErr w:type="spellEnd"/>
      <w:r w:rsidRPr="00CC647A">
        <w:t xml:space="preserve"> </w:t>
      </w:r>
      <w:proofErr w:type="spellStart"/>
      <w:r w:rsidRPr="00CC647A">
        <w:t>Pledges</w:t>
      </w:r>
      <w:proofErr w:type="spellEnd"/>
      <w:r w:rsidRPr="00CC647A">
        <w:t xml:space="preserve"> Szenario (APS) basiert auf den </w:t>
      </w:r>
      <w:r>
        <w:t xml:space="preserve">veröffentlichten </w:t>
      </w:r>
      <w:r w:rsidRPr="00CC647A">
        <w:t xml:space="preserve">Politikzielen. </w:t>
      </w:r>
      <w:r>
        <w:t xml:space="preserve">Im Net Zero </w:t>
      </w:r>
      <w:proofErr w:type="spellStart"/>
      <w:r>
        <w:t>Emissions</w:t>
      </w:r>
      <w:proofErr w:type="spellEnd"/>
      <w:r>
        <w:t xml:space="preserve"> Szenario (NZE) geht es noch schneller. </w:t>
      </w:r>
      <w:r w:rsidRPr="00CC647A">
        <w:t>IEA World Energy Outlook 2023: 26</w:t>
      </w:r>
      <w:r>
        <w:t xml:space="preserve">, siehe zu den drei Szenarien in einer Tabelle S. 104. </w:t>
      </w:r>
    </w:p>
  </w:footnote>
  <w:footnote w:id="67">
    <w:p w14:paraId="11257426" w14:textId="77777777" w:rsidR="00112190" w:rsidRPr="00397351" w:rsidRDefault="00112190" w:rsidP="00112190">
      <w:pPr>
        <w:pStyle w:val="Funotentext"/>
        <w:rPr>
          <w:lang w:val="en-GB"/>
        </w:rPr>
      </w:pPr>
      <w:r>
        <w:rPr>
          <w:rStyle w:val="Funotenzeichen"/>
        </w:rPr>
        <w:footnoteRef/>
      </w:r>
      <w:r w:rsidRPr="00397351">
        <w:rPr>
          <w:lang w:val="en-GB"/>
        </w:rPr>
        <w:t xml:space="preserve"> GHG Emissions of all World Countries 2023</w:t>
      </w:r>
      <w:r>
        <w:rPr>
          <w:lang w:val="en-GB"/>
        </w:rPr>
        <w:t>: 5.</w:t>
      </w:r>
    </w:p>
  </w:footnote>
  <w:footnote w:id="68">
    <w:p w14:paraId="472C07DF" w14:textId="51289FC8" w:rsidR="00B01479" w:rsidRPr="00550090" w:rsidRDefault="00B01479">
      <w:pPr>
        <w:pStyle w:val="Funotentext"/>
        <w:rPr>
          <w:lang w:val="en-US"/>
        </w:rPr>
      </w:pPr>
      <w:r>
        <w:rPr>
          <w:rStyle w:val="Funotenzeichen"/>
        </w:rPr>
        <w:footnoteRef/>
      </w:r>
      <w:r w:rsidRPr="00B01479">
        <w:t xml:space="preserve"> Philip Plickert. BP sieht m</w:t>
      </w:r>
      <w:r>
        <w:t xml:space="preserve">ehr Öl- und Gasverbrauch. </w:t>
      </w:r>
      <w:r w:rsidRPr="00550090">
        <w:rPr>
          <w:lang w:val="en-US"/>
        </w:rPr>
        <w:t xml:space="preserve">FAZ, 12.07.2024. </w:t>
      </w:r>
    </w:p>
  </w:footnote>
  <w:footnote w:id="69">
    <w:p w14:paraId="64E58B4D" w14:textId="77777777" w:rsidR="00112190" w:rsidRPr="00550090" w:rsidRDefault="00112190" w:rsidP="00112190">
      <w:pPr>
        <w:pStyle w:val="Funotentext"/>
        <w:rPr>
          <w:lang w:val="en-US"/>
        </w:rPr>
      </w:pPr>
      <w:r>
        <w:rPr>
          <w:rStyle w:val="Funotenzeichen"/>
        </w:rPr>
        <w:footnoteRef/>
      </w:r>
      <w:r w:rsidRPr="00550090">
        <w:rPr>
          <w:lang w:val="en-US"/>
        </w:rPr>
        <w:t xml:space="preserve"> </w:t>
      </w:r>
      <w:bookmarkStart w:id="15" w:name="_Hlk203830847"/>
      <w:r w:rsidRPr="00550090">
        <w:rPr>
          <w:lang w:val="en-US"/>
        </w:rPr>
        <w:t>Global Energy Monitor China Briefing 2023: 10.</w:t>
      </w:r>
    </w:p>
    <w:bookmarkEnd w:id="15"/>
  </w:footnote>
  <w:footnote w:id="70">
    <w:p w14:paraId="25429BF6" w14:textId="77777777" w:rsidR="00222268" w:rsidRDefault="00222268" w:rsidP="00222268">
      <w:pPr>
        <w:pStyle w:val="Funotentext"/>
      </w:pPr>
      <w:r>
        <w:rPr>
          <w:rStyle w:val="Funotenzeichen"/>
        </w:rPr>
        <w:footnoteRef/>
      </w:r>
      <w:r>
        <w:t xml:space="preserve"> Info aus, S. 18: Wettbewerb mit neuer Energie. 7. </w:t>
      </w:r>
      <w:proofErr w:type="spellStart"/>
      <w:r>
        <w:t>Sektorgutachten</w:t>
      </w:r>
      <w:proofErr w:type="spellEnd"/>
      <w:r>
        <w:t xml:space="preserve"> Energie. </w:t>
      </w:r>
      <w:proofErr w:type="spellStart"/>
      <w:r>
        <w:t>Sektorgutachten</w:t>
      </w:r>
      <w:proofErr w:type="spellEnd"/>
      <w:r>
        <w:t xml:space="preserve"> der Monopolkommission gemäß § 62 EnWG, 2019. Siehe: </w:t>
      </w:r>
      <w:hyperlink r:id="rId48" w:history="1">
        <w:r w:rsidRPr="00181F3A">
          <w:rPr>
            <w:rStyle w:val="Hyperlink"/>
          </w:rPr>
          <w:t>https://www.monopolkommission.de/images/PDF/SG/7sg_energie_volltext.pdf</w:t>
        </w:r>
      </w:hyperlink>
      <w:r>
        <w:t xml:space="preserve"> - Zugegriffen: 17.07.2024.  </w:t>
      </w:r>
    </w:p>
  </w:footnote>
  <w:footnote w:id="71">
    <w:p w14:paraId="0765E517" w14:textId="77777777" w:rsidR="00222268" w:rsidRDefault="00222268" w:rsidP="00222268">
      <w:pPr>
        <w:pStyle w:val="Funotentext"/>
      </w:pPr>
      <w:r>
        <w:rPr>
          <w:rStyle w:val="Funotenzeichen"/>
        </w:rPr>
        <w:footnoteRef/>
      </w:r>
      <w:r>
        <w:t xml:space="preserve"> Siehe Bundesnetzagentur ‚Kraftwerksliste‘, als Excel-Tabelle verfügbar, in der jedes einzelne Kraftwerk in Deutschland erwähnt wird: </w:t>
      </w:r>
      <w:hyperlink r:id="rId49" w:history="1">
        <w:r w:rsidRPr="00597608">
          <w:rPr>
            <w:rStyle w:val="Hyperlink"/>
          </w:rPr>
          <w:t>https://www.bundesnetzagentur.de/DE/Fachthemen/ElektrizitaetundGas/Versorgungssicherheit/Erzeugungskapazitaeten/Kraftwerksliste/start.html</w:t>
        </w:r>
      </w:hyperlink>
      <w:r>
        <w:t xml:space="preserve"> - Zugegriffen: 06.02.2024.</w:t>
      </w:r>
    </w:p>
  </w:footnote>
  <w:footnote w:id="72">
    <w:p w14:paraId="5C39350D" w14:textId="0793F19F" w:rsidR="009F624B" w:rsidRDefault="009F624B">
      <w:pPr>
        <w:pStyle w:val="Funotentext"/>
      </w:pPr>
      <w:r>
        <w:rPr>
          <w:rStyle w:val="Funotenzeichen"/>
        </w:rPr>
        <w:footnoteRef/>
      </w:r>
      <w:r>
        <w:t xml:space="preserve"> </w:t>
      </w:r>
      <w:r w:rsidR="002F048E">
        <w:t xml:space="preserve">Gustav Theile. </w:t>
      </w:r>
      <w:r>
        <w:t xml:space="preserve">China forciert die Energiewende. Die Volksrepublik genehmigt viel weniger Kohlekraftwerke und baut erneuerbare Energien im Rekordtempo aus. </w:t>
      </w:r>
      <w:r w:rsidR="002F048E">
        <w:t xml:space="preserve">Analysten sehen den CO2-Wendepunkt erreicht. FAZ, 24.08.2024. </w:t>
      </w:r>
    </w:p>
  </w:footnote>
  <w:footnote w:id="73">
    <w:p w14:paraId="4A27E08A" w14:textId="77777777" w:rsidR="002F048E" w:rsidRDefault="002F048E" w:rsidP="002F048E">
      <w:pPr>
        <w:pStyle w:val="Funotentext"/>
      </w:pPr>
      <w:r>
        <w:rPr>
          <w:rStyle w:val="Funotenzeichen"/>
        </w:rPr>
        <w:footnoteRef/>
      </w:r>
      <w:r>
        <w:t xml:space="preserve"> Gustav Theile. China forciert die Energiewende. Die Volksrepublik genehmigt viel weniger Kohlekraftwerke und baut erneuerbare Energien im Rekordtempo aus. Analysten sehen den CO2-Wendepunkt erreicht. FAZ, 24.08.2024. </w:t>
      </w:r>
    </w:p>
  </w:footnote>
  <w:footnote w:id="74">
    <w:p w14:paraId="09497852" w14:textId="77777777" w:rsidR="00A53386" w:rsidRDefault="00A53386" w:rsidP="00A53386">
      <w:pPr>
        <w:pStyle w:val="Funotentext"/>
      </w:pPr>
      <w:r>
        <w:rPr>
          <w:rStyle w:val="Funotenzeichen"/>
        </w:rPr>
        <w:footnoteRef/>
      </w:r>
      <w:r>
        <w:t xml:space="preserve"> Siehe: </w:t>
      </w:r>
      <w:hyperlink r:id="rId50" w:history="1">
        <w:bookmarkStart w:id="16" w:name="_Hlk196931791"/>
        <w:r w:rsidRPr="004A4BFF">
          <w:rPr>
            <w:rStyle w:val="Hyperlink"/>
          </w:rPr>
          <w:t>https://e360.yale.edu</w:t>
        </w:r>
        <w:bookmarkEnd w:id="16"/>
        <w:r w:rsidRPr="004A4BFF">
          <w:rPr>
            <w:rStyle w:val="Hyperlink"/>
          </w:rPr>
          <w:t>/digest/china-new-coal-plants-2027</w:t>
        </w:r>
      </w:hyperlink>
      <w:r>
        <w:t xml:space="preserve"> - Zugegriffen: 30.04.2025. </w:t>
      </w:r>
    </w:p>
  </w:footnote>
  <w:footnote w:id="75">
    <w:p w14:paraId="76B26FDB" w14:textId="00A25911" w:rsidR="002A310A" w:rsidRDefault="002A310A">
      <w:pPr>
        <w:pStyle w:val="Funotentext"/>
      </w:pPr>
      <w:r>
        <w:rPr>
          <w:rStyle w:val="Funotenzeichen"/>
        </w:rPr>
        <w:footnoteRef/>
      </w:r>
      <w:r>
        <w:t xml:space="preserve"> China baut weitere Reaktoren, FAZ, 30.04.2025. </w:t>
      </w:r>
    </w:p>
  </w:footnote>
  <w:footnote w:id="76">
    <w:p w14:paraId="47AB439A" w14:textId="77777777" w:rsidR="00FD7E05" w:rsidRDefault="00FD7E05" w:rsidP="00FD7E05">
      <w:pPr>
        <w:pStyle w:val="Funotentext"/>
      </w:pPr>
      <w:r>
        <w:rPr>
          <w:rStyle w:val="Funotenzeichen"/>
        </w:rPr>
        <w:footnoteRef/>
      </w:r>
      <w:r>
        <w:t xml:space="preserve"> Siehe: </w:t>
      </w:r>
      <w:hyperlink r:id="rId51" w:history="1">
        <w:r w:rsidRPr="004C622C">
          <w:rPr>
            <w:rStyle w:val="Hyperlink"/>
          </w:rPr>
          <w:t>https://www.tagesschau.de/ausland/amerika/china-klima-treibhausgase-100.html</w:t>
        </w:r>
      </w:hyperlink>
      <w:r>
        <w:t xml:space="preserve"> - Zugegriffen: 27.09.2025.  </w:t>
      </w:r>
    </w:p>
  </w:footnote>
  <w:footnote w:id="77">
    <w:p w14:paraId="7709A7EC" w14:textId="44281356" w:rsidR="001253A4" w:rsidRDefault="001253A4">
      <w:pPr>
        <w:pStyle w:val="Funotentext"/>
      </w:pPr>
      <w:r>
        <w:rPr>
          <w:rStyle w:val="Funotenzeichen"/>
        </w:rPr>
        <w:footnoteRef/>
      </w:r>
      <w:r>
        <w:t xml:space="preserve"> Dies berichtet zusätzlich: Jochen Stahnke. Bescheidene Klimaziele und ein Seitenhieb auf Trump. FAZ, 25.09.2025. </w:t>
      </w:r>
    </w:p>
  </w:footnote>
  <w:footnote w:id="78">
    <w:p w14:paraId="597FFA9F" w14:textId="77777777" w:rsidR="00BE1390" w:rsidRDefault="00BE1390" w:rsidP="00BE1390">
      <w:pPr>
        <w:pStyle w:val="Funotentext"/>
      </w:pPr>
      <w:r>
        <w:rPr>
          <w:rStyle w:val="Funotenzeichen"/>
        </w:rPr>
        <w:footnoteRef/>
      </w:r>
      <w:r>
        <w:t xml:space="preserve"> Was in China hergestellt wird kann man nachlesen in meinem Text aus dem Jahr 2020 zu China: </w:t>
      </w:r>
      <w:hyperlink r:id="rId52" w:history="1">
        <w:r w:rsidRPr="0076611E">
          <w:rPr>
            <w:rStyle w:val="Hyperlink"/>
          </w:rPr>
          <w:t>https://www.tradefocus.de/publikationen.html</w:t>
        </w:r>
      </w:hyperlink>
    </w:p>
  </w:footnote>
  <w:footnote w:id="79">
    <w:p w14:paraId="0212F36E" w14:textId="58679E6D" w:rsidR="009804F0" w:rsidRDefault="009804F0">
      <w:pPr>
        <w:pStyle w:val="Funotentext"/>
      </w:pPr>
      <w:r>
        <w:rPr>
          <w:rStyle w:val="Funotenzeichen"/>
        </w:rPr>
        <w:footnoteRef/>
      </w:r>
      <w:r>
        <w:t xml:space="preserve"> Er hat zwischen 1985 und 1990 an der TU Clausthal Zellerfeld Antriebstechnik studiert und dann dort promoviert und ab 1991 bei Audi in China gearbeitet. Siehe: </w:t>
      </w:r>
      <w:hyperlink r:id="rId53" w:history="1">
        <w:r w:rsidRPr="002A3412">
          <w:rPr>
            <w:rStyle w:val="Hyperlink"/>
          </w:rPr>
          <w:t>https://de.wikipedia.org/wiki/Wan_Gang</w:t>
        </w:r>
      </w:hyperlink>
      <w:r>
        <w:t xml:space="preserve"> - Zugegriffen: 16.04.2025. </w:t>
      </w:r>
    </w:p>
  </w:footnote>
  <w:footnote w:id="80">
    <w:p w14:paraId="53416A29" w14:textId="1C00999B" w:rsidR="002D69CE" w:rsidRDefault="002D69CE">
      <w:pPr>
        <w:pStyle w:val="Funotentext"/>
      </w:pPr>
      <w:r>
        <w:rPr>
          <w:rStyle w:val="Funotenzeichen"/>
        </w:rPr>
        <w:footnoteRef/>
      </w:r>
      <w:r>
        <w:t xml:space="preserve"> Siehe: </w:t>
      </w:r>
      <w:hyperlink r:id="rId54" w:history="1">
        <w:r w:rsidRPr="002A3412">
          <w:rPr>
            <w:rStyle w:val="Hyperlink"/>
          </w:rPr>
          <w:t>https://www.albemarle.com/global/en</w:t>
        </w:r>
      </w:hyperlink>
      <w:r>
        <w:t xml:space="preserve"> </w:t>
      </w:r>
    </w:p>
  </w:footnote>
  <w:footnote w:id="81">
    <w:p w14:paraId="3045D5B1" w14:textId="77704FB6" w:rsidR="00981855" w:rsidRDefault="00981855">
      <w:pPr>
        <w:pStyle w:val="Funotentext"/>
      </w:pPr>
      <w:r>
        <w:rPr>
          <w:rStyle w:val="Funotenzeichen"/>
        </w:rPr>
        <w:footnoteRef/>
      </w:r>
      <w:r>
        <w:t xml:space="preserve"> </w:t>
      </w:r>
      <w:r w:rsidR="002D69CE">
        <w:t xml:space="preserve">Siehe: </w:t>
      </w:r>
      <w:hyperlink r:id="rId55" w:history="1">
        <w:r w:rsidR="002D69CE" w:rsidRPr="002A3412">
          <w:rPr>
            <w:rStyle w:val="Hyperlink"/>
          </w:rPr>
          <w:t>https://www.phoenix.de/sendungen/dokumentationen/lithium-am-oberrhein-a-4874652.html</w:t>
        </w:r>
      </w:hyperlink>
      <w:r w:rsidR="002D69CE">
        <w:t xml:space="preserve"> - Zugegriffen: 16.04.2025. </w:t>
      </w:r>
    </w:p>
  </w:footnote>
  <w:footnote w:id="82">
    <w:p w14:paraId="6EC04F0B" w14:textId="1B758200" w:rsidR="003362C1" w:rsidRDefault="003362C1">
      <w:pPr>
        <w:pStyle w:val="Funotentext"/>
      </w:pPr>
      <w:r>
        <w:rPr>
          <w:rStyle w:val="Funotenzeichen"/>
        </w:rPr>
        <w:footnoteRef/>
      </w:r>
      <w:r>
        <w:t xml:space="preserve"> </w:t>
      </w:r>
      <w:r w:rsidR="002D69CE">
        <w:t xml:space="preserve">Siehe: </w:t>
      </w:r>
      <w:hyperlink r:id="rId56" w:history="1">
        <w:r w:rsidR="002D69CE" w:rsidRPr="002A3412">
          <w:rPr>
            <w:rStyle w:val="Hyperlink"/>
          </w:rPr>
          <w:t>https://www.geothermie.de/bibliothek/lexikon-der-geothermie/l/lithium-extraktion</w:t>
        </w:r>
      </w:hyperlink>
      <w:r w:rsidR="002D69CE">
        <w:t xml:space="preserve"> - Zugegriffen: 16.04.2025.</w:t>
      </w:r>
    </w:p>
  </w:footnote>
  <w:footnote w:id="83">
    <w:p w14:paraId="4A2DF1DE" w14:textId="77777777" w:rsidR="007645DA" w:rsidRDefault="007645DA" w:rsidP="007645DA">
      <w:pPr>
        <w:pStyle w:val="Funotentext"/>
      </w:pPr>
      <w:r>
        <w:rPr>
          <w:rStyle w:val="Funotenzeichen"/>
        </w:rPr>
        <w:footnoteRef/>
      </w:r>
      <w:r>
        <w:t xml:space="preserve"> Siehe: </w:t>
      </w:r>
      <w:hyperlink r:id="rId57" w:history="1">
        <w:r w:rsidRPr="00187BF9">
          <w:rPr>
            <w:rStyle w:val="Hyperlink"/>
          </w:rPr>
          <w:t>https://de.wikipedia.org/wiki/Erneuerbare_Energien_in_China</w:t>
        </w:r>
      </w:hyperlink>
      <w:r>
        <w:t xml:space="preserve"> - Zugegriffen: 11.04.2025.</w:t>
      </w:r>
    </w:p>
  </w:footnote>
  <w:footnote w:id="84">
    <w:p w14:paraId="7A8CA973" w14:textId="77777777" w:rsidR="00112190" w:rsidRPr="00550090" w:rsidRDefault="00112190" w:rsidP="00112190">
      <w:pPr>
        <w:pStyle w:val="Funotentext"/>
      </w:pPr>
      <w:r>
        <w:rPr>
          <w:rStyle w:val="Funotenzeichen"/>
        </w:rPr>
        <w:footnoteRef/>
      </w:r>
      <w:r w:rsidRPr="00550090">
        <w:t xml:space="preserve"> IPCC 2023: 94. </w:t>
      </w:r>
    </w:p>
  </w:footnote>
  <w:footnote w:id="85">
    <w:p w14:paraId="014D9F7C" w14:textId="77777777" w:rsidR="00112190" w:rsidRPr="00550090" w:rsidRDefault="00112190" w:rsidP="00112190">
      <w:pPr>
        <w:pStyle w:val="Funotentext"/>
      </w:pPr>
      <w:r>
        <w:rPr>
          <w:rStyle w:val="Funotenzeichen"/>
        </w:rPr>
        <w:footnoteRef/>
      </w:r>
      <w:r w:rsidRPr="00550090">
        <w:t xml:space="preserve"> IPCC 2023: 412-413, 435.</w:t>
      </w:r>
    </w:p>
  </w:footnote>
  <w:footnote w:id="86">
    <w:p w14:paraId="21BB47FF" w14:textId="77777777" w:rsidR="00295A38" w:rsidRPr="00550090" w:rsidRDefault="00295A38" w:rsidP="00295A38">
      <w:pPr>
        <w:pStyle w:val="Funotentext"/>
      </w:pPr>
      <w:r>
        <w:rPr>
          <w:rStyle w:val="Funotenzeichen"/>
        </w:rPr>
        <w:footnoteRef/>
      </w:r>
      <w:r w:rsidRPr="00550090">
        <w:t xml:space="preserve"> IPCC 2023: 85.</w:t>
      </w:r>
    </w:p>
  </w:footnote>
  <w:footnote w:id="87">
    <w:p w14:paraId="074DE2D8" w14:textId="77777777" w:rsidR="001E6413" w:rsidRPr="00EC0B08" w:rsidRDefault="001E6413" w:rsidP="001E6413">
      <w:pPr>
        <w:pStyle w:val="Funotentext"/>
      </w:pPr>
      <w:r>
        <w:rPr>
          <w:rStyle w:val="Funotenzeichen"/>
        </w:rPr>
        <w:footnoteRef/>
      </w:r>
      <w:r w:rsidRPr="00550090">
        <w:t xml:space="preserve"> KI in Chat GTP. </w:t>
      </w:r>
      <w:r>
        <w:t xml:space="preserve">Setzt harter Kohlenstoff CO2 frei. </w:t>
      </w:r>
    </w:p>
  </w:footnote>
  <w:footnote w:id="88">
    <w:p w14:paraId="4DD2C337" w14:textId="77777777" w:rsidR="00380D28" w:rsidRDefault="00380D28" w:rsidP="00380D28">
      <w:pPr>
        <w:pStyle w:val="Funotentext"/>
      </w:pPr>
      <w:r>
        <w:rPr>
          <w:rStyle w:val="Funotenzeichen"/>
        </w:rPr>
        <w:footnoteRef/>
      </w:r>
      <w:r>
        <w:t xml:space="preserve"> Siehe: </w:t>
      </w:r>
      <w:hyperlink r:id="rId58" w:history="1">
        <w:r w:rsidRPr="001B0D55">
          <w:rPr>
            <w:rStyle w:val="Hyperlink"/>
          </w:rPr>
          <w:t>https://www.tvt.kit.edu/21_3547.php</w:t>
        </w:r>
      </w:hyperlink>
      <w:r>
        <w:t xml:space="preserve"> - Zugegriffen: 11.04.2025. </w:t>
      </w:r>
    </w:p>
  </w:footnote>
  <w:footnote w:id="89">
    <w:p w14:paraId="6AE74BBB" w14:textId="77777777" w:rsidR="00634127" w:rsidRDefault="00634127" w:rsidP="00634127">
      <w:pPr>
        <w:pStyle w:val="Funotentext"/>
      </w:pPr>
      <w:r>
        <w:rPr>
          <w:rStyle w:val="Funotenzeichen"/>
        </w:rPr>
        <w:footnoteRef/>
      </w:r>
      <w:r>
        <w:t xml:space="preserve"> Siehe: </w:t>
      </w:r>
      <w:hyperlink r:id="rId59" w:history="1">
        <w:r w:rsidRPr="001B0D55">
          <w:rPr>
            <w:rStyle w:val="Hyperlink"/>
          </w:rPr>
          <w:t>https://www.bmwk.de/Redaktion/DE/Dossier/negativemissionen.html</w:t>
        </w:r>
      </w:hyperlink>
      <w:r>
        <w:t xml:space="preserve"> - Zugegriffen: 11.04.2025.</w:t>
      </w:r>
    </w:p>
  </w:footnote>
  <w:footnote w:id="90">
    <w:p w14:paraId="46512EE2" w14:textId="77777777" w:rsidR="00634127" w:rsidRPr="00CC0842" w:rsidRDefault="00634127" w:rsidP="00634127">
      <w:pPr>
        <w:pStyle w:val="Funotentext"/>
      </w:pPr>
      <w:r>
        <w:rPr>
          <w:rStyle w:val="Funotenzeichen"/>
        </w:rPr>
        <w:footnoteRef/>
      </w:r>
      <w:r w:rsidRPr="00CC0842">
        <w:t xml:space="preserve"> </w:t>
      </w:r>
      <w:r>
        <w:t xml:space="preserve">Siehe: </w:t>
      </w:r>
      <w:hyperlink r:id="rId60" w:history="1">
        <w:r w:rsidRPr="001B0D55">
          <w:rPr>
            <w:rStyle w:val="Hyperlink"/>
          </w:rPr>
          <w:t>https://www.bmwk.de/Redaktion/DE/Downloads/E/240226-eckpunkte-negativemissionen.pdf?__blob=publicationFile&amp;v=8</w:t>
        </w:r>
      </w:hyperlink>
      <w:r w:rsidRPr="00CC0842">
        <w:t xml:space="preserve"> </w:t>
      </w:r>
      <w:r>
        <w:t>–</w:t>
      </w:r>
      <w:r w:rsidRPr="00CC0842">
        <w:t xml:space="preserve"> Zu</w:t>
      </w:r>
      <w:r>
        <w:t>gegriffen: 11.04.2025.</w:t>
      </w:r>
    </w:p>
  </w:footnote>
  <w:footnote w:id="91">
    <w:p w14:paraId="6A8F7A1D" w14:textId="65B62B53" w:rsidR="00866A42" w:rsidRDefault="00866A42">
      <w:pPr>
        <w:pStyle w:val="Funotentext"/>
      </w:pPr>
      <w:r>
        <w:rPr>
          <w:rStyle w:val="Funotenzeichen"/>
        </w:rPr>
        <w:footnoteRef/>
      </w:r>
      <w:r>
        <w:t xml:space="preserve"> Siehe: </w:t>
      </w:r>
      <w:hyperlink r:id="rId61" w:history="1">
        <w:r w:rsidRPr="005F0F5C">
          <w:rPr>
            <w:rStyle w:val="Hyperlink"/>
          </w:rPr>
          <w:t>https://de.wikipedia.org/wiki/Negative_Emissionen</w:t>
        </w:r>
      </w:hyperlink>
      <w:r>
        <w:t xml:space="preserve"> - Zugegriffen: 28.05.2025.</w:t>
      </w:r>
    </w:p>
  </w:footnote>
  <w:footnote w:id="92">
    <w:p w14:paraId="662471B2" w14:textId="77777777" w:rsidR="00151322" w:rsidRDefault="00151322" w:rsidP="00151322">
      <w:pPr>
        <w:pStyle w:val="Funotentext"/>
      </w:pPr>
      <w:r>
        <w:rPr>
          <w:rStyle w:val="Funotenzeichen"/>
        </w:rPr>
        <w:footnoteRef/>
      </w:r>
      <w:r>
        <w:t xml:space="preserve"> Excel-Tabelle des Bundesumweltamtes. Emissionsübersichten nach Sektoren des Klimaschutzgesetzes 1990-2020. Datum: 15.03.2023. Quelle: </w:t>
      </w:r>
      <w:hyperlink r:id="rId62" w:history="1">
        <w:r w:rsidRPr="00D414D2">
          <w:rPr>
            <w:rStyle w:val="Hyperlink"/>
          </w:rPr>
          <w:t>https://www.umweltbundesamt.de/presse/pressemitteilungen/uba-prognose-treibhausgasemissionen-sanken-2022-um</w:t>
        </w:r>
      </w:hyperlink>
      <w:r>
        <w:t xml:space="preserve"> - Zugegriffen: 16.10.2023. Nun findet sich die Excel-Tabelle in: </w:t>
      </w:r>
      <w:hyperlink r:id="rId63" w:anchor="emissionsentwicklung" w:history="1">
        <w:r w:rsidRPr="004226BE">
          <w:rPr>
            <w:rStyle w:val="Hyperlink"/>
          </w:rPr>
          <w:t>https://www.umweltbundesamt.de/daten/klima/treibhausgas-emissionen-in-deutschland#emissionsentwicklung</w:t>
        </w:r>
      </w:hyperlink>
      <w:r>
        <w:t xml:space="preserve"> – Zugegriffen: 30.12.2023.   </w:t>
      </w:r>
    </w:p>
  </w:footnote>
  <w:footnote w:id="93">
    <w:p w14:paraId="1F2AB599" w14:textId="77777777" w:rsidR="00151322" w:rsidRPr="008A3A99" w:rsidRDefault="00151322" w:rsidP="00151322">
      <w:pPr>
        <w:pStyle w:val="Funotentext"/>
      </w:pPr>
      <w:r>
        <w:rPr>
          <w:rStyle w:val="Funotenzeichen"/>
        </w:rPr>
        <w:footnoteRef/>
      </w:r>
      <w:r w:rsidRPr="008A3A99">
        <w:t xml:space="preserve"> Quelle: </w:t>
      </w:r>
      <w:hyperlink r:id="rId64" w:anchor="nationale-und-europaische-klimaziele" w:history="1">
        <w:r w:rsidRPr="008A3A99">
          <w:rPr>
            <w:rStyle w:val="Hyperlink"/>
          </w:rPr>
          <w:t>https://www.umweltbundesamt.de/daten/klima/treibhausgas-emissionen-in-deutschland#nationale-und-europaische-klimaziele</w:t>
        </w:r>
      </w:hyperlink>
      <w:r w:rsidRPr="008A3A99">
        <w:t xml:space="preserve"> </w:t>
      </w:r>
      <w:r>
        <w:t>–</w:t>
      </w:r>
      <w:r w:rsidRPr="008A3A99">
        <w:t xml:space="preserve"> Zu</w:t>
      </w:r>
      <w:r>
        <w:t>gegriffen: 13.10.2023.</w:t>
      </w:r>
    </w:p>
  </w:footnote>
  <w:footnote w:id="94">
    <w:p w14:paraId="448572B1" w14:textId="77777777" w:rsidR="00151322" w:rsidRPr="008A3A99" w:rsidRDefault="00151322" w:rsidP="00151322">
      <w:pPr>
        <w:pStyle w:val="Funotentext"/>
      </w:pPr>
      <w:r>
        <w:rPr>
          <w:rStyle w:val="Funotenzeichen"/>
        </w:rPr>
        <w:footnoteRef/>
      </w:r>
      <w:r w:rsidRPr="008A3A99">
        <w:t xml:space="preserve"> Quelle: </w:t>
      </w:r>
      <w:hyperlink r:id="rId65" w:history="1">
        <w:r w:rsidRPr="008A3A99">
          <w:rPr>
            <w:rStyle w:val="Hyperlink"/>
          </w:rPr>
          <w:t>https://www.umweltbundesamt.de/sites/default/files/medien/361/dokumente/vjs_2022_-_begleitbericht_final_kurzfassung.pdf</w:t>
        </w:r>
      </w:hyperlink>
      <w:r w:rsidRPr="008A3A99">
        <w:t xml:space="preserve"> - Zu</w:t>
      </w:r>
      <w:r>
        <w:t>gegriffen: 13.10.2023.</w:t>
      </w:r>
    </w:p>
  </w:footnote>
  <w:footnote w:id="95">
    <w:p w14:paraId="4E8DCE69" w14:textId="77777777" w:rsidR="00151322" w:rsidRDefault="00151322" w:rsidP="00151322">
      <w:pPr>
        <w:pStyle w:val="Funotentext"/>
      </w:pPr>
      <w:r>
        <w:rPr>
          <w:rStyle w:val="Funotenzeichen"/>
        </w:rPr>
        <w:footnoteRef/>
      </w:r>
      <w:r>
        <w:t xml:space="preserve"> BMWK 2022. </w:t>
      </w:r>
    </w:p>
  </w:footnote>
  <w:footnote w:id="96">
    <w:p w14:paraId="31347161" w14:textId="77777777" w:rsidR="00151322" w:rsidRDefault="00151322" w:rsidP="00151322">
      <w:pPr>
        <w:pStyle w:val="Funotentext"/>
      </w:pPr>
      <w:r>
        <w:rPr>
          <w:rStyle w:val="Funotenzeichen"/>
        </w:rPr>
        <w:footnoteRef/>
      </w:r>
      <w:r>
        <w:t xml:space="preserve"> Siehe</w:t>
      </w:r>
      <w:r w:rsidRPr="00132180">
        <w:t xml:space="preserve"> die Excel-Tabelle in: </w:t>
      </w:r>
      <w:hyperlink r:id="rId66" w:history="1">
        <w:r w:rsidRPr="00132180">
          <w:rPr>
            <w:rStyle w:val="Hyperlink"/>
          </w:rPr>
          <w:t>https://www.umweltbundesamt.de/daten/klima/treibhausgas-emissionen-in-deutschland#emissionsentwicklung</w:t>
        </w:r>
      </w:hyperlink>
      <w:r w:rsidRPr="00132180">
        <w:t xml:space="preserve"> – Zugegriffen: 30.12.2023.   </w:t>
      </w:r>
    </w:p>
  </w:footnote>
  <w:footnote w:id="97">
    <w:p w14:paraId="471442AD" w14:textId="777DB414" w:rsidR="00B00956" w:rsidRDefault="00B00956">
      <w:pPr>
        <w:pStyle w:val="Funotentext"/>
      </w:pPr>
      <w:r>
        <w:rPr>
          <w:rStyle w:val="Funotenzeichen"/>
        </w:rPr>
        <w:footnoteRef/>
      </w:r>
      <w:r>
        <w:t xml:space="preserve"> Verein </w:t>
      </w:r>
      <w:proofErr w:type="spellStart"/>
      <w:r>
        <w:t>deutscher</w:t>
      </w:r>
      <w:proofErr w:type="spellEnd"/>
      <w:r>
        <w:t xml:space="preserve"> Zementwerke 2020: 13.</w:t>
      </w:r>
    </w:p>
  </w:footnote>
  <w:footnote w:id="98">
    <w:p w14:paraId="0A8BE38A" w14:textId="349B6D9D" w:rsidR="00B00956" w:rsidRDefault="00B00956">
      <w:pPr>
        <w:pStyle w:val="Funotentext"/>
      </w:pPr>
      <w:r>
        <w:rPr>
          <w:rStyle w:val="Funotenzeichen"/>
        </w:rPr>
        <w:footnoteRef/>
      </w:r>
      <w:r>
        <w:t xml:space="preserve"> Transformation der Chemie 2023: 12</w:t>
      </w:r>
      <w:r w:rsidR="00C40A2C">
        <w:t>-13</w:t>
      </w:r>
      <w:r>
        <w:t>.</w:t>
      </w:r>
    </w:p>
  </w:footnote>
  <w:footnote w:id="99">
    <w:p w14:paraId="3256567B" w14:textId="43705849" w:rsidR="00B76D05" w:rsidRDefault="00B76D05">
      <w:pPr>
        <w:pStyle w:val="Funotentext"/>
      </w:pPr>
      <w:r>
        <w:rPr>
          <w:rStyle w:val="Funotenzeichen"/>
        </w:rPr>
        <w:footnoteRef/>
      </w:r>
      <w:r>
        <w:t xml:space="preserve"> Transformation der Chemie 2023: 119-220.</w:t>
      </w:r>
    </w:p>
  </w:footnote>
  <w:footnote w:id="100">
    <w:p w14:paraId="7F0ECF0A" w14:textId="12A56D9B" w:rsidR="00D71FB5" w:rsidRPr="00D71FB5" w:rsidRDefault="00D71FB5">
      <w:pPr>
        <w:pStyle w:val="Funotentext"/>
      </w:pPr>
      <w:r>
        <w:rPr>
          <w:rStyle w:val="Funotenzeichen"/>
        </w:rPr>
        <w:footnoteRef/>
      </w:r>
      <w:r w:rsidRPr="00EB1D02">
        <w:t xml:space="preserve"> Michael Claußner, Fabian Huneke. </w:t>
      </w:r>
      <w:r w:rsidRPr="00D71FB5">
        <w:t>Kompensation der</w:t>
      </w:r>
      <w:r>
        <w:t xml:space="preserve"> Kohle-Mehremissionen durch die Energiekrise. </w:t>
      </w:r>
      <w:r w:rsidRPr="00D71FB5">
        <w:t>Kurz</w:t>
      </w:r>
      <w:r>
        <w:t xml:space="preserve">studie. </w:t>
      </w:r>
      <w:r w:rsidRPr="00D71FB5">
        <w:t>Berlin,</w:t>
      </w:r>
      <w:r>
        <w:t xml:space="preserve"> Februar 2023, siehe:</w:t>
      </w:r>
      <w:r w:rsidRPr="00D71FB5">
        <w:t xml:space="preserve"> </w:t>
      </w:r>
      <w:hyperlink r:id="rId67" w:history="1">
        <w:r w:rsidRPr="00083B1E">
          <w:rPr>
            <w:rStyle w:val="Hyperlink"/>
          </w:rPr>
          <w:t>https://green-planet-energy.de/fileadmin/docs/publikationen/Studien/2023-02-06_GPE_Kurzstudie_Kohle-Mehremissionen_EnergyBrainpool_V20.pdf</w:t>
        </w:r>
      </w:hyperlink>
      <w:r>
        <w:t xml:space="preserve"> - Zugegriffen: 21.05.2025. </w:t>
      </w:r>
    </w:p>
  </w:footnote>
  <w:footnote w:id="101">
    <w:p w14:paraId="1A6DCE52" w14:textId="20A227E4" w:rsidR="00A8216B" w:rsidRDefault="00A8216B">
      <w:pPr>
        <w:pStyle w:val="Funotentext"/>
      </w:pPr>
      <w:r>
        <w:rPr>
          <w:rStyle w:val="Funotenzeichen"/>
        </w:rPr>
        <w:footnoteRef/>
      </w:r>
      <w:r>
        <w:t xml:space="preserve"> Siehe: </w:t>
      </w:r>
      <w:hyperlink r:id="rId68" w:history="1">
        <w:r w:rsidRPr="00083B1E">
          <w:rPr>
            <w:rStyle w:val="Hyperlink"/>
          </w:rPr>
          <w:t>https://www.eex.com/en/market-data/market-data-hub/environmentals/spot</w:t>
        </w:r>
      </w:hyperlink>
      <w:r>
        <w:t xml:space="preserve"> - Zugegriffen: 21.05.2025.</w:t>
      </w:r>
    </w:p>
  </w:footnote>
  <w:footnote w:id="102">
    <w:p w14:paraId="730513E7" w14:textId="4B54790D" w:rsidR="008002A3" w:rsidRDefault="008002A3">
      <w:pPr>
        <w:pStyle w:val="Funotentext"/>
      </w:pPr>
      <w:r>
        <w:rPr>
          <w:rStyle w:val="Funotenzeichen"/>
        </w:rPr>
        <w:footnoteRef/>
      </w:r>
      <w:r>
        <w:t xml:space="preserve"> Siehe: </w:t>
      </w:r>
      <w:hyperlink r:id="rId69" w:history="1">
        <w:r w:rsidRPr="00530B5C">
          <w:rPr>
            <w:rStyle w:val="Hyperlink"/>
          </w:rPr>
          <w:t>https://www.landtag.nrw.de/portal/WWW/dokumentenarchiv/Dokument/MMD18-9763.pdf</w:t>
        </w:r>
      </w:hyperlink>
      <w:r>
        <w:t xml:space="preserve"> - Zugegriffen: 07.06.2025. </w:t>
      </w:r>
    </w:p>
  </w:footnote>
  <w:footnote w:id="103">
    <w:p w14:paraId="6D61D017" w14:textId="77777777" w:rsidR="00866A42" w:rsidRDefault="00866A42" w:rsidP="00866A42">
      <w:pPr>
        <w:pStyle w:val="Funotentext"/>
      </w:pPr>
      <w:r>
        <w:rPr>
          <w:rStyle w:val="Funotenzeichen"/>
        </w:rPr>
        <w:footnoteRef/>
      </w:r>
      <w:r>
        <w:t xml:space="preserve"> Siehe: </w:t>
      </w:r>
      <w:hyperlink r:id="rId70" w:history="1">
        <w:r w:rsidRPr="005F0F5C">
          <w:rPr>
            <w:rStyle w:val="Hyperlink"/>
          </w:rPr>
          <w:t>https://de.wikipedia.org/wiki/Kraftwerk_Weisweiler</w:t>
        </w:r>
      </w:hyperlink>
      <w:r>
        <w:t xml:space="preserve"> - Zugegriffen: 28.05.2025. </w:t>
      </w:r>
    </w:p>
  </w:footnote>
  <w:footnote w:id="104">
    <w:p w14:paraId="5C78F67E" w14:textId="77777777" w:rsidR="00866A42" w:rsidRPr="00F111DA" w:rsidRDefault="00866A42" w:rsidP="00866A42">
      <w:pPr>
        <w:pStyle w:val="Funotentext"/>
      </w:pPr>
      <w:r>
        <w:rPr>
          <w:rStyle w:val="Funotenzeichen"/>
        </w:rPr>
        <w:footnoteRef/>
      </w:r>
      <w:r w:rsidRPr="00997BE2">
        <w:t xml:space="preserve"> Das Kraftwerk </w:t>
      </w:r>
      <w:r>
        <w:t xml:space="preserve">Belchatow </w:t>
      </w:r>
      <w:r w:rsidRPr="00997BE2">
        <w:t>hat eine G</w:t>
      </w:r>
      <w:r>
        <w:t xml:space="preserve">esamtleistung von 5420 MW, 13 Blöcke und 13 Turbinen. </w:t>
      </w:r>
      <w:r w:rsidRPr="00F111DA">
        <w:t xml:space="preserve">Als es 2015 wegen Wassermangel </w:t>
      </w:r>
      <w:r>
        <w:t>kontrolliert abgeschaltet wurde</w:t>
      </w:r>
      <w:r w:rsidRPr="00F111DA">
        <w:t>, hatte dies Folgen für ga</w:t>
      </w:r>
      <w:r>
        <w:t xml:space="preserve">nz Polen, Strom musste aus dem Ausland importiert werden. Bei einem Ausfall einer Schaltanlage kam es 2021 im gesamten europäischen Netz zu einem Spannungsabfall und einem Abfall der Netzfrequenz auf 49,85 Hertz (statt 50 Hertz), siehe: </w:t>
      </w:r>
      <w:hyperlink r:id="rId71" w:history="1">
        <w:r w:rsidRPr="005F0F5C">
          <w:rPr>
            <w:rStyle w:val="Hyperlink"/>
          </w:rPr>
          <w:t>https://de.wikipedia.org/wiki/Kraftwerk_Be%C5%82chat%C3%B3w</w:t>
        </w:r>
      </w:hyperlink>
      <w:r>
        <w:t xml:space="preserve"> – Zugegriffen: 28.05.2025.  </w:t>
      </w:r>
      <w:r w:rsidRPr="00F111DA">
        <w:t xml:space="preserve"> </w:t>
      </w:r>
    </w:p>
  </w:footnote>
  <w:footnote w:id="105">
    <w:p w14:paraId="279539FC" w14:textId="77777777" w:rsidR="00866A42" w:rsidRPr="00AE11F3" w:rsidRDefault="00866A42" w:rsidP="00866A42">
      <w:pPr>
        <w:pStyle w:val="Funotentext"/>
      </w:pPr>
      <w:r>
        <w:rPr>
          <w:rStyle w:val="Funotenzeichen"/>
        </w:rPr>
        <w:footnoteRef/>
      </w:r>
      <w:r w:rsidRPr="00AE11F3">
        <w:t xml:space="preserve"> Siehe: </w:t>
      </w:r>
      <w:hyperlink r:id="rId72" w:history="1">
        <w:r w:rsidRPr="005F0F5C">
          <w:rPr>
            <w:rStyle w:val="Hyperlink"/>
          </w:rPr>
          <w:t>https://de.wikipedia.org/wiki/Kohleausstieg</w:t>
        </w:r>
      </w:hyperlink>
      <w:r>
        <w:t xml:space="preserve"> - Zugegriffen: 28.05.2025. </w:t>
      </w:r>
    </w:p>
  </w:footnote>
  <w:footnote w:id="106">
    <w:p w14:paraId="22DE35D7" w14:textId="77777777" w:rsidR="00866A42" w:rsidRPr="00AE11F3" w:rsidRDefault="00866A42" w:rsidP="00866A42">
      <w:pPr>
        <w:pStyle w:val="Funotentext"/>
      </w:pPr>
      <w:r>
        <w:rPr>
          <w:rStyle w:val="Funotenzeichen"/>
        </w:rPr>
        <w:footnoteRef/>
      </w:r>
      <w:r w:rsidRPr="00AE11F3">
        <w:t xml:space="preserve"> Siehe: </w:t>
      </w:r>
      <w:hyperlink r:id="rId73" w:history="1">
        <w:r w:rsidRPr="005F0F5C">
          <w:rPr>
            <w:rStyle w:val="Hyperlink"/>
          </w:rPr>
          <w:t>https://de.wikipedia.org/wiki/Ausstieg_aus_der_Kohleverstromung_in_Deutschland</w:t>
        </w:r>
      </w:hyperlink>
      <w:r>
        <w:t xml:space="preserve"> - Zugegriffen: 28.05.2025. </w:t>
      </w:r>
    </w:p>
  </w:footnote>
  <w:footnote w:id="107">
    <w:p w14:paraId="41C442E9" w14:textId="77777777" w:rsidR="00866A42" w:rsidRPr="00AE11F3" w:rsidRDefault="00866A42" w:rsidP="00866A42">
      <w:pPr>
        <w:pStyle w:val="Funotentext"/>
      </w:pPr>
      <w:r>
        <w:rPr>
          <w:rStyle w:val="Funotenzeichen"/>
        </w:rPr>
        <w:footnoteRef/>
      </w:r>
      <w:r w:rsidRPr="00AE11F3">
        <w:t xml:space="preserve"> Siehe: </w:t>
      </w:r>
      <w:hyperlink r:id="rId74" w:history="1">
        <w:r w:rsidRPr="005F0F5C">
          <w:rPr>
            <w:rStyle w:val="Hyperlink"/>
          </w:rPr>
          <w:t>https://de.wikipedia.org/wiki/Ausstieg_aus_der_Kohleverstromung_in_Deutschland</w:t>
        </w:r>
      </w:hyperlink>
      <w:r>
        <w:t xml:space="preserve"> - Zugegriffen: 28.05.2025. </w:t>
      </w:r>
    </w:p>
  </w:footnote>
  <w:footnote w:id="108">
    <w:p w14:paraId="58F400C7" w14:textId="77777777" w:rsidR="00BA1C73" w:rsidRDefault="00BA1C73" w:rsidP="00BA1C73">
      <w:pPr>
        <w:pStyle w:val="Funotentext"/>
      </w:pPr>
      <w:r>
        <w:rPr>
          <w:rStyle w:val="Funotenzeichen"/>
        </w:rPr>
        <w:footnoteRef/>
      </w:r>
      <w:r>
        <w:t xml:space="preserve"> Siehe: </w:t>
      </w:r>
      <w:hyperlink r:id="rId75" w:history="1">
        <w:r w:rsidRPr="00B608C2">
          <w:rPr>
            <w:rStyle w:val="Hyperlink"/>
          </w:rPr>
          <w:t>https://www.onyx-power.com/de/aktuelles/kraftwerk-zolling-stellt-kommerziellen-betrieb-ein/</w:t>
        </w:r>
      </w:hyperlink>
      <w:r>
        <w:t xml:space="preserve"> - Zugegriffen: 13.05.2025. </w:t>
      </w:r>
    </w:p>
  </w:footnote>
  <w:footnote w:id="109">
    <w:p w14:paraId="74AA8DE7" w14:textId="77777777" w:rsidR="00E83A75" w:rsidRDefault="00E83A75" w:rsidP="00E83A75">
      <w:pPr>
        <w:pStyle w:val="Funotentext"/>
      </w:pPr>
      <w:r>
        <w:rPr>
          <w:rStyle w:val="Funotenzeichen"/>
        </w:rPr>
        <w:footnoteRef/>
      </w:r>
      <w:r>
        <w:t xml:space="preserve"> Philip Plickert. Der Ausstieg des Kohlepioniers. FAZ, 27.09.2024. </w:t>
      </w:r>
    </w:p>
  </w:footnote>
  <w:footnote w:id="110">
    <w:p w14:paraId="43EE6AE8" w14:textId="77777777" w:rsidR="00151322" w:rsidRDefault="00151322" w:rsidP="00151322">
      <w:pPr>
        <w:pStyle w:val="Funotentext"/>
      </w:pPr>
      <w:r>
        <w:rPr>
          <w:rStyle w:val="Funotenzeichen"/>
        </w:rPr>
        <w:footnoteRef/>
      </w:r>
      <w:r>
        <w:t xml:space="preserve"> </w:t>
      </w:r>
      <w:r w:rsidRPr="00540168">
        <w:t>Klimaschutzgesetz,</w:t>
      </w:r>
      <w:r>
        <w:t xml:space="preserve"> Anlage 2 (zu § 4) Zulässige Emissionsmengen für die Jahre 2020 bis 2030.</w:t>
      </w:r>
    </w:p>
  </w:footnote>
  <w:footnote w:id="111">
    <w:p w14:paraId="2C8829DD" w14:textId="77777777" w:rsidR="00151322" w:rsidRDefault="00151322" w:rsidP="00151322">
      <w:pPr>
        <w:pStyle w:val="Funotentext"/>
      </w:pPr>
      <w:r>
        <w:rPr>
          <w:rStyle w:val="Funotenzeichen"/>
        </w:rPr>
        <w:footnoteRef/>
      </w:r>
      <w:r>
        <w:t xml:space="preserve"> </w:t>
      </w:r>
      <w:r w:rsidRPr="00540168">
        <w:t xml:space="preserve">Klimaschutzgesetz, Anlage </w:t>
      </w:r>
      <w:r>
        <w:t>3</w:t>
      </w:r>
      <w:r w:rsidRPr="00540168">
        <w:t xml:space="preserve"> (zu § 4) </w:t>
      </w:r>
      <w:r>
        <w:t>Jährliche Minderungsziele für die</w:t>
      </w:r>
      <w:r w:rsidRPr="00540168">
        <w:t xml:space="preserve"> Jahre 20</w:t>
      </w:r>
      <w:r>
        <w:t>31</w:t>
      </w:r>
      <w:r w:rsidRPr="00540168">
        <w:t xml:space="preserve"> bis 20</w:t>
      </w:r>
      <w:r>
        <w:t>4</w:t>
      </w:r>
      <w:r w:rsidRPr="00540168">
        <w:t>0.</w:t>
      </w:r>
    </w:p>
  </w:footnote>
  <w:footnote w:id="112">
    <w:p w14:paraId="7EBAC61E" w14:textId="77777777" w:rsidR="00151322" w:rsidRDefault="00151322" w:rsidP="00151322">
      <w:pPr>
        <w:pStyle w:val="Funotentext"/>
      </w:pPr>
      <w:r>
        <w:rPr>
          <w:rStyle w:val="Funotenzeichen"/>
        </w:rPr>
        <w:footnoteRef/>
      </w:r>
      <w:r>
        <w:t xml:space="preserve"> BMWK 2022: 13. Siehe Tabelle des Bundesumweltamtes für 2022: </w:t>
      </w:r>
      <w:hyperlink r:id="rId76" w:anchor="anteil-erneuerbarer-energien-am-gesamten-bruttoendenergieverbrauch" w:history="1">
        <w:r w:rsidRPr="00D414D2">
          <w:rPr>
            <w:rStyle w:val="Hyperlink"/>
          </w:rPr>
          <w:t>https://www.umweltbundesamt.de/daten/energie/energieverbrauch-nach-energietraegern-sektoren#anteil-erneuerbarer-energien-am-gesamten-bruttoendenergieverbrauch</w:t>
        </w:r>
      </w:hyperlink>
      <w:r>
        <w:t xml:space="preserve"> – Zugegriffen: 16.10.2022. </w:t>
      </w:r>
    </w:p>
  </w:footnote>
  <w:footnote w:id="113">
    <w:p w14:paraId="5E4F6E00" w14:textId="77777777" w:rsidR="00151322" w:rsidRDefault="00151322" w:rsidP="00151322">
      <w:pPr>
        <w:pStyle w:val="Funotentext"/>
      </w:pPr>
      <w:r>
        <w:rPr>
          <w:rStyle w:val="Funotenzeichen"/>
        </w:rPr>
        <w:footnoteRef/>
      </w:r>
      <w:r>
        <w:t xml:space="preserve"> Durchführungsbeschluss (EU) 2023/1319, 28. Juni 2023, siehe: </w:t>
      </w:r>
      <w:hyperlink r:id="rId77" w:history="1">
        <w:r w:rsidRPr="005735F8">
          <w:rPr>
            <w:rStyle w:val="Hyperlink"/>
          </w:rPr>
          <w:t>https://eur-lex.europa.eu/legal-content/EN/TXT/PDF/?uri=CELEX:32023D1319</w:t>
        </w:r>
      </w:hyperlink>
      <w:r>
        <w:t xml:space="preserve"> – Zugegriffen: 30.12.2023. </w:t>
      </w:r>
    </w:p>
  </w:footnote>
  <w:footnote w:id="114">
    <w:p w14:paraId="69113173" w14:textId="77777777" w:rsidR="00112190" w:rsidRDefault="00112190" w:rsidP="00112190">
      <w:pPr>
        <w:pStyle w:val="Funotentext"/>
      </w:pPr>
      <w:r>
        <w:rPr>
          <w:rStyle w:val="Funotenzeichen"/>
        </w:rPr>
        <w:footnoteRef/>
      </w:r>
      <w:r>
        <w:t xml:space="preserve"> Germanwatch, Meldung 05.12.2012, Neue Stromleitungen: Netzbetreiber und Umweltverbände treten gemeinsam für Netzausbau ein. Siehe: </w:t>
      </w:r>
      <w:hyperlink r:id="rId78" w:history="1">
        <w:r w:rsidRPr="005C07CB">
          <w:rPr>
            <w:rStyle w:val="Hyperlink"/>
          </w:rPr>
          <w:t>https://www.germanwatch.org/de/5910</w:t>
        </w:r>
      </w:hyperlink>
      <w:r>
        <w:t xml:space="preserve"> - Zugegriffen: 02.12.2023. Es wird eine Ökostromlücke von 100 Terawattstunden bis 2030 erwartet: Thesenpapier zum naturverträglichen Ausbau der Windenergie, 30.02.2020. Siehe: </w:t>
      </w:r>
      <w:hyperlink r:id="rId79" w:history="1">
        <w:r w:rsidRPr="005C07CB">
          <w:rPr>
            <w:rStyle w:val="Hyperlink"/>
          </w:rPr>
          <w:t>https://www.nabu.de/imperia/md/content/nabude/energie/wind/200130-thesenpapier-windenergieausbau.pdf</w:t>
        </w:r>
      </w:hyperlink>
      <w:r>
        <w:t xml:space="preserve"> - Zugegriffen: 02.12.2023. </w:t>
      </w:r>
    </w:p>
  </w:footnote>
  <w:footnote w:id="115">
    <w:p w14:paraId="4ADC6CFA" w14:textId="77777777" w:rsidR="00A8216B" w:rsidRDefault="00A8216B" w:rsidP="00A8216B">
      <w:pPr>
        <w:pStyle w:val="Funotentext"/>
      </w:pPr>
      <w:r>
        <w:rPr>
          <w:rStyle w:val="Funotenzeichen"/>
        </w:rPr>
        <w:footnoteRef/>
      </w:r>
      <w:r>
        <w:t xml:space="preserve"> </w:t>
      </w:r>
      <w:r w:rsidRPr="00215258">
        <w:t>Grund dafür sind die Herbststürme 2017 und die Trockenheit 2018, die u.a. mehr Borkenkäfer-Generationen ermöglicht haben, 6 statt 3. 22 % des Waldes sind Kiefern, 21 % Fichtenwald, Fichten halten Trockenheit schlecht aus. Holz ist als grüner Heizenergiestoff akzeptiert, weil es CO2 abgibt, dass es einmal aufgenommen hat. Ein neues Waldgesetz ist geplant und eine Förderung von mehr Mischwäldern, die Trockenheit besser aushalten können.</w:t>
      </w:r>
      <w:r>
        <w:t xml:space="preserve"> Siehe: Julia Löhr. Der Wald wird zum Klimasünder. FAZ, 09.10.2024. </w:t>
      </w:r>
    </w:p>
  </w:footnote>
  <w:footnote w:id="116">
    <w:p w14:paraId="054D8073" w14:textId="77777777" w:rsidR="00A8216B" w:rsidRPr="00371B7F" w:rsidRDefault="00A8216B" w:rsidP="00A8216B">
      <w:pPr>
        <w:pStyle w:val="Funotentext"/>
      </w:pPr>
      <w:r>
        <w:rPr>
          <w:rStyle w:val="Funotenzeichen"/>
        </w:rPr>
        <w:footnoteRef/>
      </w:r>
      <w:r w:rsidRPr="00371B7F">
        <w:t xml:space="preserve"> CO2-Helfer fällt aus. U</w:t>
      </w:r>
      <w:r>
        <w:t>nser Wald ist jetzt Treibhausquelle. FAZ, 09.10.2024.</w:t>
      </w:r>
    </w:p>
  </w:footnote>
  <w:footnote w:id="117">
    <w:p w14:paraId="53A2E649" w14:textId="77777777" w:rsidR="00112190" w:rsidRDefault="00112190" w:rsidP="00112190">
      <w:pPr>
        <w:pStyle w:val="Funotentext"/>
      </w:pPr>
      <w:r>
        <w:rPr>
          <w:rStyle w:val="Funotenzeichen"/>
        </w:rPr>
        <w:footnoteRef/>
      </w:r>
      <w:r>
        <w:t xml:space="preserve"> Siehe etwa die vielen Klagen gegen den Windpark </w:t>
      </w:r>
      <w:proofErr w:type="spellStart"/>
      <w:r>
        <w:t>Butendieck</w:t>
      </w:r>
      <w:proofErr w:type="spellEnd"/>
      <w:r>
        <w:t xml:space="preserve"> durch die NGO NABU. In: Wikipedia Offshore-Windpark </w:t>
      </w:r>
      <w:proofErr w:type="spellStart"/>
      <w:r>
        <w:t>Butendiek</w:t>
      </w:r>
      <w:proofErr w:type="spellEnd"/>
      <w:r>
        <w:t xml:space="preserve">. In: </w:t>
      </w:r>
      <w:hyperlink r:id="rId80" w:history="1">
        <w:r w:rsidRPr="0040586F">
          <w:rPr>
            <w:rStyle w:val="Hyperlink"/>
          </w:rPr>
          <w:t>https://de.wikipedia.org/wiki/Offshore-Windpark_Butendiek</w:t>
        </w:r>
      </w:hyperlink>
      <w:r>
        <w:t xml:space="preserve"> - Zugegriffen: 09.02.2024. </w:t>
      </w:r>
    </w:p>
  </w:footnote>
  <w:footnote w:id="118">
    <w:p w14:paraId="2B6972BC" w14:textId="77777777" w:rsidR="00112190" w:rsidRDefault="00112190" w:rsidP="00112190">
      <w:pPr>
        <w:pStyle w:val="Funotentext"/>
      </w:pPr>
      <w:r>
        <w:rPr>
          <w:rStyle w:val="Funotenzeichen"/>
        </w:rPr>
        <w:footnoteRef/>
      </w:r>
      <w:r>
        <w:t xml:space="preserve"> Siehe: </w:t>
      </w:r>
      <w:hyperlink r:id="rId81" w:history="1">
        <w:r w:rsidRPr="0070620B">
          <w:rPr>
            <w:rStyle w:val="Hyperlink"/>
          </w:rPr>
          <w:t>https://www.nabu.de/umwelt-und-ressourcen/energie/erneuerbare-energien-energiewende/windenergie/31709.html</w:t>
        </w:r>
      </w:hyperlink>
      <w:r>
        <w:t xml:space="preserve"> - Zugegriffen: 11.03.2024.</w:t>
      </w:r>
    </w:p>
  </w:footnote>
  <w:footnote w:id="119">
    <w:p w14:paraId="07636593" w14:textId="77777777" w:rsidR="00112190" w:rsidRPr="00BD3EFE" w:rsidRDefault="00112190" w:rsidP="00112190">
      <w:pPr>
        <w:pStyle w:val="Funotentext"/>
      </w:pPr>
      <w:r>
        <w:rPr>
          <w:rStyle w:val="Funotenzeichen"/>
        </w:rPr>
        <w:footnoteRef/>
      </w:r>
      <w:r w:rsidRPr="00BD3EFE">
        <w:rPr>
          <w:lang w:val="en-GB"/>
        </w:rPr>
        <w:t xml:space="preserve"> </w:t>
      </w:r>
      <w:proofErr w:type="spellStart"/>
      <w:r w:rsidRPr="00BD3EFE">
        <w:rPr>
          <w:lang w:val="en-GB"/>
        </w:rPr>
        <w:t>Siehe</w:t>
      </w:r>
      <w:proofErr w:type="spellEnd"/>
      <w:r w:rsidRPr="00BD3EFE">
        <w:rPr>
          <w:lang w:val="en-GB"/>
        </w:rPr>
        <w:t xml:space="preserve"> S. 18</w:t>
      </w:r>
      <w:r>
        <w:rPr>
          <w:lang w:val="en-GB"/>
        </w:rPr>
        <w:t xml:space="preserve">, </w:t>
      </w:r>
      <w:proofErr w:type="spellStart"/>
      <w:r>
        <w:rPr>
          <w:lang w:val="en-GB"/>
        </w:rPr>
        <w:t>hier</w:t>
      </w:r>
      <w:proofErr w:type="spellEnd"/>
      <w:r>
        <w:rPr>
          <w:lang w:val="en-GB"/>
        </w:rPr>
        <w:t xml:space="preserve"> </w:t>
      </w:r>
      <w:proofErr w:type="spellStart"/>
      <w:r>
        <w:rPr>
          <w:lang w:val="en-GB"/>
        </w:rPr>
        <w:t>findet</w:t>
      </w:r>
      <w:proofErr w:type="spellEnd"/>
      <w:r>
        <w:rPr>
          <w:lang w:val="en-GB"/>
        </w:rPr>
        <w:t xml:space="preserve"> </w:t>
      </w:r>
      <w:proofErr w:type="spellStart"/>
      <w:r>
        <w:rPr>
          <w:lang w:val="en-GB"/>
        </w:rPr>
        <w:t>sich</w:t>
      </w:r>
      <w:proofErr w:type="spellEnd"/>
      <w:r>
        <w:rPr>
          <w:lang w:val="en-GB"/>
        </w:rPr>
        <w:t xml:space="preserve"> der Satz:</w:t>
      </w:r>
      <w:r w:rsidRPr="00BD3EFE">
        <w:rPr>
          <w:lang w:val="en-GB"/>
        </w:rPr>
        <w:t xml:space="preserve"> „As a result there is a lack of direct and scientifically sound </w:t>
      </w:r>
      <w:r>
        <w:rPr>
          <w:lang w:val="en-GB"/>
        </w:rPr>
        <w:t xml:space="preserve">empirical evidence related to </w:t>
      </w:r>
      <w:proofErr w:type="spellStart"/>
      <w:r>
        <w:rPr>
          <w:lang w:val="en-GB"/>
        </w:rPr>
        <w:t>sealife</w:t>
      </w:r>
      <w:proofErr w:type="spellEnd"/>
      <w:r>
        <w:rPr>
          <w:lang w:val="en-GB"/>
        </w:rPr>
        <w:t xml:space="preserve"> </w:t>
      </w:r>
      <w:proofErr w:type="spellStart"/>
      <w:r>
        <w:rPr>
          <w:lang w:val="en-GB"/>
        </w:rPr>
        <w:t>behavior</w:t>
      </w:r>
      <w:proofErr w:type="spellEnd"/>
      <w:r>
        <w:rPr>
          <w:lang w:val="en-GB"/>
        </w:rPr>
        <w:t xml:space="preserve"> at operational offshore wind farm sites.” </w:t>
      </w:r>
      <w:r w:rsidRPr="00BD3EFE">
        <w:t xml:space="preserve">Siehe auch die Tabelle in S. 18, im BirdLife International Summary Report, undatiert: </w:t>
      </w:r>
      <w:hyperlink r:id="rId82" w:history="1">
        <w:r w:rsidRPr="00BD3EFE">
          <w:rPr>
            <w:rStyle w:val="Hyperlink"/>
          </w:rPr>
          <w:t>https://www.nabu.de/imperia/md/content/nabude/energie/wind/22_birdlife_offshore_report.pdf</w:t>
        </w:r>
      </w:hyperlink>
      <w:r w:rsidRPr="00BD3EFE">
        <w:t xml:space="preserve"> - Zugegriffen: 11.03.2024.</w:t>
      </w:r>
    </w:p>
  </w:footnote>
  <w:footnote w:id="120">
    <w:p w14:paraId="0B3C72A0" w14:textId="77777777" w:rsidR="00112190" w:rsidRDefault="00112190" w:rsidP="00112190">
      <w:pPr>
        <w:pStyle w:val="Funotentext"/>
      </w:pPr>
      <w:r>
        <w:rPr>
          <w:rStyle w:val="Funotenzeichen"/>
        </w:rPr>
        <w:footnoteRef/>
      </w:r>
      <w:r>
        <w:t xml:space="preserve"> Der Wikipedia Eintrag lässt einen Nicht-Fachmann nicht die Gefährdung der Sterntaucher durch weit entfernte Windkraftanlagen erkennen. </w:t>
      </w:r>
      <w:hyperlink r:id="rId83" w:history="1">
        <w:r w:rsidRPr="0070620B">
          <w:rPr>
            <w:rStyle w:val="Hyperlink"/>
          </w:rPr>
          <w:t>https://de.wikipedia.org/wiki/Sterntaucher-</w:t>
        </w:r>
      </w:hyperlink>
      <w:r>
        <w:t xml:space="preserve"> Zugegriffen: 11.03.2024.  </w:t>
      </w:r>
    </w:p>
  </w:footnote>
  <w:footnote w:id="121">
    <w:p w14:paraId="29061CC6" w14:textId="42DB68A9" w:rsidR="00112190" w:rsidRDefault="00112190" w:rsidP="00112190">
      <w:pPr>
        <w:pStyle w:val="Funotentext"/>
      </w:pPr>
      <w:r>
        <w:rPr>
          <w:rStyle w:val="Funotenzeichen"/>
        </w:rPr>
        <w:footnoteRef/>
      </w:r>
      <w:r>
        <w:t xml:space="preserve"> </w:t>
      </w:r>
      <w:r w:rsidRPr="009908D9">
        <w:t>Dazu kommt ein neues Phänomen: Der NABU hat eine Studie über sich selbst in Auftrag gegeben, die zum Ergebnis kommt, dass es rechtsextreme Einflüsse im eigenen Verband gibt, die sich für Artenschutz starkmachen, allerdings u.a. mit dem Ziel Klimaschutzmaßnahmen zu verhindern</w:t>
      </w:r>
      <w:r>
        <w:t xml:space="preserve">. Siehe: </w:t>
      </w:r>
      <w:hyperlink r:id="rId84" w:history="1">
        <w:r w:rsidRPr="008618CF">
          <w:rPr>
            <w:rStyle w:val="Hyperlink"/>
          </w:rPr>
          <w:t>https://www.nabu.de/wir-ueber-uns/organisation/31953.html</w:t>
        </w:r>
      </w:hyperlink>
      <w:r>
        <w:t xml:space="preserve"> – siehe auch: </w:t>
      </w:r>
      <w:hyperlink r:id="rId85" w:history="1">
        <w:r w:rsidRPr="008618CF">
          <w:rPr>
            <w:rStyle w:val="Hyperlink"/>
          </w:rPr>
          <w:t>https://www.nabu.de/wir-ueber-uns/organisation/struktur-und-gremien/34635.html</w:t>
        </w:r>
      </w:hyperlink>
      <w:r>
        <w:t xml:space="preserve"> - Zugegriffen: 19.05.2024. </w:t>
      </w:r>
    </w:p>
  </w:footnote>
  <w:footnote w:id="122">
    <w:p w14:paraId="6A8A97B1" w14:textId="77777777" w:rsidR="00112190" w:rsidRPr="00A54AF0" w:rsidRDefault="00112190" w:rsidP="00112190">
      <w:pPr>
        <w:pStyle w:val="Funotentext"/>
      </w:pPr>
      <w:r>
        <w:rPr>
          <w:rStyle w:val="Funotenzeichen"/>
        </w:rPr>
        <w:footnoteRef/>
      </w:r>
      <w:r w:rsidRPr="00A54AF0">
        <w:t xml:space="preserve"> In Toront</w:t>
      </w:r>
      <w:r>
        <w:t>o</w:t>
      </w:r>
      <w:r w:rsidRPr="00A54AF0">
        <w:t xml:space="preserve"> hatte 1988 die World Conference on </w:t>
      </w:r>
      <w:proofErr w:type="spellStart"/>
      <w:r w:rsidRPr="00A54AF0">
        <w:t>the</w:t>
      </w:r>
      <w:proofErr w:type="spellEnd"/>
      <w:r w:rsidRPr="00A54AF0">
        <w:t xml:space="preserve"> </w:t>
      </w:r>
      <w:proofErr w:type="spellStart"/>
      <w:r w:rsidRPr="00A54AF0">
        <w:t>Changing</w:t>
      </w:r>
      <w:proofErr w:type="spellEnd"/>
      <w:r w:rsidRPr="00A54AF0">
        <w:t xml:space="preserve"> </w:t>
      </w:r>
      <w:proofErr w:type="spellStart"/>
      <w:r w:rsidRPr="00A54AF0">
        <w:t>Atmosphere</w:t>
      </w:r>
      <w:proofErr w:type="spellEnd"/>
      <w:r w:rsidRPr="00A54AF0">
        <w:t xml:space="preserve"> die scharfe Reduzierung von Kohle</w:t>
      </w:r>
      <w:r>
        <w:t xml:space="preserve">ndioxidemissionen gefordert und damit das Thema in die Öffentlichkeit gebraucht und es gab schon erste Gesetze und Vorschläge. Siehe dazu: Weishaar 2020: 444. </w:t>
      </w:r>
    </w:p>
  </w:footnote>
  <w:footnote w:id="123">
    <w:p w14:paraId="1E35C33E" w14:textId="4CCA3B7B" w:rsidR="00652A0E" w:rsidRDefault="00652A0E">
      <w:pPr>
        <w:pStyle w:val="Funotentext"/>
      </w:pPr>
      <w:r>
        <w:rPr>
          <w:rStyle w:val="Funotenzeichen"/>
        </w:rPr>
        <w:footnoteRef/>
      </w:r>
      <w:r>
        <w:t xml:space="preserve"> Siehe: </w:t>
      </w:r>
      <w:hyperlink r:id="rId86" w:history="1">
        <w:r w:rsidRPr="003377CD">
          <w:rPr>
            <w:rStyle w:val="Hyperlink"/>
          </w:rPr>
          <w:t>https://de.wikipedia.org/wiki/Konferenz_der_Vereinten_Nationen_%C3%BCber_Umwelt_und_Entwicklung</w:t>
        </w:r>
      </w:hyperlink>
      <w:r>
        <w:t xml:space="preserve"> – Zugegriffen: 25.07.2025.</w:t>
      </w:r>
    </w:p>
  </w:footnote>
  <w:footnote w:id="124">
    <w:p w14:paraId="61EA513E" w14:textId="4DED3576" w:rsidR="00112190" w:rsidRDefault="00112190" w:rsidP="00112190">
      <w:pPr>
        <w:pStyle w:val="Funotentext"/>
      </w:pPr>
      <w:r>
        <w:rPr>
          <w:rStyle w:val="Funotenzeichen"/>
        </w:rPr>
        <w:footnoteRef/>
      </w:r>
      <w:r>
        <w:t xml:space="preserve"> Das Übereinkommen von Paris ersetzt das Kyoto-Protokoll aus dem Jahr 1997, das mehrmals präzisiert und nachverhandelt wurde und schließlich verlängert, als Kyoto II bis 2020. Die ersten Verpflichtungsperiode galt von 2008 bis 2012, die zweite Verpflichtungsperiode von 2013 bis 2020. Danach ist das Kyoto-Protokoll ausgelaufen. An dieser zweiten Verpflichtungsperiode nahmen Japan, Neuseeland und Russland nicht mehr teil. Es waren nur noch Staaten beteiligt, die für 15 % der globalen Emissionen verantwortlich waren. Wesentliche Bestandteile des Protokolls ist der Handel mit Emissionsrechten (d.h. dass Staaten ihre Rechte zu Emittieren an andere Staaten verkaufen können). Im Clean Development </w:t>
      </w:r>
      <w:proofErr w:type="spellStart"/>
      <w:r>
        <w:t>Mechanism</w:t>
      </w:r>
      <w:proofErr w:type="spellEnd"/>
      <w:r>
        <w:t xml:space="preserve"> können Industriestaaten in Entwicklungsländern Maßnahmen durchführen und sich dies auf das eigene Emissionsbudget anrechnen lassen. Joint Implementation bedeutet, dass osteuropäische Staaten Zertifikate bekommen haben, für Industrien die in den frühen neunziger Jahren ihre Produktion aufgehört hatten.</w:t>
      </w:r>
      <w:r w:rsidR="000F0F3E">
        <w:t xml:space="preserve"> </w:t>
      </w:r>
      <w:r>
        <w:t xml:space="preserve">Burden Sharing ist für die EU aufgenommen worden, hier kann sich eine Gruppe von Staaten sich auf unterschiedlich starke Emissionsreduzierungen einigen. Das wirtschaftlich stärkste Land übernimmt dabei zum Beispiel die größten Verpflichtungen. Das sieht im Rückblick so aus, dass die Industriestaaten viel Wert </w:t>
      </w:r>
      <w:proofErr w:type="gramStart"/>
      <w:r>
        <w:t>darauf gelegt</w:t>
      </w:r>
      <w:proofErr w:type="gramEnd"/>
      <w:r>
        <w:t xml:space="preserve"> haben, dass sie sich zur Not freikaufen können. Russland hat über Joint Implementation Emissionsrechte bekommen, dies war ein Grund dafür, warum Russland 2005 beigetreten ist. Bis jetzt kam es nicht dazu, dass Länder ihre Zusagen nicht gehalten haben. Ausnahme Kanada, es ist 2011 ausgetreten. Die USA hatten das Kyoto Protokoll zwar unterzeichnet, aber nicht ratifiziert und schieden dann aus. China und Indien haben sich nicht zu Absenkungen verpflichtet. Zusammenfassung aus Wikipedia, BPB und Umweltbundesamt: </w:t>
      </w:r>
      <w:hyperlink r:id="rId87" w:history="1">
        <w:r w:rsidRPr="00335629">
          <w:rPr>
            <w:rStyle w:val="Hyperlink"/>
          </w:rPr>
          <w:t>https://de.wikipedia.org/wiki/Kyoto-Protokoll</w:t>
        </w:r>
      </w:hyperlink>
      <w:r>
        <w:t xml:space="preserve"> - sowie - </w:t>
      </w:r>
      <w:hyperlink r:id="rId88" w:history="1">
        <w:r w:rsidRPr="00464CE2">
          <w:rPr>
            <w:rStyle w:val="Hyperlink"/>
          </w:rPr>
          <w:t>https://www.bpb.de/kurz-knapp/hintergrund-aktuell/305233/vor-15-jahren-das-kyoto-protokoll-tritt-in-kraft/</w:t>
        </w:r>
      </w:hyperlink>
      <w:r>
        <w:t xml:space="preserve"> - </w:t>
      </w:r>
      <w:hyperlink r:id="rId89" w:anchor="entstehungsgeschichte-und-erste-verpflichtungsperiode" w:history="1">
        <w:r w:rsidRPr="004226BE">
          <w:rPr>
            <w:rStyle w:val="Hyperlink"/>
          </w:rPr>
          <w:t>https://www.umweltbundesamt.de/themen/klima-energie/internationale-eu-klimapolitik/kyoto-protokoll#entstehungsgeschichte-und-erste-verpflichtungsperiode</w:t>
        </w:r>
      </w:hyperlink>
      <w:r>
        <w:t xml:space="preserve"> - Zugegriffen: 01.11.2023. Siehe: </w:t>
      </w:r>
      <w:hyperlink r:id="rId90" w:history="1">
        <w:r w:rsidRPr="00335629">
          <w:rPr>
            <w:rStyle w:val="Hyperlink"/>
          </w:rPr>
          <w:t>https://unfccc.int/process-and-meetings/the-paris-agreement</w:t>
        </w:r>
      </w:hyperlink>
      <w:r>
        <w:t xml:space="preserve"> - Zugegriffen: 01.11.2023. </w:t>
      </w:r>
    </w:p>
  </w:footnote>
  <w:footnote w:id="125">
    <w:p w14:paraId="753B9F99" w14:textId="77777777" w:rsidR="00112190" w:rsidRDefault="00112190" w:rsidP="00112190">
      <w:pPr>
        <w:pStyle w:val="Funotentext"/>
      </w:pPr>
      <w:r>
        <w:rPr>
          <w:rStyle w:val="Funotenzeichen"/>
        </w:rPr>
        <w:footnoteRef/>
      </w:r>
      <w:r>
        <w:t xml:space="preserve"> Siehe: </w:t>
      </w:r>
      <w:hyperlink r:id="rId91" w:history="1">
        <w:r w:rsidRPr="00464CE2">
          <w:rPr>
            <w:rStyle w:val="Hyperlink"/>
          </w:rPr>
          <w:t>https://www.bpb.de/kurz-knapp/lexika/das-europalexikon/309438/pariser-klimaabkommen/</w:t>
        </w:r>
      </w:hyperlink>
      <w:r>
        <w:t xml:space="preserve"> - sowie Fünf Jahre Pariser Abkommen: </w:t>
      </w:r>
      <w:hyperlink r:id="rId92" w:history="1">
        <w:r w:rsidRPr="00464CE2">
          <w:rPr>
            <w:rStyle w:val="Hyperlink"/>
          </w:rPr>
          <w:t>https://www.bpb.de/kurz-knapp/hintergrund-aktuell/322749/fuenf-jahre-pariser-klimaabkommen/</w:t>
        </w:r>
      </w:hyperlink>
      <w:r>
        <w:t xml:space="preserve"> - Zugegriffen: 22.12.2023. </w:t>
      </w:r>
    </w:p>
  </w:footnote>
  <w:footnote w:id="126">
    <w:p w14:paraId="0B6695E3" w14:textId="77777777" w:rsidR="00112190" w:rsidRDefault="00112190" w:rsidP="00112190">
      <w:pPr>
        <w:pStyle w:val="Funotentext"/>
      </w:pPr>
      <w:r>
        <w:rPr>
          <w:rStyle w:val="Funotenzeichen"/>
        </w:rPr>
        <w:footnoteRef/>
      </w:r>
      <w:r>
        <w:t xml:space="preserve"> Siehe die </w:t>
      </w:r>
      <w:proofErr w:type="gramStart"/>
      <w:r>
        <w:t>UN Vertragsdatenbank</w:t>
      </w:r>
      <w:proofErr w:type="gramEnd"/>
      <w:r>
        <w:t xml:space="preserve">, Environment, 7. d Paris Agreement: </w:t>
      </w:r>
      <w:hyperlink r:id="rId93" w:history="1">
        <w:r w:rsidRPr="00464CE2">
          <w:rPr>
            <w:rStyle w:val="Hyperlink"/>
          </w:rPr>
          <w:t>https://treaties.un.org/Pages/ViewDetails.aspx?src=TREATY&amp;mtdsg_no=XXVII-7-d&amp;chapter=27&amp;clang=_en</w:t>
        </w:r>
      </w:hyperlink>
      <w:r>
        <w:t xml:space="preserve"> – Zugegriffen: 23.12.2023. </w:t>
      </w:r>
    </w:p>
  </w:footnote>
  <w:footnote w:id="127">
    <w:p w14:paraId="7990EF1E" w14:textId="77777777" w:rsidR="00112190" w:rsidRDefault="00112190" w:rsidP="00112190">
      <w:pPr>
        <w:pStyle w:val="Funotentext"/>
      </w:pPr>
      <w:r>
        <w:rPr>
          <w:rStyle w:val="Funotenzeichen"/>
        </w:rPr>
        <w:footnoteRef/>
      </w:r>
      <w:r>
        <w:t xml:space="preserve"> Siehe: </w:t>
      </w:r>
      <w:hyperlink r:id="rId94" w:history="1">
        <w:r w:rsidRPr="00464CE2">
          <w:rPr>
            <w:rStyle w:val="Hyperlink"/>
          </w:rPr>
          <w:t>https://eur-lex.europa.eu/content/paris-agreement/paris-agreement.html?locale=de</w:t>
        </w:r>
      </w:hyperlink>
      <w:r>
        <w:t xml:space="preserve"> – Zugegriffen: 22.12.2023. </w:t>
      </w:r>
    </w:p>
  </w:footnote>
  <w:footnote w:id="128">
    <w:p w14:paraId="483240F1" w14:textId="77777777" w:rsidR="00112190" w:rsidRDefault="00112190" w:rsidP="00112190">
      <w:pPr>
        <w:pStyle w:val="Funotentext"/>
      </w:pPr>
      <w:r>
        <w:rPr>
          <w:rStyle w:val="Funotenzeichen"/>
        </w:rPr>
        <w:footnoteRef/>
      </w:r>
      <w:r>
        <w:t xml:space="preserve"> Diese offizielle Registrierungsseite NDCREG enthält immer die aktuellsten NDCs, </w:t>
      </w:r>
      <w:proofErr w:type="gramStart"/>
      <w:r>
        <w:t>auf die Zielen</w:t>
      </w:r>
      <w:proofErr w:type="gramEnd"/>
      <w:r>
        <w:t xml:space="preserve"> klicken, dann öffnen sich die Dokumente: </w:t>
      </w:r>
      <w:hyperlink r:id="rId95" w:history="1">
        <w:r w:rsidRPr="00A43BFF">
          <w:rPr>
            <w:rStyle w:val="Hyperlink"/>
          </w:rPr>
          <w:t>https://unfccc.int/NDCREG</w:t>
        </w:r>
      </w:hyperlink>
      <w:r>
        <w:t xml:space="preserve"> - Infos zu den NDCs gibt es z.B. auf dieser Webseite: </w:t>
      </w:r>
      <w:hyperlink r:id="rId96" w:history="1">
        <w:r w:rsidRPr="00221A19">
          <w:rPr>
            <w:rStyle w:val="Hyperlink"/>
          </w:rPr>
          <w:t>https://www.un.org/en/climatechange/all-about-ndcs</w:t>
        </w:r>
      </w:hyperlink>
      <w:r>
        <w:t xml:space="preserve"> - Zugegriffen: 18.10.2023.</w:t>
      </w:r>
    </w:p>
  </w:footnote>
  <w:footnote w:id="129">
    <w:p w14:paraId="4AF23EE2" w14:textId="77777777" w:rsidR="00112190" w:rsidRDefault="00112190" w:rsidP="00112190">
      <w:pPr>
        <w:pStyle w:val="Funotentext"/>
      </w:pPr>
      <w:r>
        <w:rPr>
          <w:rStyle w:val="Funotenzeichen"/>
        </w:rPr>
        <w:footnoteRef/>
      </w:r>
      <w:r>
        <w:t xml:space="preserve"> Übereinkommen von Paris, Art. 2, Abs. 1 (a). Hier entnommen aus: </w:t>
      </w:r>
      <w:hyperlink r:id="rId97" w:history="1">
        <w:r w:rsidRPr="00335629">
          <w:rPr>
            <w:rStyle w:val="Hyperlink"/>
          </w:rPr>
          <w:t>https://eur-lex.europa.eu/legal-content/DE/TXT/PDF/?uri=CELEX:22016A1019(01)</w:t>
        </w:r>
      </w:hyperlink>
      <w:r>
        <w:t xml:space="preserve"> – Zugegriffen: 01.11.2023.</w:t>
      </w:r>
    </w:p>
  </w:footnote>
  <w:footnote w:id="130">
    <w:p w14:paraId="7D8B507B" w14:textId="3CF0EF30" w:rsidR="008F15DB" w:rsidRDefault="008F15DB">
      <w:pPr>
        <w:pStyle w:val="Funotentext"/>
      </w:pPr>
      <w:r>
        <w:rPr>
          <w:rStyle w:val="Funotenzeichen"/>
        </w:rPr>
        <w:footnoteRef/>
      </w:r>
      <w:r>
        <w:t xml:space="preserve"> Siehe: </w:t>
      </w:r>
      <w:hyperlink r:id="rId98" w:history="1">
        <w:r w:rsidRPr="00932F3C">
          <w:rPr>
            <w:rStyle w:val="Hyperlink"/>
          </w:rPr>
          <w:t>https://www.ipcc.ch/2022/04/04/ipcc-ar6-wgiii-pressrelease/</w:t>
        </w:r>
      </w:hyperlink>
      <w:r>
        <w:t xml:space="preserve"> - Zugegriffen: 10.04.2025. </w:t>
      </w:r>
    </w:p>
  </w:footnote>
  <w:footnote w:id="131">
    <w:p w14:paraId="4194CE04" w14:textId="39260FE1" w:rsidR="00A13103" w:rsidRDefault="00A13103">
      <w:pPr>
        <w:pStyle w:val="Funotentext"/>
      </w:pPr>
      <w:r>
        <w:rPr>
          <w:rStyle w:val="Funotenzeichen"/>
        </w:rPr>
        <w:footnoteRef/>
      </w:r>
      <w:r>
        <w:t xml:space="preserve"> Siehe: </w:t>
      </w:r>
      <w:hyperlink r:id="rId99" w:history="1">
        <w:r w:rsidRPr="00932F3C">
          <w:rPr>
            <w:rStyle w:val="Hyperlink"/>
          </w:rPr>
          <w:t>https://www.climatechangenews.com/2022/11/20/what-was-decided-at-cop27-climate-talks-in-sharm-el-sheikh/</w:t>
        </w:r>
      </w:hyperlink>
      <w:r>
        <w:t xml:space="preserve"> - Zugegriffen: 10.04.2025. Siehe </w:t>
      </w:r>
      <w:r w:rsidR="004A2867">
        <w:t>den</w:t>
      </w:r>
      <w:r>
        <w:t xml:space="preserve"> </w:t>
      </w:r>
      <w:proofErr w:type="spellStart"/>
      <w:r>
        <w:t>Sharm</w:t>
      </w:r>
      <w:proofErr w:type="spellEnd"/>
      <w:r>
        <w:t xml:space="preserve"> al Sheik </w:t>
      </w:r>
      <w:r w:rsidR="004A2867">
        <w:t>Implementation Plan Text</w:t>
      </w:r>
      <w:r>
        <w:t xml:space="preserve">: </w:t>
      </w:r>
      <w:hyperlink r:id="rId100" w:history="1">
        <w:r w:rsidRPr="00932F3C">
          <w:rPr>
            <w:rStyle w:val="Hyperlink"/>
          </w:rPr>
          <w:t>https://unfccc.int/sites/default/files/resource/cma4_auv_2_cover_decision.pdf</w:t>
        </w:r>
      </w:hyperlink>
      <w:r>
        <w:t xml:space="preserve"> - Zugegriffen: 10.04.2025.</w:t>
      </w:r>
    </w:p>
  </w:footnote>
  <w:footnote w:id="132">
    <w:p w14:paraId="4A633C11" w14:textId="77777777" w:rsidR="00112190" w:rsidRPr="00BB76AC" w:rsidRDefault="00112190" w:rsidP="00112190">
      <w:pPr>
        <w:pStyle w:val="Funotentext"/>
      </w:pPr>
      <w:r>
        <w:rPr>
          <w:rStyle w:val="Funotenzeichen"/>
        </w:rPr>
        <w:footnoteRef/>
      </w:r>
      <w:r w:rsidRPr="00BB76AC">
        <w:t xml:space="preserve"> IPCC 2023: 438.</w:t>
      </w:r>
    </w:p>
  </w:footnote>
  <w:footnote w:id="133">
    <w:p w14:paraId="5C043B74" w14:textId="77777777" w:rsidR="00112190" w:rsidRPr="00BB76AC" w:rsidRDefault="00112190" w:rsidP="00112190">
      <w:pPr>
        <w:pStyle w:val="Funotentext"/>
      </w:pPr>
      <w:r>
        <w:rPr>
          <w:rStyle w:val="Funotenzeichen"/>
        </w:rPr>
        <w:footnoteRef/>
      </w:r>
      <w:r w:rsidRPr="00BB76AC">
        <w:t xml:space="preserve"> IPCC 2023: 438.</w:t>
      </w:r>
    </w:p>
  </w:footnote>
  <w:footnote w:id="134">
    <w:p w14:paraId="2969C4D5" w14:textId="77777777" w:rsidR="00112190" w:rsidRPr="00BB76AC" w:rsidRDefault="00112190" w:rsidP="00112190">
      <w:pPr>
        <w:pStyle w:val="Funotentext"/>
      </w:pPr>
      <w:r>
        <w:rPr>
          <w:rStyle w:val="Funotenzeichen"/>
        </w:rPr>
        <w:footnoteRef/>
      </w:r>
      <w:r w:rsidRPr="00BB76AC">
        <w:t xml:space="preserve"> IPCC 2023: 439.</w:t>
      </w:r>
    </w:p>
  </w:footnote>
  <w:footnote w:id="135">
    <w:p w14:paraId="3AC5910D" w14:textId="7AA3F299" w:rsidR="00C07126" w:rsidRDefault="00C07126">
      <w:pPr>
        <w:pStyle w:val="Funotentext"/>
      </w:pPr>
      <w:r>
        <w:rPr>
          <w:rStyle w:val="Funotenzeichen"/>
        </w:rPr>
        <w:footnoteRef/>
      </w:r>
      <w:r>
        <w:t xml:space="preserve"> Siehe: </w:t>
      </w:r>
      <w:hyperlink r:id="rId101" w:history="1">
        <w:r w:rsidRPr="00187BF9">
          <w:rPr>
            <w:rStyle w:val="Hyperlink"/>
          </w:rPr>
          <w:t>https://unfccc.int/sites/default/files/NDC/2023-10/ES-2023-10-17%20EU%20submission%20NDC%20update.pdf</w:t>
        </w:r>
      </w:hyperlink>
      <w:r>
        <w:t xml:space="preserve"> – Zugegriffen: 11.04.2025.</w:t>
      </w:r>
    </w:p>
  </w:footnote>
  <w:footnote w:id="136">
    <w:p w14:paraId="67D590FA" w14:textId="5E37E485" w:rsidR="00C07126" w:rsidRDefault="00C07126">
      <w:pPr>
        <w:pStyle w:val="Funotentext"/>
      </w:pPr>
      <w:r>
        <w:rPr>
          <w:rStyle w:val="Funotenzeichen"/>
        </w:rPr>
        <w:footnoteRef/>
      </w:r>
      <w:r>
        <w:t xml:space="preserve"> Siehe: </w:t>
      </w:r>
      <w:hyperlink r:id="rId102" w:history="1">
        <w:r w:rsidRPr="00187BF9">
          <w:rPr>
            <w:rStyle w:val="Hyperlink"/>
          </w:rPr>
          <w:t>https://unfccc.int/sites/default/files/NDC/2023-10/ES-2023-10-17%20EU%20submission%20NDC%20update.pdf</w:t>
        </w:r>
      </w:hyperlink>
      <w:r>
        <w:t xml:space="preserve"> – Zugegriffen: 11.04.2025.</w:t>
      </w:r>
    </w:p>
  </w:footnote>
  <w:footnote w:id="137">
    <w:p w14:paraId="565CB505" w14:textId="0637B843" w:rsidR="00C07126" w:rsidRDefault="00C07126">
      <w:pPr>
        <w:pStyle w:val="Funotentext"/>
      </w:pPr>
      <w:r>
        <w:rPr>
          <w:rStyle w:val="Funotenzeichen"/>
        </w:rPr>
        <w:footnoteRef/>
      </w:r>
      <w:r>
        <w:t xml:space="preserve"> Siehe: </w:t>
      </w:r>
      <w:hyperlink r:id="rId103" w:history="1">
        <w:r w:rsidRPr="00187BF9">
          <w:rPr>
            <w:rStyle w:val="Hyperlink"/>
          </w:rPr>
          <w:t>https://unfccc.int/sites/default/files/NDC/2022-06/China%E2%80%99s%20Achievements%2C%20New%20Goals%20and%20New%20Measures%20for%20Nationally%20Determined%20Contributions.pdf</w:t>
        </w:r>
      </w:hyperlink>
      <w:r>
        <w:t xml:space="preserve"> – Zugegriffen: 11.04.2025.</w:t>
      </w:r>
    </w:p>
  </w:footnote>
  <w:footnote w:id="138">
    <w:p w14:paraId="59B0E43D" w14:textId="77777777" w:rsidR="00112190" w:rsidRPr="00BB76AC" w:rsidRDefault="00112190" w:rsidP="00112190">
      <w:pPr>
        <w:pStyle w:val="Funotentext"/>
      </w:pPr>
      <w:r>
        <w:rPr>
          <w:rStyle w:val="Funotenzeichen"/>
        </w:rPr>
        <w:footnoteRef/>
      </w:r>
      <w:r w:rsidRPr="00BB76AC">
        <w:t xml:space="preserve"> IPCC 2023: 435-441.</w:t>
      </w:r>
    </w:p>
  </w:footnote>
  <w:footnote w:id="139">
    <w:p w14:paraId="029EA721" w14:textId="77777777" w:rsidR="00A53386" w:rsidRDefault="00A53386" w:rsidP="00A53386">
      <w:pPr>
        <w:pStyle w:val="Funotentext"/>
      </w:pPr>
      <w:r>
        <w:rPr>
          <w:rStyle w:val="Funotenzeichen"/>
        </w:rPr>
        <w:footnoteRef/>
      </w:r>
      <w:r>
        <w:t xml:space="preserve"> Siehe: </w:t>
      </w:r>
      <w:hyperlink r:id="rId104" w:history="1">
        <w:r w:rsidRPr="001B0D55">
          <w:rPr>
            <w:rStyle w:val="Hyperlink"/>
          </w:rPr>
          <w:t>https://www.zdf.de/nachrichten/politik/ausland/trump-usa-pariser-klimaabkommen-ausstieg-folgen-100.html</w:t>
        </w:r>
      </w:hyperlink>
      <w:r>
        <w:t xml:space="preserve"> - Zugegriffen: 11.04.2025. </w:t>
      </w:r>
    </w:p>
  </w:footnote>
  <w:footnote w:id="140">
    <w:p w14:paraId="39A8BF94" w14:textId="00B320CC" w:rsidR="003E5125" w:rsidRPr="003E5125" w:rsidRDefault="003E5125">
      <w:pPr>
        <w:pStyle w:val="Funotentext"/>
      </w:pPr>
      <w:r>
        <w:rPr>
          <w:rStyle w:val="Funotenzeichen"/>
        </w:rPr>
        <w:footnoteRef/>
      </w:r>
      <w:r w:rsidRPr="003E5125">
        <w:t xml:space="preserve"> Siehe: </w:t>
      </w:r>
      <w:hyperlink r:id="rId105" w:history="1">
        <w:r w:rsidRPr="003E5125">
          <w:rPr>
            <w:rStyle w:val="Hyperlink"/>
          </w:rPr>
          <w:t>https://usclimatealliance.org/</w:t>
        </w:r>
      </w:hyperlink>
      <w:r w:rsidRPr="003E5125">
        <w:t xml:space="preserve"> - Z</w:t>
      </w:r>
      <w:r>
        <w:t xml:space="preserve">ugegriffen: 30.04.2025. </w:t>
      </w:r>
    </w:p>
  </w:footnote>
  <w:footnote w:id="141">
    <w:p w14:paraId="64977F1E" w14:textId="4D46EF7F" w:rsidR="003E5125" w:rsidRPr="00D51FF5" w:rsidRDefault="003E5125">
      <w:pPr>
        <w:pStyle w:val="Funotentext"/>
      </w:pPr>
      <w:r>
        <w:rPr>
          <w:rStyle w:val="Funotenzeichen"/>
        </w:rPr>
        <w:footnoteRef/>
      </w:r>
      <w:r w:rsidRPr="00D51FF5">
        <w:t xml:space="preserve"> Hinweis von </w:t>
      </w:r>
      <w:proofErr w:type="spellStart"/>
      <w:r w:rsidRPr="00D51FF5">
        <w:t>Youtube</w:t>
      </w:r>
      <w:proofErr w:type="spellEnd"/>
      <w:r w:rsidRPr="00D51FF5">
        <w:t xml:space="preserve"> Blogger Just Have a Think: </w:t>
      </w:r>
      <w:hyperlink r:id="rId106" w:history="1">
        <w:r w:rsidRPr="00D51FF5">
          <w:rPr>
            <w:rStyle w:val="Hyperlink"/>
          </w:rPr>
          <w:t>https://www.youtube.com/watch?v=242pqLSFzh4</w:t>
        </w:r>
      </w:hyperlink>
      <w:r w:rsidRPr="00D51FF5">
        <w:t xml:space="preserve"> – Zugegriffen: 30.04.2025.</w:t>
      </w:r>
    </w:p>
  </w:footnote>
  <w:footnote w:id="142">
    <w:p w14:paraId="7230CF39" w14:textId="77777777" w:rsidR="00112190" w:rsidRPr="00CD2D08" w:rsidRDefault="00112190" w:rsidP="00112190">
      <w:pPr>
        <w:pStyle w:val="Funotentext"/>
      </w:pPr>
      <w:r>
        <w:rPr>
          <w:rStyle w:val="Funotenzeichen"/>
        </w:rPr>
        <w:footnoteRef/>
      </w:r>
      <w:r w:rsidRPr="00D51FF5">
        <w:t xml:space="preserve"> S. 7-8. </w:t>
      </w:r>
      <w:r w:rsidRPr="00CD2D08">
        <w:t>Wissenschaftliche Dienste Deutscher Bundestag. R</w:t>
      </w:r>
      <w:r>
        <w:t xml:space="preserve">echtsverbindlichkeit des Übereinkommens von Paris. </w:t>
      </w:r>
      <w:r w:rsidRPr="00CE7C2D">
        <w:t xml:space="preserve">PE 6 – 3000 – 105/18, 05.09.2018. </w:t>
      </w:r>
      <w:r w:rsidRPr="00CD2D08">
        <w:t xml:space="preserve">In: </w:t>
      </w:r>
      <w:hyperlink r:id="rId107" w:history="1">
        <w:r w:rsidRPr="008F7D68">
          <w:rPr>
            <w:rStyle w:val="Hyperlink"/>
          </w:rPr>
          <w:t>https://www.bundestag.de/resource/blob/576388/cf610835eaad175889f7e92dbc554ce1/PE-6-105-18-pdf-data.pdf</w:t>
        </w:r>
      </w:hyperlink>
      <w:r>
        <w:t xml:space="preserve"> </w:t>
      </w:r>
      <w:r w:rsidRPr="00CD2D08">
        <w:t>- Z</w:t>
      </w:r>
      <w:r>
        <w:t xml:space="preserve">ugegriffen: 26.12.2023. </w:t>
      </w:r>
    </w:p>
  </w:footnote>
  <w:footnote w:id="143">
    <w:p w14:paraId="558AC075" w14:textId="77777777" w:rsidR="00112190" w:rsidRPr="00E739D4" w:rsidRDefault="00112190" w:rsidP="00112190">
      <w:pPr>
        <w:pStyle w:val="Funotentext"/>
      </w:pPr>
      <w:r>
        <w:rPr>
          <w:rStyle w:val="Funotenzeichen"/>
        </w:rPr>
        <w:footnoteRef/>
      </w:r>
      <w:r w:rsidRPr="00E739D4">
        <w:t xml:space="preserve"> Wissenschaftliche Dienste </w:t>
      </w:r>
      <w:r>
        <w:t>2018: 8-9</w:t>
      </w:r>
      <w:r w:rsidRPr="00E739D4">
        <w:t>.</w:t>
      </w:r>
    </w:p>
  </w:footnote>
  <w:footnote w:id="144">
    <w:p w14:paraId="470620FE" w14:textId="77777777" w:rsidR="00112190" w:rsidRPr="002839D9" w:rsidRDefault="00112190" w:rsidP="00112190">
      <w:pPr>
        <w:pStyle w:val="Funotentext"/>
        <w:rPr>
          <w:lang w:val="en-US"/>
        </w:rPr>
      </w:pPr>
      <w:r>
        <w:rPr>
          <w:rStyle w:val="Funotenzeichen"/>
        </w:rPr>
        <w:footnoteRef/>
      </w:r>
      <w:r w:rsidRPr="002839D9">
        <w:rPr>
          <w:lang w:val="en-US"/>
        </w:rPr>
        <w:t xml:space="preserve"> </w:t>
      </w:r>
      <w:proofErr w:type="spellStart"/>
      <w:r w:rsidRPr="002839D9">
        <w:rPr>
          <w:lang w:val="en-US"/>
        </w:rPr>
        <w:t>Wissenschaftliche</w:t>
      </w:r>
      <w:proofErr w:type="spellEnd"/>
      <w:r w:rsidRPr="002839D9">
        <w:rPr>
          <w:lang w:val="en-US"/>
        </w:rPr>
        <w:t xml:space="preserve"> </w:t>
      </w:r>
      <w:proofErr w:type="spellStart"/>
      <w:r w:rsidRPr="002839D9">
        <w:rPr>
          <w:lang w:val="en-US"/>
        </w:rPr>
        <w:t>Dienste</w:t>
      </w:r>
      <w:proofErr w:type="spellEnd"/>
      <w:r w:rsidRPr="002839D9">
        <w:rPr>
          <w:lang w:val="en-US"/>
        </w:rPr>
        <w:t xml:space="preserve"> 2018: 9-</w:t>
      </w:r>
      <w:proofErr w:type="gramStart"/>
      <w:r w:rsidRPr="002839D9">
        <w:rPr>
          <w:lang w:val="en-US"/>
        </w:rPr>
        <w:t>10..</w:t>
      </w:r>
      <w:proofErr w:type="gramEnd"/>
    </w:p>
  </w:footnote>
  <w:footnote w:id="145">
    <w:p w14:paraId="512C9DF8" w14:textId="77777777" w:rsidR="00112190" w:rsidRPr="00280E1A" w:rsidRDefault="00112190" w:rsidP="00112190">
      <w:pPr>
        <w:pStyle w:val="Funotentext"/>
      </w:pPr>
      <w:r>
        <w:rPr>
          <w:rStyle w:val="Funotenzeichen"/>
        </w:rPr>
        <w:footnoteRef/>
      </w:r>
      <w:r w:rsidRPr="002839D9">
        <w:rPr>
          <w:lang w:val="en-US"/>
        </w:rPr>
        <w:t xml:space="preserve"> </w:t>
      </w:r>
      <w:proofErr w:type="spellStart"/>
      <w:r w:rsidRPr="002839D9">
        <w:rPr>
          <w:lang w:val="en-US"/>
        </w:rPr>
        <w:t>Siehe</w:t>
      </w:r>
      <w:proofErr w:type="spellEnd"/>
      <w:r w:rsidRPr="002839D9">
        <w:rPr>
          <w:lang w:val="en-US"/>
        </w:rPr>
        <w:t xml:space="preserve"> UNFCCC, 2021, Nationally determined contributions under the Paris Agreement, 17 September 2021, S. 3, Para. 12. </w:t>
      </w:r>
      <w:r w:rsidRPr="00280E1A">
        <w:t xml:space="preserve">Siehe: </w:t>
      </w:r>
      <w:hyperlink r:id="rId108" w:history="1">
        <w:r w:rsidRPr="00280E1A">
          <w:rPr>
            <w:rStyle w:val="Hyperlink"/>
          </w:rPr>
          <w:t>https://unfccc.int/sites/default/files/resource/cma2021_08_adv_1.pdf</w:t>
        </w:r>
      </w:hyperlink>
      <w:r w:rsidRPr="00280E1A">
        <w:t xml:space="preserve"> - Zugegriffen: 01.11.2023.</w:t>
      </w:r>
    </w:p>
  </w:footnote>
  <w:footnote w:id="146">
    <w:p w14:paraId="37B509F0" w14:textId="77777777" w:rsidR="00112190" w:rsidRPr="00E40063" w:rsidRDefault="00112190" w:rsidP="00112190">
      <w:pPr>
        <w:pStyle w:val="Funotentext"/>
      </w:pPr>
      <w:r>
        <w:rPr>
          <w:rStyle w:val="Funotenzeichen"/>
        </w:rPr>
        <w:footnoteRef/>
      </w:r>
      <w:r w:rsidRPr="00E40063">
        <w:t xml:space="preserve"> Si</w:t>
      </w:r>
      <w:r>
        <w:t xml:space="preserve">ehe: </w:t>
      </w:r>
      <w:hyperlink r:id="rId109" w:history="1">
        <w:r w:rsidRPr="00A43BFF">
          <w:rPr>
            <w:rStyle w:val="Hyperlink"/>
          </w:rPr>
          <w:t>https://unfccc.int/sites/default/files/resource/cma2022_04.pdf</w:t>
        </w:r>
      </w:hyperlink>
      <w:r>
        <w:t xml:space="preserve"> - Zugegriffen: 22.12.2023. </w:t>
      </w:r>
    </w:p>
  </w:footnote>
  <w:footnote w:id="147">
    <w:p w14:paraId="7DD591F9" w14:textId="11C0CA66" w:rsidR="000A2930" w:rsidRPr="000A2930" w:rsidRDefault="000A2930">
      <w:pPr>
        <w:pStyle w:val="Funotentext"/>
      </w:pPr>
      <w:r>
        <w:rPr>
          <w:rStyle w:val="Funotenzeichen"/>
        </w:rPr>
        <w:footnoteRef/>
      </w:r>
      <w:r w:rsidRPr="000A2930">
        <w:t xml:space="preserve"> Siehe: </w:t>
      </w:r>
      <w:hyperlink r:id="rId110" w:history="1">
        <w:r w:rsidRPr="000A2930">
          <w:rPr>
            <w:rStyle w:val="Hyperlink"/>
          </w:rPr>
          <w:t>https://ec.europa.eu/commission/presscorner/detail/en/ip_24_4581</w:t>
        </w:r>
      </w:hyperlink>
      <w:r w:rsidRPr="000A2930">
        <w:t xml:space="preserve"> </w:t>
      </w:r>
      <w:r>
        <w:t xml:space="preserve">- Zugegriffen: 15.09.2024. </w:t>
      </w:r>
    </w:p>
  </w:footnote>
  <w:footnote w:id="148">
    <w:p w14:paraId="1EEAF27E" w14:textId="1E458D1A" w:rsidR="000A2930" w:rsidRPr="000A2930" w:rsidRDefault="000A2930">
      <w:pPr>
        <w:pStyle w:val="Funotentext"/>
      </w:pPr>
      <w:r>
        <w:rPr>
          <w:rStyle w:val="Funotenzeichen"/>
        </w:rPr>
        <w:footnoteRef/>
      </w:r>
      <w:r w:rsidRPr="000A2930">
        <w:t xml:space="preserve"> Siehe: </w:t>
      </w:r>
      <w:hyperlink r:id="rId111" w:history="1">
        <w:r w:rsidRPr="000A2930">
          <w:rPr>
            <w:rStyle w:val="Hyperlink"/>
          </w:rPr>
          <w:t>https://energy.ec.europa.eu/publications/state-energy-union-report-2024-country-fiches_en</w:t>
        </w:r>
      </w:hyperlink>
      <w:r w:rsidRPr="000A2930">
        <w:t xml:space="preserve"> </w:t>
      </w:r>
      <w:r>
        <w:t xml:space="preserve">- Zugegriffen: 15.09.2024. </w:t>
      </w:r>
    </w:p>
  </w:footnote>
  <w:footnote w:id="149">
    <w:p w14:paraId="374B03AC" w14:textId="77777777" w:rsidR="00112190" w:rsidRPr="00BB1654" w:rsidRDefault="00112190" w:rsidP="00112190">
      <w:pPr>
        <w:pStyle w:val="Funotentext"/>
      </w:pPr>
      <w:r>
        <w:rPr>
          <w:rStyle w:val="Funotenzeichen"/>
        </w:rPr>
        <w:footnoteRef/>
      </w:r>
      <w:r w:rsidRPr="00E77E1C">
        <w:rPr>
          <w:lang w:val="en-GB"/>
        </w:rPr>
        <w:t xml:space="preserve"> Damian Carrington. </w:t>
      </w:r>
      <w:r>
        <w:rPr>
          <w:lang w:val="en-GB"/>
        </w:rPr>
        <w:t xml:space="preserve">Revealed: Saudi Arabia’s grand plan to ‘hook’ poor countries on oil. 27.11.2023. </w:t>
      </w:r>
      <w:r w:rsidRPr="00BB1654">
        <w:t xml:space="preserve">URL: </w:t>
      </w:r>
      <w:hyperlink r:id="rId112" w:history="1">
        <w:r w:rsidRPr="00BB1654">
          <w:rPr>
            <w:rStyle w:val="Hyperlink"/>
          </w:rPr>
          <w:t>https://www.theguardian.com/environment/2023/nov/27/revealed-saudi-arabia-plan-poor-countries-oil?CMP=Share_AndroidApp_Other</w:t>
        </w:r>
      </w:hyperlink>
      <w:r w:rsidRPr="00BB1654">
        <w:t xml:space="preserve"> – Zugegriffen: </w:t>
      </w:r>
      <w:r>
        <w:t>27.11.2023.</w:t>
      </w:r>
    </w:p>
  </w:footnote>
  <w:footnote w:id="150">
    <w:p w14:paraId="53D89BE6" w14:textId="77777777" w:rsidR="00112190" w:rsidRDefault="00112190" w:rsidP="00112190">
      <w:pPr>
        <w:pStyle w:val="Funotentext"/>
      </w:pPr>
      <w:r>
        <w:rPr>
          <w:rStyle w:val="Funotenzeichen"/>
        </w:rPr>
        <w:footnoteRef/>
      </w:r>
      <w:r>
        <w:t xml:space="preserve"> Siehe: </w:t>
      </w:r>
      <w:hyperlink r:id="rId113" w:history="1">
        <w:r w:rsidRPr="00A43BFF">
          <w:rPr>
            <w:rStyle w:val="Hyperlink"/>
          </w:rPr>
          <w:t>https://www.energy-transitions.org/cop28-action-agenda-potential-impact-2030/</w:t>
        </w:r>
      </w:hyperlink>
      <w:r>
        <w:t xml:space="preserve"> - Zugegriffen: 26.12.2023. </w:t>
      </w:r>
    </w:p>
  </w:footnote>
  <w:footnote w:id="151">
    <w:p w14:paraId="37E1AC29" w14:textId="77777777" w:rsidR="00112190" w:rsidRDefault="00112190" w:rsidP="00112190">
      <w:pPr>
        <w:pStyle w:val="Funotentext"/>
      </w:pPr>
      <w:r>
        <w:rPr>
          <w:rStyle w:val="Funotenzeichen"/>
        </w:rPr>
        <w:footnoteRef/>
      </w:r>
      <w:r>
        <w:t xml:space="preserve"> Überblick über alle Konferenzen, seit der Konferenz in Bonn 1995: </w:t>
      </w:r>
      <w:hyperlink r:id="rId114" w:history="1">
        <w:r w:rsidRPr="00A43BFF">
          <w:rPr>
            <w:rStyle w:val="Hyperlink"/>
          </w:rPr>
          <w:t>https://unfccc.int/process/bodies/supreme-bodies/conference-of-the-parties-cop</w:t>
        </w:r>
      </w:hyperlink>
      <w:r>
        <w:t xml:space="preserve"> - Zugegriffen: 22.12.2023. </w:t>
      </w:r>
    </w:p>
  </w:footnote>
  <w:footnote w:id="152">
    <w:p w14:paraId="6796600F" w14:textId="77777777" w:rsidR="00112190" w:rsidRDefault="00112190" w:rsidP="00112190">
      <w:pPr>
        <w:pStyle w:val="Funotentext"/>
      </w:pPr>
      <w:r>
        <w:rPr>
          <w:rStyle w:val="Funotenzeichen"/>
        </w:rPr>
        <w:footnoteRef/>
      </w:r>
      <w:r>
        <w:t xml:space="preserve"> Siehe: </w:t>
      </w:r>
      <w:hyperlink r:id="rId115" w:history="1">
        <w:r w:rsidRPr="005B51C2">
          <w:rPr>
            <w:rStyle w:val="Hyperlink"/>
          </w:rPr>
          <w:t>https://unfccc.int/cop28/outcomes</w:t>
        </w:r>
      </w:hyperlink>
    </w:p>
  </w:footnote>
  <w:footnote w:id="153">
    <w:p w14:paraId="0EEFFE03" w14:textId="77777777" w:rsidR="00112190" w:rsidRDefault="00112190" w:rsidP="00112190">
      <w:pPr>
        <w:pStyle w:val="Funotentext"/>
      </w:pPr>
      <w:r>
        <w:rPr>
          <w:rStyle w:val="Funotenzeichen"/>
        </w:rPr>
        <w:footnoteRef/>
      </w:r>
      <w:r>
        <w:t xml:space="preserve"> Siehe: </w:t>
      </w:r>
      <w:hyperlink r:id="rId116" w:history="1">
        <w:r w:rsidRPr="005B51C2">
          <w:rPr>
            <w:rStyle w:val="Hyperlink"/>
          </w:rPr>
          <w:t>https://www.cop28.com/</w:t>
        </w:r>
      </w:hyperlink>
    </w:p>
  </w:footnote>
  <w:footnote w:id="154">
    <w:p w14:paraId="27F07569" w14:textId="77777777" w:rsidR="00112190" w:rsidRPr="006B33DC" w:rsidRDefault="00112190" w:rsidP="00112190">
      <w:pPr>
        <w:pStyle w:val="Funotentext"/>
      </w:pPr>
      <w:r>
        <w:rPr>
          <w:rStyle w:val="Funotenzeichen"/>
        </w:rPr>
        <w:footnoteRef/>
      </w:r>
      <w:r w:rsidRPr="006B33DC">
        <w:t xml:space="preserve"> Siehe unten, COP28 (WCAS) </w:t>
      </w:r>
      <w:proofErr w:type="spellStart"/>
      <w:r w:rsidRPr="006B33DC">
        <w:t>Presidency</w:t>
      </w:r>
      <w:proofErr w:type="spellEnd"/>
      <w:r w:rsidRPr="006B33DC">
        <w:t xml:space="preserve"> Summary und The UAE Consensus: </w:t>
      </w:r>
      <w:hyperlink r:id="rId117" w:history="1">
        <w:r w:rsidRPr="006B33DC">
          <w:rPr>
            <w:rStyle w:val="Hyperlink"/>
          </w:rPr>
          <w:t>https://www.cop28.com/en/cop28-presidency</w:t>
        </w:r>
      </w:hyperlink>
      <w:r w:rsidRPr="006B33DC">
        <w:t xml:space="preserve"> - Zugegriffen: 22.12.2023. </w:t>
      </w:r>
    </w:p>
  </w:footnote>
  <w:footnote w:id="155">
    <w:p w14:paraId="4ED4F916" w14:textId="77777777" w:rsidR="00112190" w:rsidRPr="003F5D55" w:rsidRDefault="00112190" w:rsidP="00112190">
      <w:pPr>
        <w:pStyle w:val="Funotentext"/>
      </w:pPr>
      <w:r>
        <w:rPr>
          <w:rStyle w:val="Funotenzeichen"/>
        </w:rPr>
        <w:footnoteRef/>
      </w:r>
      <w:r w:rsidRPr="003F5D55">
        <w:t xml:space="preserve"> Siehe: </w:t>
      </w:r>
      <w:hyperlink r:id="rId118" w:history="1">
        <w:r w:rsidRPr="00A43BFF">
          <w:rPr>
            <w:rStyle w:val="Hyperlink"/>
          </w:rPr>
          <w:t>https://unfccc.int/sites/default/files/resource/Summary_GCA_COP28.pdf</w:t>
        </w:r>
      </w:hyperlink>
      <w:r>
        <w:t xml:space="preserve"> - Zugegriffen: 22.12.2023. </w:t>
      </w:r>
    </w:p>
  </w:footnote>
  <w:footnote w:id="156">
    <w:p w14:paraId="5B64A6D2" w14:textId="77777777" w:rsidR="00112190" w:rsidRPr="00B06A0B" w:rsidRDefault="00112190" w:rsidP="00112190">
      <w:pPr>
        <w:pStyle w:val="Funotentext"/>
        <w:rPr>
          <w:lang w:val="en-GB"/>
        </w:rPr>
      </w:pPr>
      <w:r>
        <w:rPr>
          <w:rStyle w:val="Funotenzeichen"/>
        </w:rPr>
        <w:footnoteRef/>
      </w:r>
      <w:r w:rsidRPr="00B06A0B">
        <w:rPr>
          <w:lang w:val="en-GB"/>
        </w:rPr>
        <w:t xml:space="preserve"> Technical dialogue of the first global stocktake. Synthesis report by the co-facilitators on the technical dialogue, F</w:t>
      </w:r>
      <w:r>
        <w:rPr>
          <w:lang w:val="en-GB"/>
        </w:rPr>
        <w:t>CCC/SB/2023/9, 08 September 2023</w:t>
      </w:r>
      <w:r w:rsidRPr="00B06A0B">
        <w:rPr>
          <w:lang w:val="en-GB"/>
        </w:rPr>
        <w:t xml:space="preserve">: </w:t>
      </w:r>
      <w:hyperlink r:id="rId119" w:history="1">
        <w:r w:rsidRPr="00B06A0B">
          <w:rPr>
            <w:rStyle w:val="Hyperlink"/>
            <w:lang w:val="en-GB"/>
          </w:rPr>
          <w:t>https://unfccc.int/documents/631600</w:t>
        </w:r>
      </w:hyperlink>
      <w:r w:rsidRPr="00B06A0B">
        <w:rPr>
          <w:lang w:val="en-GB"/>
        </w:rPr>
        <w:t xml:space="preserve"> - </w:t>
      </w:r>
      <w:proofErr w:type="spellStart"/>
      <w:r w:rsidRPr="00B06A0B">
        <w:rPr>
          <w:lang w:val="en-GB"/>
        </w:rPr>
        <w:t>Zugegriffen</w:t>
      </w:r>
      <w:proofErr w:type="spellEnd"/>
      <w:r w:rsidRPr="00B06A0B">
        <w:rPr>
          <w:lang w:val="en-GB"/>
        </w:rPr>
        <w:t>: 22.12.2023.</w:t>
      </w:r>
    </w:p>
  </w:footnote>
  <w:footnote w:id="157">
    <w:p w14:paraId="3F609A5C" w14:textId="77777777" w:rsidR="00112190" w:rsidRDefault="00112190" w:rsidP="00112190">
      <w:pPr>
        <w:pStyle w:val="Funotentext"/>
      </w:pPr>
      <w:r>
        <w:rPr>
          <w:rStyle w:val="Funotenzeichen"/>
        </w:rPr>
        <w:footnoteRef/>
      </w:r>
      <w:r>
        <w:t xml:space="preserve"> Siehe: </w:t>
      </w:r>
      <w:hyperlink r:id="rId120" w:history="1">
        <w:r w:rsidRPr="000627E7">
          <w:rPr>
            <w:rStyle w:val="Hyperlink"/>
          </w:rPr>
          <w:t>https://unfccc.int/documents/636584</w:t>
        </w:r>
      </w:hyperlink>
      <w:r>
        <w:t xml:space="preserve"> - Zugegriffen: 22.12.2023. </w:t>
      </w:r>
    </w:p>
  </w:footnote>
  <w:footnote w:id="158">
    <w:p w14:paraId="780E8D9D" w14:textId="77777777" w:rsidR="00112190" w:rsidRDefault="00112190" w:rsidP="00112190">
      <w:pPr>
        <w:pStyle w:val="Funotentext"/>
      </w:pPr>
      <w:r>
        <w:rPr>
          <w:rStyle w:val="Funotenzeichen"/>
        </w:rPr>
        <w:footnoteRef/>
      </w:r>
      <w:r>
        <w:t xml:space="preserve"> Auf der COP 28 Webseite sind die Texte nicht erhältlich. Die Texte gibt es hier: </w:t>
      </w:r>
      <w:hyperlink r:id="rId121" w:history="1">
        <w:r w:rsidRPr="00DB6AF3">
          <w:rPr>
            <w:rStyle w:val="Hyperlink"/>
          </w:rPr>
          <w:t>https://unfccc.int/cop28</w:t>
        </w:r>
      </w:hyperlink>
      <w:r>
        <w:t xml:space="preserve">, siehe etwa hier: </w:t>
      </w:r>
      <w:hyperlink r:id="rId122" w:history="1">
        <w:r w:rsidRPr="00DB6AF3">
          <w:rPr>
            <w:rStyle w:val="Hyperlink"/>
          </w:rPr>
          <w:t>https://unfccc.int/cop28/outcomes</w:t>
        </w:r>
      </w:hyperlink>
      <w:r>
        <w:t xml:space="preserve">. </w:t>
      </w:r>
      <w:proofErr w:type="gramStart"/>
      <w:r>
        <w:t>Die First</w:t>
      </w:r>
      <w:proofErr w:type="gramEnd"/>
      <w:r>
        <w:t xml:space="preserve"> global </w:t>
      </w:r>
      <w:proofErr w:type="spellStart"/>
      <w:r>
        <w:t>stocktake</w:t>
      </w:r>
      <w:proofErr w:type="spellEnd"/>
      <w:r>
        <w:t xml:space="preserve">, </w:t>
      </w:r>
      <w:proofErr w:type="spellStart"/>
      <w:r>
        <w:t>Draft</w:t>
      </w:r>
      <w:proofErr w:type="spellEnd"/>
      <w:r>
        <w:t xml:space="preserve"> </w:t>
      </w:r>
      <w:proofErr w:type="spellStart"/>
      <w:r>
        <w:t>Decision</w:t>
      </w:r>
      <w:proofErr w:type="spellEnd"/>
      <w:r>
        <w:t xml:space="preserve"> findet sich hier: </w:t>
      </w:r>
      <w:hyperlink r:id="rId123" w:history="1">
        <w:r w:rsidRPr="00DB6AF3">
          <w:rPr>
            <w:rStyle w:val="Hyperlink"/>
          </w:rPr>
          <w:t>https://unfccc.int/sites/default/files/resource/cma2023_L17_adv.pdf</w:t>
        </w:r>
      </w:hyperlink>
      <w:r>
        <w:t xml:space="preserve"> - Zugegriffen: 22.12.2023. </w:t>
      </w:r>
    </w:p>
  </w:footnote>
  <w:footnote w:id="159">
    <w:p w14:paraId="615BCA34" w14:textId="77777777" w:rsidR="00112190" w:rsidRDefault="00112190" w:rsidP="00112190">
      <w:pPr>
        <w:pStyle w:val="Funotentext"/>
      </w:pPr>
      <w:r>
        <w:rPr>
          <w:rStyle w:val="Funotenzeichen"/>
        </w:rPr>
        <w:footnoteRef/>
      </w:r>
      <w:r>
        <w:t xml:space="preserve"> Siehe CP.28 CMA.5: </w:t>
      </w:r>
      <w:hyperlink r:id="rId124" w:history="1">
        <w:r w:rsidRPr="000627E7">
          <w:rPr>
            <w:rStyle w:val="Hyperlink"/>
          </w:rPr>
          <w:t>https://unfccc.int/documents/636618</w:t>
        </w:r>
      </w:hyperlink>
      <w:r>
        <w:t xml:space="preserve"> bzw. </w:t>
      </w:r>
      <w:hyperlink r:id="rId125" w:history="1">
        <w:r w:rsidRPr="000627E7">
          <w:rPr>
            <w:rStyle w:val="Hyperlink"/>
          </w:rPr>
          <w:t>https://unfccc.int/sites/default/files/resource/cma5_auv_10g_LnDfunding.pdf?download</w:t>
        </w:r>
      </w:hyperlink>
      <w:r>
        <w:t xml:space="preserve"> – Zugegriffen: 22.12.2023. </w:t>
      </w:r>
    </w:p>
  </w:footnote>
  <w:footnote w:id="160">
    <w:p w14:paraId="196904A2" w14:textId="77777777" w:rsidR="00112190" w:rsidRDefault="00112190" w:rsidP="00112190">
      <w:pPr>
        <w:pStyle w:val="Funotentext"/>
      </w:pPr>
      <w:r>
        <w:rPr>
          <w:rStyle w:val="Funotenzeichen"/>
        </w:rPr>
        <w:footnoteRef/>
      </w:r>
      <w:r>
        <w:t xml:space="preserve"> Siehe: </w:t>
      </w:r>
      <w:hyperlink r:id="rId126" w:history="1">
        <w:r w:rsidRPr="005B51C2">
          <w:rPr>
            <w:rStyle w:val="Hyperlink"/>
          </w:rPr>
          <w:t>https://www.thegef.org/</w:t>
        </w:r>
      </w:hyperlink>
    </w:p>
  </w:footnote>
  <w:footnote w:id="161">
    <w:p w14:paraId="6CE38939" w14:textId="77777777" w:rsidR="00112190" w:rsidRDefault="00112190" w:rsidP="00112190">
      <w:pPr>
        <w:pStyle w:val="Funotentext"/>
      </w:pPr>
      <w:r>
        <w:rPr>
          <w:rStyle w:val="Funotenzeichen"/>
        </w:rPr>
        <w:footnoteRef/>
      </w:r>
      <w:r>
        <w:t xml:space="preserve"> Siehe: </w:t>
      </w:r>
      <w:hyperlink r:id="rId127" w:history="1">
        <w:r w:rsidRPr="00A43BFF">
          <w:rPr>
            <w:rStyle w:val="Hyperlink"/>
          </w:rPr>
          <w:t>https://unfccc.int/documents/636516</w:t>
        </w:r>
      </w:hyperlink>
      <w:r>
        <w:t xml:space="preserve"> - Zugegriffen: 22.12.2023. </w:t>
      </w:r>
    </w:p>
  </w:footnote>
  <w:footnote w:id="162">
    <w:p w14:paraId="70144FC2" w14:textId="77777777" w:rsidR="00112190" w:rsidRDefault="00112190" w:rsidP="00112190">
      <w:pPr>
        <w:pStyle w:val="Funotentext"/>
      </w:pPr>
      <w:r>
        <w:rPr>
          <w:rStyle w:val="Funotenzeichen"/>
        </w:rPr>
        <w:footnoteRef/>
      </w:r>
      <w:r>
        <w:t xml:space="preserve"> Siehe: </w:t>
      </w:r>
      <w:hyperlink r:id="rId128" w:history="1">
        <w:r w:rsidRPr="005B51C2">
          <w:rPr>
            <w:rStyle w:val="Hyperlink"/>
          </w:rPr>
          <w:t>https://www.ctc-n.org/</w:t>
        </w:r>
      </w:hyperlink>
    </w:p>
  </w:footnote>
  <w:footnote w:id="163">
    <w:p w14:paraId="5644AFA6" w14:textId="2028E0B6" w:rsidR="00112190" w:rsidRPr="00F157B3" w:rsidRDefault="00112190" w:rsidP="00112190">
      <w:pPr>
        <w:pStyle w:val="Funotentext"/>
        <w:rPr>
          <w:lang w:val="en-GB"/>
        </w:rPr>
      </w:pPr>
      <w:r>
        <w:rPr>
          <w:rStyle w:val="Funotenzeichen"/>
        </w:rPr>
        <w:footnoteRef/>
      </w:r>
      <w:r w:rsidRPr="00F157B3">
        <w:rPr>
          <w:lang w:val="en-GB"/>
        </w:rPr>
        <w:t xml:space="preserve"> </w:t>
      </w:r>
      <w:proofErr w:type="spellStart"/>
      <w:r w:rsidRPr="00F157B3">
        <w:rPr>
          <w:lang w:val="en-GB"/>
        </w:rPr>
        <w:t>Siehe</w:t>
      </w:r>
      <w:proofErr w:type="spellEnd"/>
      <w:r w:rsidR="000F0F3E">
        <w:rPr>
          <w:lang w:val="en-GB"/>
        </w:rPr>
        <w:t>:</w:t>
      </w:r>
      <w:r w:rsidRPr="00F157B3">
        <w:rPr>
          <w:lang w:val="en-GB"/>
        </w:rPr>
        <w:t xml:space="preserve"> Operationalisation of</w:t>
      </w:r>
      <w:r>
        <w:rPr>
          <w:lang w:val="en-GB"/>
        </w:rPr>
        <w:t xml:space="preserve"> </w:t>
      </w:r>
      <w:r w:rsidRPr="00F157B3">
        <w:rPr>
          <w:lang w:val="en-GB"/>
        </w:rPr>
        <w:t xml:space="preserve">the CTCN Programme of Work for 2023-2027, Day </w:t>
      </w:r>
      <w:r>
        <w:rPr>
          <w:lang w:val="en-GB"/>
        </w:rPr>
        <w:t>2, 19</w:t>
      </w:r>
      <w:r w:rsidRPr="00F157B3">
        <w:rPr>
          <w:lang w:val="en-GB"/>
        </w:rPr>
        <w:t xml:space="preserve">: </w:t>
      </w:r>
      <w:hyperlink r:id="rId129" w:history="1">
        <w:r w:rsidRPr="00F157B3">
          <w:rPr>
            <w:rStyle w:val="Hyperlink"/>
            <w:lang w:val="en-GB"/>
          </w:rPr>
          <w:t>https://www.ctc-n.org/calendar/events/22nd-ctcn-advisory-board-meeting</w:t>
        </w:r>
      </w:hyperlink>
      <w:r w:rsidRPr="00F157B3">
        <w:rPr>
          <w:lang w:val="en-GB"/>
        </w:rPr>
        <w:t xml:space="preserve"> - </w:t>
      </w:r>
      <w:proofErr w:type="spellStart"/>
      <w:r w:rsidRPr="00F157B3">
        <w:rPr>
          <w:lang w:val="en-GB"/>
        </w:rPr>
        <w:t>Zugegriffen</w:t>
      </w:r>
      <w:proofErr w:type="spellEnd"/>
      <w:r w:rsidRPr="00F157B3">
        <w:rPr>
          <w:lang w:val="en-GB"/>
        </w:rPr>
        <w:t xml:space="preserve">: 22.12.2023. </w:t>
      </w:r>
    </w:p>
  </w:footnote>
  <w:footnote w:id="164">
    <w:p w14:paraId="24135BFB" w14:textId="77777777" w:rsidR="00112190" w:rsidRDefault="00112190" w:rsidP="00112190">
      <w:pPr>
        <w:pStyle w:val="Funotentext"/>
      </w:pPr>
      <w:r>
        <w:rPr>
          <w:rStyle w:val="Funotenzeichen"/>
        </w:rPr>
        <w:footnoteRef/>
      </w:r>
      <w:r>
        <w:t xml:space="preserve"> Siehe: </w:t>
      </w:r>
      <w:hyperlink r:id="rId130" w:history="1">
        <w:r w:rsidRPr="00A43BFF">
          <w:rPr>
            <w:rStyle w:val="Hyperlink"/>
          </w:rPr>
          <w:t>https://unfccc.int/documents/636517</w:t>
        </w:r>
      </w:hyperlink>
      <w:r>
        <w:t xml:space="preserve"> - Zugegriffen: 22.12.2023. </w:t>
      </w:r>
    </w:p>
  </w:footnote>
  <w:footnote w:id="165">
    <w:p w14:paraId="15BC7C82" w14:textId="77777777" w:rsidR="00112190" w:rsidRDefault="00112190" w:rsidP="00112190">
      <w:pPr>
        <w:pStyle w:val="Funotentext"/>
      </w:pPr>
      <w:r>
        <w:rPr>
          <w:rStyle w:val="Funotenzeichen"/>
        </w:rPr>
        <w:footnoteRef/>
      </w:r>
      <w:r>
        <w:t xml:space="preserve"> In den Ergebnissen: </w:t>
      </w:r>
      <w:hyperlink r:id="rId131" w:history="1">
        <w:r w:rsidRPr="004C73BD">
          <w:rPr>
            <w:rStyle w:val="Hyperlink"/>
          </w:rPr>
          <w:t>https://unfccc.int/cop28/outcomes</w:t>
        </w:r>
      </w:hyperlink>
    </w:p>
  </w:footnote>
  <w:footnote w:id="166">
    <w:p w14:paraId="0B400D60" w14:textId="77777777" w:rsidR="00BB76AC" w:rsidRPr="00C01A89" w:rsidRDefault="00BB76AC" w:rsidP="00BB76AC">
      <w:pPr>
        <w:pStyle w:val="Funotentext"/>
      </w:pPr>
      <w:r>
        <w:rPr>
          <w:rStyle w:val="Funotenzeichen"/>
        </w:rPr>
        <w:footnoteRef/>
      </w:r>
      <w:r w:rsidRPr="00CE7C2D">
        <w:rPr>
          <w:lang w:val="en-GB"/>
        </w:rPr>
        <w:t xml:space="preserve"> Franziska Schmidtke. </w:t>
      </w:r>
      <w:r w:rsidRPr="00C01A89">
        <w:rPr>
          <w:lang w:val="en-GB"/>
        </w:rPr>
        <w:t>Opening the mixed bag from</w:t>
      </w:r>
      <w:r>
        <w:rPr>
          <w:lang w:val="en-GB"/>
        </w:rPr>
        <w:t xml:space="preserve"> COP28: An Asian perspective. </w:t>
      </w:r>
      <w:r w:rsidRPr="00CE7C2D">
        <w:t>Friedrich Ebert Stiftung, FES Asia</w:t>
      </w:r>
      <w:r w:rsidRPr="00C01A89">
        <w:t xml:space="preserve">, 20.12.2023. In: </w:t>
      </w:r>
      <w:hyperlink r:id="rId132" w:history="1">
        <w:r w:rsidRPr="00D76C6A">
          <w:rPr>
            <w:rStyle w:val="Hyperlink"/>
          </w:rPr>
          <w:t>https://asia.fes.de/news/cop28-asian-perspective</w:t>
        </w:r>
      </w:hyperlink>
      <w:r>
        <w:t xml:space="preserve"> - Zugegriffen: 26.12.2023. </w:t>
      </w:r>
    </w:p>
  </w:footnote>
  <w:footnote w:id="167">
    <w:p w14:paraId="7D57AD78" w14:textId="77777777" w:rsidR="00112190" w:rsidRDefault="00112190" w:rsidP="00112190">
      <w:pPr>
        <w:pStyle w:val="Funotentext"/>
      </w:pPr>
      <w:r>
        <w:rPr>
          <w:rStyle w:val="Funotenzeichen"/>
        </w:rPr>
        <w:footnoteRef/>
      </w:r>
      <w:r>
        <w:t xml:space="preserve"> So berichtete der Sender CNBC am 26.12.2023.</w:t>
      </w:r>
    </w:p>
  </w:footnote>
  <w:footnote w:id="168">
    <w:p w14:paraId="27A6C01E" w14:textId="77777777" w:rsidR="00112190" w:rsidRDefault="00112190" w:rsidP="00112190">
      <w:pPr>
        <w:pStyle w:val="Funotentext"/>
      </w:pPr>
      <w:r>
        <w:rPr>
          <w:rStyle w:val="Funotenzeichen"/>
        </w:rPr>
        <w:footnoteRef/>
      </w:r>
      <w:r w:rsidRPr="00826A70">
        <w:rPr>
          <w:lang w:val="en-GB"/>
        </w:rPr>
        <w:t xml:space="preserve"> Thielges, Sonja. The Global Shift away from Fossil Energy. </w:t>
      </w:r>
      <w:r w:rsidRPr="00826A70">
        <w:t xml:space="preserve">SWP Comment 2023/C 38, 13.07.2023. Siehe: </w:t>
      </w:r>
      <w:hyperlink r:id="rId133" w:history="1">
        <w:r w:rsidRPr="005B51C2">
          <w:rPr>
            <w:rStyle w:val="Hyperlink"/>
          </w:rPr>
          <w:t>https://www.swp-berlin.org/publikation/the-global-shift-away-from-fossil-energy</w:t>
        </w:r>
      </w:hyperlink>
      <w:r w:rsidRPr="00826A70">
        <w:t xml:space="preserve"> - Zugegriffen: 07.01.2024.</w:t>
      </w:r>
    </w:p>
  </w:footnote>
  <w:footnote w:id="169">
    <w:p w14:paraId="43250B8D" w14:textId="77777777" w:rsidR="00112190" w:rsidRDefault="00112190" w:rsidP="00112190">
      <w:pPr>
        <w:pStyle w:val="Funotentext"/>
      </w:pPr>
      <w:r>
        <w:rPr>
          <w:rStyle w:val="Funotenzeichen"/>
        </w:rPr>
        <w:footnoteRef/>
      </w:r>
      <w:r>
        <w:t xml:space="preserve"> Siehe: </w:t>
      </w:r>
      <w:hyperlink r:id="rId134" w:history="1">
        <w:r w:rsidRPr="00EF68D4">
          <w:rPr>
            <w:rStyle w:val="Hyperlink"/>
          </w:rPr>
          <w:t>https://www.c2es.org/wp-content/uploads/2024/02/key-negotiations-and-related-outcomes-of-the-UN-climate-change-conference-in-dubai.pdf</w:t>
        </w:r>
      </w:hyperlink>
      <w:r>
        <w:t xml:space="preserve"> - Zugegriffen: 24.02.2024.</w:t>
      </w:r>
    </w:p>
  </w:footnote>
  <w:footnote w:id="170">
    <w:p w14:paraId="45F2D381" w14:textId="7401A199" w:rsidR="006B72B1" w:rsidRDefault="006B72B1">
      <w:pPr>
        <w:pStyle w:val="Funotentext"/>
      </w:pPr>
      <w:r>
        <w:rPr>
          <w:rStyle w:val="Funotenzeichen"/>
        </w:rPr>
        <w:footnoteRef/>
      </w:r>
      <w:r>
        <w:t xml:space="preserve"> Siehe: </w:t>
      </w:r>
      <w:hyperlink r:id="rId135" w:history="1">
        <w:r w:rsidRPr="0095787D">
          <w:rPr>
            <w:rStyle w:val="Hyperlink"/>
          </w:rPr>
          <w:t>https://www.cop28.com/en/global-renewables-and-energy-efficiency-pledge</w:t>
        </w:r>
      </w:hyperlink>
      <w:r>
        <w:t xml:space="preserve"> - Zugegriffen: 22.12.2023.</w:t>
      </w:r>
    </w:p>
  </w:footnote>
  <w:footnote w:id="171">
    <w:p w14:paraId="7F38F317" w14:textId="77777777" w:rsidR="00112190" w:rsidRDefault="00112190" w:rsidP="00112190">
      <w:pPr>
        <w:pStyle w:val="Funotentext"/>
      </w:pPr>
      <w:r>
        <w:rPr>
          <w:rStyle w:val="Funotenzeichen"/>
        </w:rPr>
        <w:footnoteRef/>
      </w:r>
      <w:r>
        <w:t xml:space="preserve"> Siehe: </w:t>
      </w:r>
      <w:hyperlink r:id="rId136" w:history="1">
        <w:r w:rsidRPr="00DB6AF3">
          <w:rPr>
            <w:rStyle w:val="Hyperlink"/>
          </w:rPr>
          <w:t>https://www.cop28.com/en/news/2023/12/COP28-delivers-historic-consensus-in-Dubai-to-accelerate-climate-action</w:t>
        </w:r>
      </w:hyperlink>
      <w:r>
        <w:t xml:space="preserve"> - Zugegriffen: 22.12.2023. Siehe auch: </w:t>
      </w:r>
      <w:r w:rsidRPr="001A5588">
        <w:t xml:space="preserve">COP28 (WCAS) </w:t>
      </w:r>
      <w:proofErr w:type="spellStart"/>
      <w:r w:rsidRPr="001A5588">
        <w:t>Presidency</w:t>
      </w:r>
      <w:proofErr w:type="spellEnd"/>
      <w:r w:rsidRPr="001A5588">
        <w:t xml:space="preserve"> Summary und The UAE Consensus: </w:t>
      </w:r>
      <w:hyperlink r:id="rId137" w:history="1">
        <w:r w:rsidRPr="004C73BD">
          <w:rPr>
            <w:rStyle w:val="Hyperlink"/>
          </w:rPr>
          <w:t>https://www.cop28.com/en/cop28-presidency</w:t>
        </w:r>
      </w:hyperlink>
      <w:r w:rsidRPr="001A5588">
        <w:t xml:space="preserve"> - Zugegriffen: 22.12.2023</w:t>
      </w:r>
      <w:r>
        <w:t>.</w:t>
      </w:r>
    </w:p>
  </w:footnote>
  <w:footnote w:id="172">
    <w:p w14:paraId="46D2B583" w14:textId="77777777" w:rsidR="00112190" w:rsidRDefault="00112190" w:rsidP="00112190">
      <w:pPr>
        <w:pStyle w:val="Funotentext"/>
      </w:pPr>
      <w:r>
        <w:rPr>
          <w:rStyle w:val="Funotenzeichen"/>
        </w:rPr>
        <w:footnoteRef/>
      </w:r>
      <w:r>
        <w:t xml:space="preserve"> Siehe S. 15. </w:t>
      </w:r>
      <w:r w:rsidRPr="006B7595">
        <w:t xml:space="preserve">The UAE Consensus: </w:t>
      </w:r>
      <w:hyperlink r:id="rId138" w:history="1">
        <w:r w:rsidRPr="004C73BD">
          <w:rPr>
            <w:rStyle w:val="Hyperlink"/>
          </w:rPr>
          <w:t>https://www.cop28.com/en/cop28-presidency</w:t>
        </w:r>
      </w:hyperlink>
      <w:r w:rsidRPr="006B7595">
        <w:t xml:space="preserve"> - Zugegriffen: 22.12.2023.</w:t>
      </w:r>
      <w:r>
        <w:t xml:space="preserve"> Siehe auch erklärt von der Consultant Firma Centurion: </w:t>
      </w:r>
      <w:hyperlink r:id="rId139" w:history="1">
        <w:r w:rsidRPr="00A43BFF">
          <w:rPr>
            <w:rStyle w:val="Hyperlink"/>
          </w:rPr>
          <w:t>https://centurionlg.com/2023/12/20/navigating-the-future-with-cop28s-global-decarbonization-accelerator/</w:t>
        </w:r>
      </w:hyperlink>
      <w:r>
        <w:t xml:space="preserve"> - Zugegriffen: 22.12.2023. </w:t>
      </w:r>
    </w:p>
  </w:footnote>
  <w:footnote w:id="173">
    <w:p w14:paraId="1C8A3BAF" w14:textId="77777777" w:rsidR="00112190" w:rsidRDefault="00112190" w:rsidP="00112190">
      <w:pPr>
        <w:pStyle w:val="Funotentext"/>
      </w:pPr>
      <w:r>
        <w:rPr>
          <w:rStyle w:val="Funotenzeichen"/>
        </w:rPr>
        <w:footnoteRef/>
      </w:r>
      <w:r>
        <w:t xml:space="preserve"> Siehe deren Webseite für die COP28: </w:t>
      </w:r>
      <w:hyperlink r:id="rId140" w:history="1">
        <w:r w:rsidRPr="00A43BFF">
          <w:rPr>
            <w:rStyle w:val="Hyperlink"/>
          </w:rPr>
          <w:t>https://climatechampions.unfccc.int/</w:t>
        </w:r>
      </w:hyperlink>
      <w:r>
        <w:t xml:space="preserve"> - Zugegriffen: 22.12.2023. </w:t>
      </w:r>
    </w:p>
  </w:footnote>
  <w:footnote w:id="174">
    <w:p w14:paraId="7E205AEC" w14:textId="77777777" w:rsidR="00112190" w:rsidRDefault="00112190" w:rsidP="00112190">
      <w:pPr>
        <w:pStyle w:val="Funotentext"/>
      </w:pPr>
      <w:r>
        <w:rPr>
          <w:rStyle w:val="Funotenzeichen"/>
        </w:rPr>
        <w:footnoteRef/>
      </w:r>
      <w:r>
        <w:t xml:space="preserve"> </w:t>
      </w:r>
      <w:r w:rsidRPr="006B7595">
        <w:t xml:space="preserve">Siehe S. 15. The UAE Consensus: </w:t>
      </w:r>
      <w:hyperlink r:id="rId141" w:history="1">
        <w:r w:rsidRPr="004C73BD">
          <w:rPr>
            <w:rStyle w:val="Hyperlink"/>
          </w:rPr>
          <w:t>https://www.cop28.com/en/cop28-presidency</w:t>
        </w:r>
      </w:hyperlink>
      <w:r w:rsidRPr="006B7595">
        <w:t xml:space="preserve"> - Zugegriffen: 22.12.2023</w:t>
      </w:r>
    </w:p>
  </w:footnote>
  <w:footnote w:id="175">
    <w:p w14:paraId="3A4D1256" w14:textId="77777777" w:rsidR="00112190" w:rsidRDefault="00112190" w:rsidP="00112190">
      <w:pPr>
        <w:pStyle w:val="Funotentext"/>
      </w:pPr>
      <w:r>
        <w:rPr>
          <w:rStyle w:val="Funotenzeichen"/>
        </w:rPr>
        <w:footnoteRef/>
      </w:r>
      <w:r>
        <w:t xml:space="preserve"> Siehe: </w:t>
      </w:r>
      <w:hyperlink r:id="rId142" w:history="1">
        <w:r w:rsidRPr="00A43BFF">
          <w:rPr>
            <w:rStyle w:val="Hyperlink"/>
          </w:rPr>
          <w:t>https://www.irena.org/</w:t>
        </w:r>
      </w:hyperlink>
      <w:r>
        <w:t xml:space="preserve"> - Zugegriffen: 22.12.2023. </w:t>
      </w:r>
    </w:p>
  </w:footnote>
  <w:footnote w:id="176">
    <w:p w14:paraId="39C537CC" w14:textId="77777777" w:rsidR="00112190" w:rsidRDefault="00112190" w:rsidP="00112190">
      <w:pPr>
        <w:pStyle w:val="Funotentext"/>
      </w:pPr>
      <w:r>
        <w:rPr>
          <w:rStyle w:val="Funotenzeichen"/>
        </w:rPr>
        <w:footnoteRef/>
      </w:r>
      <w:r>
        <w:t xml:space="preserve"> </w:t>
      </w:r>
      <w:r w:rsidRPr="006B7595">
        <w:t>Siehe S. 1</w:t>
      </w:r>
      <w:r>
        <w:t>4</w:t>
      </w:r>
      <w:r w:rsidRPr="006B7595">
        <w:t xml:space="preserve">. The UAE Consensus: </w:t>
      </w:r>
      <w:hyperlink r:id="rId143" w:history="1">
        <w:r w:rsidRPr="004C73BD">
          <w:rPr>
            <w:rStyle w:val="Hyperlink"/>
          </w:rPr>
          <w:t>https://www.cop28.com/en/cop28-presidency</w:t>
        </w:r>
      </w:hyperlink>
      <w:r w:rsidRPr="006B7595">
        <w:t xml:space="preserve"> - Zugegriffen: 22.12.2023</w:t>
      </w:r>
    </w:p>
  </w:footnote>
  <w:footnote w:id="177">
    <w:p w14:paraId="5DFA5CAF" w14:textId="77777777" w:rsidR="00112190" w:rsidRDefault="00112190" w:rsidP="00112190">
      <w:pPr>
        <w:pStyle w:val="Funotentext"/>
      </w:pPr>
      <w:r>
        <w:rPr>
          <w:rStyle w:val="Funotenzeichen"/>
        </w:rPr>
        <w:footnoteRef/>
      </w:r>
      <w:r>
        <w:t xml:space="preserve"> Das Sekretariat befindet sich in Brüssel. Michael Bloomberg ist hier Präsident, dem auch Bloomberg News gehört, ehemaliger Bürgermeister von New York. Siehe deren Webseite: </w:t>
      </w:r>
      <w:bookmarkStart w:id="20" w:name="_Hlk154504593"/>
      <w:r>
        <w:fldChar w:fldCharType="begin"/>
      </w:r>
      <w:r>
        <w:instrText>HYPERLINK "</w:instrText>
      </w:r>
      <w:r w:rsidRPr="009E074A">
        <w:instrText>https://www.globalcovenantofmayors.org/champ/</w:instrText>
      </w:r>
      <w:r>
        <w:instrText>"</w:instrText>
      </w:r>
      <w:r>
        <w:fldChar w:fldCharType="separate"/>
      </w:r>
      <w:r w:rsidRPr="00A43BFF">
        <w:rPr>
          <w:rStyle w:val="Hyperlink"/>
        </w:rPr>
        <w:t>https://www.globalcovenantofmayors.org/champ/</w:t>
      </w:r>
      <w:r>
        <w:fldChar w:fldCharType="end"/>
      </w:r>
      <w:bookmarkEnd w:id="20"/>
      <w:r>
        <w:t xml:space="preserve"> - Zugegriffen: 22.12.2023. </w:t>
      </w:r>
    </w:p>
  </w:footnote>
  <w:footnote w:id="178">
    <w:p w14:paraId="68C27BAA" w14:textId="77777777" w:rsidR="00112190" w:rsidRDefault="00112190" w:rsidP="00112190">
      <w:pPr>
        <w:pStyle w:val="Funotentext"/>
      </w:pPr>
      <w:r>
        <w:rPr>
          <w:rStyle w:val="Funotenzeichen"/>
        </w:rPr>
        <w:footnoteRef/>
      </w:r>
      <w:r>
        <w:t xml:space="preserve"> </w:t>
      </w:r>
      <w:r w:rsidRPr="006B7595">
        <w:t xml:space="preserve">Siehe S. </w:t>
      </w:r>
      <w:r>
        <w:t>23</w:t>
      </w:r>
      <w:r w:rsidRPr="006B7595">
        <w:t xml:space="preserve">. The UAE Consensus: </w:t>
      </w:r>
      <w:hyperlink r:id="rId144" w:history="1">
        <w:r w:rsidRPr="004C73BD">
          <w:rPr>
            <w:rStyle w:val="Hyperlink"/>
          </w:rPr>
          <w:t>https://www.cop28.com/en/cop28-presidency</w:t>
        </w:r>
      </w:hyperlink>
      <w:r w:rsidRPr="006B7595">
        <w:t xml:space="preserve"> - Zugegriffen: 22.12.2023</w:t>
      </w:r>
    </w:p>
  </w:footnote>
  <w:footnote w:id="179">
    <w:p w14:paraId="080F1DA6" w14:textId="77777777" w:rsidR="00112190" w:rsidRDefault="00112190" w:rsidP="00112190">
      <w:pPr>
        <w:pStyle w:val="Funotentext"/>
      </w:pPr>
      <w:r>
        <w:rPr>
          <w:rStyle w:val="Funotenzeichen"/>
        </w:rPr>
        <w:footnoteRef/>
      </w:r>
      <w:r>
        <w:t xml:space="preserve"> Siehe die Webseite: </w:t>
      </w:r>
      <w:hyperlink r:id="rId145" w:history="1">
        <w:r w:rsidRPr="00A43BFF">
          <w:rPr>
            <w:rStyle w:val="Hyperlink"/>
          </w:rPr>
          <w:t>https://bpcforum.org/about/</w:t>
        </w:r>
      </w:hyperlink>
      <w:r>
        <w:t xml:space="preserve"> - Zugegriffen: 22.12.2023.</w:t>
      </w:r>
    </w:p>
  </w:footnote>
  <w:footnote w:id="180">
    <w:p w14:paraId="46F12A91" w14:textId="77777777" w:rsidR="00112190" w:rsidRPr="003F5D55" w:rsidRDefault="00112190" w:rsidP="00112190">
      <w:pPr>
        <w:pStyle w:val="Funotentext"/>
      </w:pPr>
      <w:r>
        <w:rPr>
          <w:rStyle w:val="Funotenzeichen"/>
        </w:rPr>
        <w:footnoteRef/>
      </w:r>
      <w:r w:rsidRPr="003F5D55">
        <w:t xml:space="preserve"> Siehe: </w:t>
      </w:r>
      <w:hyperlink r:id="rId146" w:history="1">
        <w:r w:rsidRPr="00A43BFF">
          <w:rPr>
            <w:rStyle w:val="Hyperlink"/>
          </w:rPr>
          <w:t>https://unfccc.int/sites/default/files/resource/Summary_GCA_COP28.pdf</w:t>
        </w:r>
      </w:hyperlink>
      <w:r>
        <w:t xml:space="preserve"> - Zugegriffen: 22.12.2023. </w:t>
      </w:r>
    </w:p>
  </w:footnote>
  <w:footnote w:id="181">
    <w:p w14:paraId="2CFADE89" w14:textId="77777777" w:rsidR="00112190" w:rsidRDefault="00112190" w:rsidP="00112190">
      <w:pPr>
        <w:pStyle w:val="Funotentext"/>
      </w:pPr>
      <w:r>
        <w:rPr>
          <w:rStyle w:val="Funotenzeichen"/>
        </w:rPr>
        <w:footnoteRef/>
      </w:r>
      <w:r>
        <w:t xml:space="preserve"> Siehe die Webseite der PPCA: </w:t>
      </w:r>
      <w:hyperlink r:id="rId147" w:history="1">
        <w:r w:rsidRPr="005C07CB">
          <w:rPr>
            <w:rStyle w:val="Hyperlink"/>
          </w:rPr>
          <w:t>https://poweringpastcoal.org/</w:t>
        </w:r>
      </w:hyperlink>
      <w:r>
        <w:t xml:space="preserve"> </w:t>
      </w:r>
    </w:p>
  </w:footnote>
  <w:footnote w:id="182">
    <w:p w14:paraId="2F37E9CA" w14:textId="77777777" w:rsidR="00112190" w:rsidRPr="00516C69" w:rsidRDefault="00112190" w:rsidP="00112190">
      <w:pPr>
        <w:pStyle w:val="Funotentext"/>
        <w:rPr>
          <w:lang w:val="en-GB"/>
        </w:rPr>
      </w:pPr>
      <w:r>
        <w:rPr>
          <w:rStyle w:val="Funotenzeichen"/>
        </w:rPr>
        <w:footnoteRef/>
      </w:r>
      <w:r>
        <w:t xml:space="preserve"> Siehe: </w:t>
      </w:r>
      <w:r w:rsidRPr="0096484C">
        <w:t xml:space="preserve">Christian Geinitz. Kann nur noch die Kernkraft die Erde retten? </w:t>
      </w:r>
      <w:r w:rsidRPr="00516C69">
        <w:rPr>
          <w:lang w:val="en-GB"/>
        </w:rPr>
        <w:t>FAZ, 02.12.2023.</w:t>
      </w:r>
    </w:p>
  </w:footnote>
  <w:footnote w:id="183">
    <w:p w14:paraId="0F10B0D2" w14:textId="77777777" w:rsidR="00112190" w:rsidRPr="005A3DE6" w:rsidRDefault="00112190" w:rsidP="00112190">
      <w:pPr>
        <w:pStyle w:val="Funotentext"/>
        <w:rPr>
          <w:lang w:val="en-GB"/>
        </w:rPr>
      </w:pPr>
      <w:r>
        <w:rPr>
          <w:rStyle w:val="Funotenzeichen"/>
        </w:rPr>
        <w:footnoteRef/>
      </w:r>
      <w:r w:rsidRPr="005A3DE6">
        <w:rPr>
          <w:lang w:val="en-GB"/>
        </w:rPr>
        <w:t xml:space="preserve"> U.S. Department of Energy, 02.12.2023: </w:t>
      </w:r>
      <w:hyperlink r:id="rId148" w:history="1">
        <w:r w:rsidRPr="005A3DE6">
          <w:rPr>
            <w:rStyle w:val="Hyperlink"/>
            <w:lang w:val="en-GB"/>
          </w:rPr>
          <w:t>https://www.energy.gov/articles/cop28-countries-launch-declaration-triple-nuclear-energy-capacity-2050-recognizing-key</w:t>
        </w:r>
      </w:hyperlink>
      <w:r w:rsidRPr="005A3DE6">
        <w:rPr>
          <w:lang w:val="en-GB"/>
        </w:rPr>
        <w:t xml:space="preserve"> - </w:t>
      </w:r>
      <w:proofErr w:type="spellStart"/>
      <w:r w:rsidRPr="005A3DE6">
        <w:rPr>
          <w:lang w:val="en-GB"/>
        </w:rPr>
        <w:t>Zugegriffen</w:t>
      </w:r>
      <w:proofErr w:type="spellEnd"/>
      <w:r w:rsidRPr="005A3DE6">
        <w:rPr>
          <w:lang w:val="en-GB"/>
        </w:rPr>
        <w:t xml:space="preserve">: 02.12.2023. </w:t>
      </w:r>
    </w:p>
  </w:footnote>
  <w:footnote w:id="184">
    <w:p w14:paraId="0E5C11E1" w14:textId="77777777" w:rsidR="00112190" w:rsidRDefault="00112190" w:rsidP="00112190">
      <w:pPr>
        <w:pStyle w:val="Funotentext"/>
      </w:pPr>
      <w:r>
        <w:rPr>
          <w:rStyle w:val="Funotenzeichen"/>
        </w:rPr>
        <w:footnoteRef/>
      </w:r>
      <w:r>
        <w:t xml:space="preserve"> Weiter unterstützten die Deklaration: Bulgarien, Finnland, die Niederlande, Polen, Rumänien, Schweden, die Slowakei, Slowenien, Tschechien, Ungarn, Moldawien, die Ukraine, Marokko, Ghana und die Mongolei. Siehe: Christian Geinitz. Kann nur noch die Kernkraft die Erde retten? FAZ, 02.12.2023. </w:t>
      </w:r>
    </w:p>
  </w:footnote>
  <w:footnote w:id="185">
    <w:p w14:paraId="7D2690F1" w14:textId="77777777" w:rsidR="00112190" w:rsidRDefault="00112190" w:rsidP="00112190">
      <w:pPr>
        <w:pStyle w:val="Funotentext"/>
      </w:pPr>
      <w:r>
        <w:rPr>
          <w:rStyle w:val="Funotenzeichen"/>
        </w:rPr>
        <w:footnoteRef/>
      </w:r>
      <w:r>
        <w:t xml:space="preserve"> Siehe: </w:t>
      </w:r>
      <w:hyperlink r:id="rId149" w:history="1">
        <w:r w:rsidRPr="005C07CB">
          <w:rPr>
            <w:rStyle w:val="Hyperlink"/>
          </w:rPr>
          <w:t>https://de.wikipedia.org/wiki/Liste_der_Kernreaktoren_in_der_Volksrepublik_China</w:t>
        </w:r>
      </w:hyperlink>
      <w:r>
        <w:t xml:space="preserve"> - Zugegriffen: 02.12.2023.</w:t>
      </w:r>
    </w:p>
  </w:footnote>
  <w:footnote w:id="186">
    <w:p w14:paraId="0AA78094" w14:textId="2B6EA111" w:rsidR="00D33AA9" w:rsidRDefault="00D33AA9">
      <w:pPr>
        <w:pStyle w:val="Funotentext"/>
      </w:pPr>
      <w:r>
        <w:rPr>
          <w:rStyle w:val="Funotenzeichen"/>
        </w:rPr>
        <w:footnoteRef/>
      </w:r>
      <w:r>
        <w:t xml:space="preserve"> Siehe: </w:t>
      </w:r>
      <w:hyperlink r:id="rId150" w:history="1">
        <w:r w:rsidRPr="002D6409">
          <w:rPr>
            <w:rStyle w:val="Hyperlink"/>
          </w:rPr>
          <w:t>https://unfccc.int/news/june-climate-meetings-take-modest-steps-forward-steep-mountain-still-to-climb-ahead-of-cop29</w:t>
        </w:r>
      </w:hyperlink>
      <w:r>
        <w:t xml:space="preserve"> - Zugegriffen: 16.06.2024. </w:t>
      </w:r>
    </w:p>
  </w:footnote>
  <w:footnote w:id="187">
    <w:p w14:paraId="25D96FB6" w14:textId="09A4CBFF" w:rsidR="00E5697C" w:rsidRDefault="00E5697C">
      <w:pPr>
        <w:pStyle w:val="Funotentext"/>
      </w:pPr>
      <w:r>
        <w:rPr>
          <w:rStyle w:val="Funotenzeichen"/>
        </w:rPr>
        <w:footnoteRef/>
      </w:r>
      <w:r>
        <w:t xml:space="preserve"> Dieser gesamte Abschnitt basiert auf den Informationen aus dem Artikel der FAZ: In Bonn bleiben die Billionenfragen unbeantwortet. FAZ, 14.06.2024. </w:t>
      </w:r>
    </w:p>
  </w:footnote>
  <w:footnote w:id="188">
    <w:p w14:paraId="6DB1EC0D" w14:textId="592FCAE3" w:rsidR="00E23ECE" w:rsidRDefault="00E23ECE">
      <w:pPr>
        <w:pStyle w:val="Funotentext"/>
      </w:pPr>
      <w:r>
        <w:rPr>
          <w:rStyle w:val="Funotenzeichen"/>
        </w:rPr>
        <w:footnoteRef/>
      </w:r>
      <w:r>
        <w:t xml:space="preserve"> Lukas Fuhr. Halbzeit in der Arena. FAZ, 16.11.2024. </w:t>
      </w:r>
    </w:p>
  </w:footnote>
  <w:footnote w:id="189">
    <w:p w14:paraId="613DF2D0" w14:textId="17B2F9D4" w:rsidR="008B0F59" w:rsidRDefault="008B0F59">
      <w:pPr>
        <w:pStyle w:val="Funotentext"/>
      </w:pPr>
      <w:r>
        <w:rPr>
          <w:rStyle w:val="Funotenzeichen"/>
        </w:rPr>
        <w:footnoteRef/>
      </w:r>
      <w:r>
        <w:t xml:space="preserve"> </w:t>
      </w:r>
      <w:r w:rsidR="009E3040">
        <w:t xml:space="preserve">Siehe Lukas Fuhr FAZ Seite: </w:t>
      </w:r>
      <w:hyperlink r:id="rId151" w:history="1">
        <w:r w:rsidR="009E3040" w:rsidRPr="00187BF9">
          <w:rPr>
            <w:rStyle w:val="Hyperlink"/>
          </w:rPr>
          <w:t>https://www.faz.net/redaktion/lukas-fuhr-18155570.html?offset=1</w:t>
        </w:r>
      </w:hyperlink>
      <w:r w:rsidR="009E3040">
        <w:t xml:space="preserve"> – Zugegriffen: 11.04.2025.</w:t>
      </w:r>
    </w:p>
  </w:footnote>
  <w:footnote w:id="190">
    <w:p w14:paraId="5864F9EF" w14:textId="2BF7B982" w:rsidR="00CA3799" w:rsidRPr="00CA3799" w:rsidRDefault="00CA3799">
      <w:pPr>
        <w:pStyle w:val="Funotentext"/>
      </w:pPr>
      <w:r>
        <w:rPr>
          <w:rStyle w:val="Funotenzeichen"/>
        </w:rPr>
        <w:footnoteRef/>
      </w:r>
      <w:r>
        <w:t xml:space="preserve"> Siehe Lukas Fuhr. Viel Gezerre ums Geld. </w:t>
      </w:r>
      <w:r w:rsidRPr="00CA3799">
        <w:t xml:space="preserve">FAZ, 14.11.2024: </w:t>
      </w:r>
      <w:hyperlink r:id="rId152" w:history="1">
        <w:r w:rsidRPr="00CA3799">
          <w:rPr>
            <w:rStyle w:val="Hyperlink"/>
          </w:rPr>
          <w:t>https://www.faz.net/pro/weltwirtschaft/klima-ressourcen/die-weltklimakonferenz-cop29-ringt-um-klimahilfen-fuer-arme-laender-110108427.html</w:t>
        </w:r>
      </w:hyperlink>
      <w:r w:rsidRPr="00CA3799">
        <w:t xml:space="preserve"> - Zu</w:t>
      </w:r>
      <w:r>
        <w:t xml:space="preserve">gegriffen: 11.04.2025. </w:t>
      </w:r>
    </w:p>
  </w:footnote>
  <w:footnote w:id="191">
    <w:p w14:paraId="19BD5CD2" w14:textId="5D92F49D" w:rsidR="00522EDD" w:rsidRDefault="00522EDD">
      <w:pPr>
        <w:pStyle w:val="Funotentext"/>
      </w:pPr>
      <w:r>
        <w:rPr>
          <w:rStyle w:val="Funotenzeichen"/>
        </w:rPr>
        <w:footnoteRef/>
      </w:r>
      <w:r>
        <w:t xml:space="preserve"> Siehe Lukas Fuhr. Kommentar. Von der Klimadiplomatie ist gerade nichts zu erwarten, FAZ, 24.11.2024: </w:t>
      </w:r>
      <w:hyperlink r:id="rId153" w:history="1">
        <w:r w:rsidRPr="00187BF9">
          <w:rPr>
            <w:rStyle w:val="Hyperlink"/>
          </w:rPr>
          <w:t>https://www.faz.net/aktuell/politik/ausland/cop29-zeigt-warum-von-klima-diplomatie-gerade-nicht-viel-zu-erwarten-ist-110131612.html</w:t>
        </w:r>
      </w:hyperlink>
      <w:r>
        <w:t xml:space="preserve"> – Zugegriffen: 11.04.2025.</w:t>
      </w:r>
    </w:p>
  </w:footnote>
  <w:footnote w:id="192">
    <w:p w14:paraId="6158A977" w14:textId="7CA239F7" w:rsidR="00522EDD" w:rsidRDefault="00522EDD">
      <w:pPr>
        <w:pStyle w:val="Funotentext"/>
      </w:pPr>
      <w:r>
        <w:rPr>
          <w:rStyle w:val="Funotenzeichen"/>
        </w:rPr>
        <w:footnoteRef/>
      </w:r>
      <w:r>
        <w:t xml:space="preserve"> Siehe Linda Schneider. Die COP29 verschärft die Klimaungerechtigkeit. Heinrich Böll Stiftung, 29.11.2024: </w:t>
      </w:r>
      <w:hyperlink r:id="rId154" w:history="1">
        <w:r w:rsidRPr="00187BF9">
          <w:rPr>
            <w:rStyle w:val="Hyperlink"/>
          </w:rPr>
          <w:t>https://www.boell.de/de/2024/11/29/die-cop29-verschaerft-die-klimaungerechtigkeit?gad_source=1&amp;gclid=CjwKCAjw--K_BhB5EiwAuwYoysyXYFil09XUfEm2iOtxg1eHgBGzcjQIkt7mdhyRqNU2L37WkalEoBoCKd8QAvD_BwE</w:t>
        </w:r>
      </w:hyperlink>
      <w:r>
        <w:t xml:space="preserve"> – Zugegriffen: 11.04.2025. </w:t>
      </w:r>
    </w:p>
  </w:footnote>
  <w:footnote w:id="193">
    <w:p w14:paraId="7FACDE92" w14:textId="77777777" w:rsidR="00F24C97" w:rsidRDefault="00F24C97" w:rsidP="00F24C97">
      <w:pPr>
        <w:pStyle w:val="Funotentext"/>
      </w:pPr>
      <w:r>
        <w:rPr>
          <w:rStyle w:val="Funotenzeichen"/>
        </w:rPr>
        <w:footnoteRef/>
      </w:r>
      <w:r>
        <w:t xml:space="preserve"> Siehe: </w:t>
      </w:r>
      <w:hyperlink r:id="rId155" w:history="1">
        <w:r w:rsidRPr="00B16A30">
          <w:rPr>
            <w:rStyle w:val="Hyperlink"/>
          </w:rPr>
          <w:t>https://globalmatchmakingplatform.climate-club.org/wp-content/uploads/COP29-Global-Pledge-Scaling-International-Assistance-for-Industry-Decarbonisation-.pdf</w:t>
        </w:r>
      </w:hyperlink>
      <w:r>
        <w:t xml:space="preserve"> - Zugegriffen: 27.04.2025.</w:t>
      </w:r>
    </w:p>
  </w:footnote>
  <w:footnote w:id="194">
    <w:p w14:paraId="25E3890B" w14:textId="77777777" w:rsidR="00F24C97" w:rsidRDefault="00F24C97" w:rsidP="00F24C97">
      <w:pPr>
        <w:pStyle w:val="Funotentext"/>
      </w:pPr>
      <w:r>
        <w:rPr>
          <w:rStyle w:val="Funotenzeichen"/>
        </w:rPr>
        <w:footnoteRef/>
      </w:r>
      <w:r>
        <w:t xml:space="preserve"> Siehe: </w:t>
      </w:r>
      <w:hyperlink r:id="rId156" w:history="1">
        <w:r w:rsidRPr="00B16A30">
          <w:rPr>
            <w:rStyle w:val="Hyperlink"/>
          </w:rPr>
          <w:t>https://globalmatchmakingplatform.climate-club.org/wp-content/uploads/COP29-Global-Pledge-Scaling-International-Assistance-for-Industry-Decarbonisation-.pdf</w:t>
        </w:r>
      </w:hyperlink>
      <w:r>
        <w:t xml:space="preserve"> - Zugegriffen: 27.04.2025.</w:t>
      </w:r>
    </w:p>
  </w:footnote>
  <w:footnote w:id="195">
    <w:p w14:paraId="12ECD30E" w14:textId="77777777" w:rsidR="00F24C97" w:rsidRDefault="00F24C97" w:rsidP="00F24C97">
      <w:pPr>
        <w:pStyle w:val="Funotentext"/>
      </w:pPr>
      <w:r>
        <w:rPr>
          <w:rStyle w:val="Funotenzeichen"/>
        </w:rPr>
        <w:footnoteRef/>
      </w:r>
      <w:r>
        <w:t xml:space="preserve"> Siehe: </w:t>
      </w:r>
      <w:hyperlink r:id="rId157" w:history="1">
        <w:r w:rsidRPr="00B16A30">
          <w:rPr>
            <w:rStyle w:val="Hyperlink"/>
          </w:rPr>
          <w:t>https://www.oecd.org/en/publications/mapping-financial-and-technical-assistance-for-industry-decarbonisation-in-emerging-markets-and-developing-economies_7ecda2b7-en.html</w:t>
        </w:r>
      </w:hyperlink>
      <w:r>
        <w:t xml:space="preserve"> - Zugegriffen: 27.04.2025. </w:t>
      </w:r>
    </w:p>
  </w:footnote>
  <w:footnote w:id="196">
    <w:p w14:paraId="22696BEC" w14:textId="77777777" w:rsidR="00F24C97" w:rsidRDefault="00F24C97" w:rsidP="00F24C97">
      <w:pPr>
        <w:pStyle w:val="Funotentext"/>
      </w:pPr>
      <w:r>
        <w:rPr>
          <w:rStyle w:val="Funotenzeichen"/>
        </w:rPr>
        <w:footnoteRef/>
      </w:r>
      <w:r>
        <w:t xml:space="preserve"> Siehe: </w:t>
      </w:r>
      <w:hyperlink r:id="rId158" w:history="1">
        <w:r w:rsidRPr="00B16A30">
          <w:rPr>
            <w:rStyle w:val="Hyperlink"/>
          </w:rPr>
          <w:t>https://www.oecd.org/en/publications/mapping-financial-and-technical-assistance-for-industry-decarbonisation-in-emerging-markets-and-developing-economies_7ecda2b7-en.html</w:t>
        </w:r>
      </w:hyperlink>
      <w:r>
        <w:t xml:space="preserve"> - Zugegriffen: 27.04.2025.  </w:t>
      </w:r>
    </w:p>
  </w:footnote>
  <w:footnote w:id="197">
    <w:p w14:paraId="415DFA2D" w14:textId="77777777" w:rsidR="00F24C97" w:rsidRDefault="00F24C97" w:rsidP="00F24C97">
      <w:pPr>
        <w:pStyle w:val="Funotentext"/>
      </w:pPr>
      <w:r>
        <w:rPr>
          <w:rStyle w:val="Funotenzeichen"/>
        </w:rPr>
        <w:footnoteRef/>
      </w:r>
      <w:r>
        <w:t xml:space="preserve"> Siehe: </w:t>
      </w:r>
      <w:hyperlink r:id="rId159" w:history="1">
        <w:r w:rsidRPr="00B16A30">
          <w:rPr>
            <w:rStyle w:val="Hyperlink"/>
          </w:rPr>
          <w:t>https://globalmatchmakingplatform.climate-club.org/</w:t>
        </w:r>
      </w:hyperlink>
      <w:r>
        <w:t xml:space="preserve"> - Zugegriffen: 27.04.2025. </w:t>
      </w:r>
    </w:p>
  </w:footnote>
  <w:footnote w:id="198">
    <w:p w14:paraId="64E07DAB" w14:textId="77777777" w:rsidR="00074946" w:rsidRDefault="00074946" w:rsidP="00074946">
      <w:pPr>
        <w:pStyle w:val="Funotentext"/>
      </w:pPr>
      <w:r>
        <w:rPr>
          <w:rStyle w:val="Funotenzeichen"/>
        </w:rPr>
        <w:footnoteRef/>
      </w:r>
      <w:r>
        <w:t xml:space="preserve"> </w:t>
      </w:r>
      <w:r w:rsidRPr="00B94BEF">
        <w:t xml:space="preserve">USA, Kanada, Deutschland, Norwegen, Schweden, Finnland, Niederlande, Belgien, Frankreich, Italien, Spanien, Polen, Japan, Südkorea, Taiwan, </w:t>
      </w:r>
      <w:proofErr w:type="gramStart"/>
      <w:r w:rsidRPr="00B94BEF">
        <w:t>Australien  –</w:t>
      </w:r>
      <w:proofErr w:type="gramEnd"/>
      <w:r w:rsidRPr="00B94BEF">
        <w:t xml:space="preserve"> und einige Ölländer</w:t>
      </w:r>
      <w:r>
        <w:t xml:space="preserve">, z.B. </w:t>
      </w:r>
      <w:proofErr w:type="gramStart"/>
      <w:r>
        <w:t>Saudi Arabien</w:t>
      </w:r>
      <w:proofErr w:type="gramEnd"/>
      <w:r>
        <w:t xml:space="preserve">, Dubai, Vereinigte Arabische Emirate und Kuwait.  </w:t>
      </w:r>
    </w:p>
  </w:footnote>
  <w:footnote w:id="199">
    <w:p w14:paraId="3E409063" w14:textId="2B998785" w:rsidR="00D870C5" w:rsidRDefault="00D870C5">
      <w:pPr>
        <w:pStyle w:val="Funotentext"/>
      </w:pPr>
      <w:r>
        <w:rPr>
          <w:rStyle w:val="Funotenzeichen"/>
        </w:rPr>
        <w:footnoteRef/>
      </w:r>
      <w:r>
        <w:t xml:space="preserve"> So die Erklärung (mit meinen Beispielen) in der Helaba Studie über freiwillige CO2-Kompensationsmärkte: </w:t>
      </w:r>
      <w:hyperlink r:id="rId160" w:history="1">
        <w:r w:rsidRPr="00D06719">
          <w:rPr>
            <w:rStyle w:val="Hyperlink"/>
          </w:rPr>
          <w:t>https://www.helaba.com/media/docs/de/presse/news/studie-freiwillige-co2-kompensation-helaba-response.pdf</w:t>
        </w:r>
      </w:hyperlink>
      <w:r>
        <w:t xml:space="preserve"> - Zugegriffen: 30.06.2025.  </w:t>
      </w:r>
    </w:p>
  </w:footnote>
  <w:footnote w:id="200">
    <w:p w14:paraId="56C547EE" w14:textId="77777777" w:rsidR="00CA3799" w:rsidRDefault="00CA3799" w:rsidP="00CA3799">
      <w:pPr>
        <w:pStyle w:val="Funotentext"/>
      </w:pPr>
      <w:r>
        <w:rPr>
          <w:rStyle w:val="Funotenzeichen"/>
        </w:rPr>
        <w:footnoteRef/>
      </w:r>
      <w:r>
        <w:t xml:space="preserve"> Siehe die Broschüre von Atmosfair, in denen dies erklärt wird: </w:t>
      </w:r>
      <w:hyperlink r:id="rId161" w:history="1">
        <w:r w:rsidRPr="000627E7">
          <w:rPr>
            <w:rStyle w:val="Hyperlink"/>
          </w:rPr>
          <w:t>https://www.atmosfair.de/wp-content/uploads/news-wald-fur-den-klimaschutz-18012023.pdf</w:t>
        </w:r>
      </w:hyperlink>
      <w:r>
        <w:t xml:space="preserve"> - Zugegriffen: 22.12.2023. </w:t>
      </w:r>
    </w:p>
  </w:footnote>
  <w:footnote w:id="201">
    <w:p w14:paraId="696563E7" w14:textId="77777777" w:rsidR="00CA3799" w:rsidRPr="00E27C20" w:rsidRDefault="00CA3799" w:rsidP="00CA3799">
      <w:pPr>
        <w:pStyle w:val="Funotentext"/>
      </w:pPr>
      <w:r>
        <w:rPr>
          <w:rStyle w:val="Funotenzeichen"/>
        </w:rPr>
        <w:footnoteRef/>
      </w:r>
      <w:r>
        <w:t xml:space="preserve"> Nur 2 % der Projekte waren aus Umweltsicht hochwertig. </w:t>
      </w:r>
      <w:r w:rsidRPr="000F41EB">
        <w:t xml:space="preserve">Riehl et al. 2019: 2. Siehe: Patrick Greenfield. </w:t>
      </w:r>
      <w:r w:rsidRPr="00FA0F0A">
        <w:rPr>
          <w:lang w:val="en-GB"/>
        </w:rPr>
        <w:t>Revealed: more than 90% of rainforest carbon offsets by biggest certifier are worthless, analysis shows</w:t>
      </w:r>
      <w:r>
        <w:rPr>
          <w:lang w:val="en-GB"/>
        </w:rPr>
        <w:t xml:space="preserve">. </w:t>
      </w:r>
      <w:r w:rsidRPr="00666D77">
        <w:t xml:space="preserve">The Guardian, 18.01.2023. </w:t>
      </w:r>
      <w:r w:rsidRPr="00E27C20">
        <w:t xml:space="preserve">Siehe: </w:t>
      </w:r>
      <w:hyperlink r:id="rId162" w:history="1">
        <w:r w:rsidRPr="00E27C20">
          <w:rPr>
            <w:rStyle w:val="Hyperlink"/>
          </w:rPr>
          <w:t>https://www.theguardian.com/environment/2023/jan/18/revealed-forest-carbon-offsets-biggest-provider-worthless-verra-aoe</w:t>
        </w:r>
      </w:hyperlink>
      <w:r w:rsidRPr="00E27C20">
        <w:t xml:space="preserve"> </w:t>
      </w:r>
      <w:r>
        <w:t xml:space="preserve">- Zugegriffen: 17.01.2024. </w:t>
      </w:r>
      <w:r w:rsidRPr="00E27C20">
        <w:t xml:space="preserve"> </w:t>
      </w:r>
    </w:p>
  </w:footnote>
  <w:footnote w:id="202">
    <w:p w14:paraId="343F17E7" w14:textId="77777777" w:rsidR="006E3C2D" w:rsidRDefault="006E3C2D" w:rsidP="006E3C2D">
      <w:pPr>
        <w:pStyle w:val="Funotentext"/>
      </w:pPr>
      <w:r>
        <w:rPr>
          <w:rStyle w:val="Funotenzeichen"/>
        </w:rPr>
        <w:footnoteRef/>
      </w:r>
      <w:r>
        <w:t xml:space="preserve"> Hendrick Kafsack, Johannes Pennekamp. Die Fallstricke des EU-Klimaziels. FAZ, 03.07.2025. </w:t>
      </w:r>
    </w:p>
  </w:footnote>
  <w:footnote w:id="203">
    <w:p w14:paraId="71B68B14" w14:textId="77777777" w:rsidR="00CA3799" w:rsidRPr="00AA3B90" w:rsidRDefault="00CA3799" w:rsidP="00CA3799">
      <w:pPr>
        <w:pStyle w:val="Funotentext"/>
      </w:pPr>
      <w:r>
        <w:rPr>
          <w:rStyle w:val="Funotenzeichen"/>
        </w:rPr>
        <w:footnoteRef/>
      </w:r>
      <w:r w:rsidRPr="00AA3B90">
        <w:t xml:space="preserve"> </w:t>
      </w:r>
      <w:r>
        <w:t>Letzter Satzteil, s</w:t>
      </w:r>
      <w:r w:rsidRPr="00AA3B90">
        <w:t>i</w:t>
      </w:r>
      <w:r>
        <w:t xml:space="preserve">ehe DEHST Webseite: </w:t>
      </w:r>
      <w:hyperlink r:id="rId163" w:history="1">
        <w:r w:rsidRPr="00464CE2">
          <w:rPr>
            <w:rStyle w:val="Hyperlink"/>
          </w:rPr>
          <w:t>https://www.dehst.de/DE/Klimaschutzprojekte/Projektmechanismen/Mechanismus-fuer-umweltvertraegliche-Entwicklung-CDM/mechanismus-fuer-umweltvertraegliche-entwicklung-cdm-node.html</w:t>
        </w:r>
      </w:hyperlink>
      <w:r>
        <w:t xml:space="preserve"> - Zugegriffen: 23.12.2023. </w:t>
      </w:r>
    </w:p>
  </w:footnote>
  <w:footnote w:id="204">
    <w:p w14:paraId="03026944" w14:textId="77777777" w:rsidR="00CA3799" w:rsidRDefault="00CA3799" w:rsidP="00CA3799">
      <w:pPr>
        <w:pStyle w:val="Funotentext"/>
      </w:pPr>
      <w:r>
        <w:rPr>
          <w:rStyle w:val="Funotenzeichen"/>
        </w:rPr>
        <w:footnoteRef/>
      </w:r>
      <w:r>
        <w:t xml:space="preserve"> Dies muss noch abschließend geklärt werden. Webseiten zu Art. 6 sind UN Climate Change: </w:t>
      </w:r>
      <w:hyperlink r:id="rId164" w:history="1">
        <w:r w:rsidRPr="00464CE2">
          <w:rPr>
            <w:rStyle w:val="Hyperlink"/>
          </w:rPr>
          <w:t>https://unfccc.int/process-and-meetings/the-paris-agreement/article-64-mechanism</w:t>
        </w:r>
      </w:hyperlink>
      <w:r>
        <w:t xml:space="preserve"> - </w:t>
      </w:r>
    </w:p>
  </w:footnote>
  <w:footnote w:id="205">
    <w:p w14:paraId="55D96209" w14:textId="77777777" w:rsidR="00CA3799" w:rsidRDefault="00CA3799" w:rsidP="00CA3799">
      <w:pPr>
        <w:pStyle w:val="Funotentext"/>
      </w:pPr>
      <w:r>
        <w:rPr>
          <w:rStyle w:val="Funotenzeichen"/>
        </w:rPr>
        <w:footnoteRef/>
      </w:r>
      <w:r>
        <w:t xml:space="preserve"> Siehe: </w:t>
      </w:r>
      <w:hyperlink r:id="rId165" w:history="1">
        <w:r w:rsidRPr="00DF4684">
          <w:rPr>
            <w:rStyle w:val="Hyperlink"/>
          </w:rPr>
          <w:t>https://eur-lex.europa.eu/legal-content/DE/TXT/PDF/?uri=CELEX:22016A1019(01)</w:t>
        </w:r>
      </w:hyperlink>
      <w:r>
        <w:t xml:space="preserve"> – Zugegriffen: 10.04.2025. </w:t>
      </w:r>
    </w:p>
  </w:footnote>
  <w:footnote w:id="206">
    <w:p w14:paraId="0F92E191" w14:textId="77777777" w:rsidR="00CA3799" w:rsidRDefault="00CA3799" w:rsidP="00CA3799">
      <w:pPr>
        <w:pStyle w:val="Funotentext"/>
      </w:pPr>
      <w:r>
        <w:rPr>
          <w:rStyle w:val="Funotenzeichen"/>
        </w:rPr>
        <w:footnoteRef/>
      </w:r>
      <w:r>
        <w:t xml:space="preserve"> Marcu 2021: 3.</w:t>
      </w:r>
    </w:p>
  </w:footnote>
  <w:footnote w:id="207">
    <w:p w14:paraId="10E4398A" w14:textId="77777777" w:rsidR="00CA3799" w:rsidRDefault="00CA3799" w:rsidP="00CA3799">
      <w:pPr>
        <w:pStyle w:val="Funotentext"/>
      </w:pPr>
      <w:r>
        <w:rPr>
          <w:rStyle w:val="Funotenzeichen"/>
        </w:rPr>
        <w:footnoteRef/>
      </w:r>
      <w:r>
        <w:t xml:space="preserve"> Riehl et al. 2019: 2</w:t>
      </w:r>
    </w:p>
  </w:footnote>
  <w:footnote w:id="208">
    <w:p w14:paraId="1E803003" w14:textId="77777777" w:rsidR="00CA3799" w:rsidRDefault="00CA3799" w:rsidP="00CA3799">
      <w:pPr>
        <w:pStyle w:val="Funotentext"/>
      </w:pPr>
      <w:r>
        <w:rPr>
          <w:rStyle w:val="Funotenzeichen"/>
        </w:rPr>
        <w:footnoteRef/>
      </w:r>
      <w:r>
        <w:t xml:space="preserve"> Siehe Session CMA3, </w:t>
      </w:r>
      <w:r w:rsidRPr="007E4F5F">
        <w:t>FCCC/PA/CMA/2021/10/Add.1</w:t>
      </w:r>
      <w:r>
        <w:t xml:space="preserve">: </w:t>
      </w:r>
      <w:hyperlink r:id="rId166" w:history="1">
        <w:r w:rsidRPr="00464CE2">
          <w:rPr>
            <w:rStyle w:val="Hyperlink"/>
          </w:rPr>
          <w:t>https://unfccc.int/documents/460950</w:t>
        </w:r>
      </w:hyperlink>
      <w:r>
        <w:t xml:space="preserve"> - Zugegriffen: 22.12.2023. Siehe dazu auch: </w:t>
      </w:r>
      <w:r w:rsidRPr="00747C4A">
        <w:t>Marcu 202</w:t>
      </w:r>
      <w:r>
        <w:t>1.</w:t>
      </w:r>
    </w:p>
  </w:footnote>
  <w:footnote w:id="209">
    <w:p w14:paraId="36BEA481" w14:textId="77777777" w:rsidR="00CA3799" w:rsidRDefault="00CA3799" w:rsidP="00CA3799">
      <w:pPr>
        <w:pStyle w:val="Funotentext"/>
      </w:pPr>
      <w:r>
        <w:rPr>
          <w:rStyle w:val="Funotenzeichen"/>
        </w:rPr>
        <w:footnoteRef/>
      </w:r>
      <w:r>
        <w:t xml:space="preserve"> Marcu 2021: 8.</w:t>
      </w:r>
    </w:p>
  </w:footnote>
  <w:footnote w:id="210">
    <w:p w14:paraId="4AB9B24B" w14:textId="77777777" w:rsidR="00CA3799" w:rsidRDefault="00CA3799" w:rsidP="00CA3799">
      <w:pPr>
        <w:pStyle w:val="Funotentext"/>
      </w:pPr>
      <w:r>
        <w:rPr>
          <w:rStyle w:val="Funotenzeichen"/>
        </w:rPr>
        <w:footnoteRef/>
      </w:r>
      <w:r>
        <w:t xml:space="preserve"> Marcu 2021: 11.</w:t>
      </w:r>
    </w:p>
  </w:footnote>
  <w:footnote w:id="211">
    <w:p w14:paraId="50F9C162" w14:textId="77777777" w:rsidR="00CA3799" w:rsidRPr="000B2E59" w:rsidRDefault="00CA3799" w:rsidP="00CA3799">
      <w:pPr>
        <w:pStyle w:val="Funotentext"/>
      </w:pPr>
      <w:r>
        <w:rPr>
          <w:rStyle w:val="Funotenzeichen"/>
        </w:rPr>
        <w:footnoteRef/>
      </w:r>
      <w:r w:rsidRPr="000B2E59">
        <w:t xml:space="preserve"> FCCC/TP/2023/3, siehe: </w:t>
      </w:r>
      <w:hyperlink r:id="rId167" w:history="1">
        <w:r w:rsidRPr="000627E7">
          <w:rPr>
            <w:rStyle w:val="Hyperlink"/>
          </w:rPr>
          <w:t>https://unfccc.int/sites/default/files/resource/tp2023_03_0.pdf?download</w:t>
        </w:r>
      </w:hyperlink>
      <w:r>
        <w:t xml:space="preserve"> – Zugegriffen: 22.12.2023. </w:t>
      </w:r>
    </w:p>
  </w:footnote>
  <w:footnote w:id="212">
    <w:p w14:paraId="187CBA26" w14:textId="77777777" w:rsidR="00CA3799" w:rsidRPr="000B2E59" w:rsidRDefault="00CA3799" w:rsidP="00CA3799">
      <w:pPr>
        <w:pStyle w:val="Funotentext"/>
      </w:pPr>
      <w:r>
        <w:rPr>
          <w:rStyle w:val="Funotenzeichen"/>
        </w:rPr>
        <w:footnoteRef/>
      </w:r>
      <w:r w:rsidRPr="000B2E59">
        <w:rPr>
          <w:lang w:val="en-GB"/>
        </w:rPr>
        <w:t xml:space="preserve"> Decision -/CMP.18 Guidance relating to</w:t>
      </w:r>
      <w:r>
        <w:rPr>
          <w:lang w:val="en-GB"/>
        </w:rPr>
        <w:t xml:space="preserve"> the clean development mechanism. </w:t>
      </w:r>
      <w:r w:rsidRPr="000B2E59">
        <w:t xml:space="preserve">Siehe: </w:t>
      </w:r>
      <w:hyperlink r:id="rId168" w:history="1">
        <w:r w:rsidRPr="000627E7">
          <w:rPr>
            <w:rStyle w:val="Hyperlink"/>
          </w:rPr>
          <w:t>https://unfccc.int/sites/default/files/resource/cmp18_auv_5_cdm.pdf?download</w:t>
        </w:r>
      </w:hyperlink>
      <w:r>
        <w:t xml:space="preserve"> – Zugegriffen: 22.12.2023. </w:t>
      </w:r>
    </w:p>
  </w:footnote>
  <w:footnote w:id="213">
    <w:p w14:paraId="03FE0CB7" w14:textId="77777777" w:rsidR="00CA3799" w:rsidRPr="00910312" w:rsidRDefault="00CA3799" w:rsidP="00CA3799">
      <w:pPr>
        <w:pStyle w:val="Funotentext"/>
      </w:pPr>
      <w:r>
        <w:rPr>
          <w:rStyle w:val="Funotenzeichen"/>
        </w:rPr>
        <w:footnoteRef/>
      </w:r>
      <w:r w:rsidRPr="00910312">
        <w:t xml:space="preserve"> Hoch et al. 2023: III.</w:t>
      </w:r>
    </w:p>
  </w:footnote>
  <w:footnote w:id="214">
    <w:p w14:paraId="443A71D7" w14:textId="77777777" w:rsidR="00CA3799" w:rsidRPr="00F93B1A" w:rsidRDefault="00CA3799" w:rsidP="00CA3799">
      <w:pPr>
        <w:pStyle w:val="Funotentext"/>
      </w:pPr>
      <w:r>
        <w:rPr>
          <w:rStyle w:val="Funotenzeichen"/>
        </w:rPr>
        <w:footnoteRef/>
      </w:r>
      <w:r w:rsidRPr="00F93B1A">
        <w:t xml:space="preserve"> Siehe: </w:t>
      </w:r>
      <w:hyperlink r:id="rId169" w:history="1">
        <w:r w:rsidRPr="00932F3C">
          <w:rPr>
            <w:rStyle w:val="Hyperlink"/>
          </w:rPr>
          <w:t>https://www.cfp.energy/en/insight/cop29-article-6-approved</w:t>
        </w:r>
      </w:hyperlink>
      <w:r>
        <w:t xml:space="preserve"> - Zugegriffen: 10.04.2025. </w:t>
      </w:r>
    </w:p>
  </w:footnote>
  <w:footnote w:id="215">
    <w:p w14:paraId="112E2923" w14:textId="77777777" w:rsidR="00CA3799" w:rsidRDefault="00CA3799" w:rsidP="00CA3799">
      <w:pPr>
        <w:pStyle w:val="Funotentext"/>
      </w:pPr>
      <w:r>
        <w:rPr>
          <w:rStyle w:val="Funotenzeichen"/>
        </w:rPr>
        <w:footnoteRef/>
      </w:r>
      <w:r>
        <w:t xml:space="preserve"> Siehe: </w:t>
      </w:r>
      <w:hyperlink r:id="rId170" w:history="1">
        <w:r w:rsidRPr="00932F3C">
          <w:rPr>
            <w:rStyle w:val="Hyperlink"/>
          </w:rPr>
          <w:t>https://www.cfp.energy/en/insight/why-is-article-6-so-relevant-to-the-vcm-from-a-quality-and-integrity-perspective</w:t>
        </w:r>
      </w:hyperlink>
      <w:r>
        <w:t xml:space="preserve"> - Zugegriffen: 10.04.2025. </w:t>
      </w:r>
    </w:p>
  </w:footnote>
  <w:footnote w:id="216">
    <w:p w14:paraId="32ECEA00" w14:textId="77777777" w:rsidR="00CA3799" w:rsidRDefault="00CA3799" w:rsidP="00CA3799">
      <w:pPr>
        <w:pStyle w:val="Funotentext"/>
      </w:pPr>
      <w:r>
        <w:rPr>
          <w:rStyle w:val="Funotenzeichen"/>
        </w:rPr>
        <w:footnoteRef/>
      </w:r>
      <w:r>
        <w:t xml:space="preserve"> Siehe Übereinkommen von Paris, 2016: </w:t>
      </w:r>
      <w:hyperlink r:id="rId171" w:history="1">
        <w:r w:rsidRPr="00DF4684">
          <w:rPr>
            <w:rStyle w:val="Hyperlink"/>
          </w:rPr>
          <w:t>https://eur-lex.europa.eu/legal-content/DE/TXT/PDF/?uri=CELEX:22016A1019(01)</w:t>
        </w:r>
      </w:hyperlink>
      <w:r>
        <w:t xml:space="preserve"> – Zugegriffen: 10.04.2025. </w:t>
      </w:r>
    </w:p>
  </w:footnote>
  <w:footnote w:id="217">
    <w:p w14:paraId="45D9C403" w14:textId="77777777" w:rsidR="00CA3799" w:rsidRDefault="00CA3799" w:rsidP="00CA3799">
      <w:pPr>
        <w:pStyle w:val="Funotentext"/>
      </w:pPr>
      <w:r>
        <w:rPr>
          <w:rStyle w:val="Funotenzeichen"/>
        </w:rPr>
        <w:footnoteRef/>
      </w:r>
      <w:r>
        <w:t xml:space="preserve"> Siehe: </w:t>
      </w:r>
      <w:hyperlink r:id="rId172" w:history="1">
        <w:r w:rsidRPr="00932F3C">
          <w:rPr>
            <w:rStyle w:val="Hyperlink"/>
          </w:rPr>
          <w:t>https://www.cfp.energy/en/insight/why-is-article-6-so-relevant-to-the-vcm-from-a-quality-and-integrity-perspective</w:t>
        </w:r>
      </w:hyperlink>
      <w:r>
        <w:t xml:space="preserve"> - Zugegriffen: 10.04.2025. </w:t>
      </w:r>
    </w:p>
  </w:footnote>
  <w:footnote w:id="218">
    <w:p w14:paraId="4E4181E7" w14:textId="28829D47" w:rsidR="00CA3799" w:rsidRPr="00717C30" w:rsidRDefault="00CA3799" w:rsidP="00CA3799">
      <w:pPr>
        <w:pStyle w:val="Funotentext"/>
      </w:pPr>
      <w:r>
        <w:rPr>
          <w:rStyle w:val="Funotenzeichen"/>
        </w:rPr>
        <w:footnoteRef/>
      </w:r>
      <w:r w:rsidRPr="00F93B1A">
        <w:rPr>
          <w:lang w:val="en-GB"/>
        </w:rPr>
        <w:t xml:space="preserve"> </w:t>
      </w:r>
      <w:r>
        <w:rPr>
          <w:lang w:val="en-GB"/>
        </w:rPr>
        <w:t xml:space="preserve">Z.B. die </w:t>
      </w:r>
      <w:r w:rsidRPr="00F93B1A">
        <w:rPr>
          <w:lang w:val="en-GB"/>
        </w:rPr>
        <w:t>Integrity Council for the Voluntary Carbon Market’s (ICVCM) Core Carbon Principles (CCPs)</w:t>
      </w:r>
      <w:r>
        <w:rPr>
          <w:lang w:val="en-GB"/>
        </w:rPr>
        <w:t xml:space="preserve">. Für den </w:t>
      </w:r>
      <w:proofErr w:type="spellStart"/>
      <w:r>
        <w:rPr>
          <w:lang w:val="en-GB"/>
        </w:rPr>
        <w:t>Waldbereich</w:t>
      </w:r>
      <w:proofErr w:type="spellEnd"/>
      <w:r>
        <w:rPr>
          <w:lang w:val="en-GB"/>
        </w:rPr>
        <w:t xml:space="preserve"> </w:t>
      </w:r>
      <w:proofErr w:type="spellStart"/>
      <w:r>
        <w:rPr>
          <w:lang w:val="en-GB"/>
        </w:rPr>
        <w:t>wurden</w:t>
      </w:r>
      <w:proofErr w:type="spellEnd"/>
      <w:r>
        <w:rPr>
          <w:lang w:val="en-GB"/>
        </w:rPr>
        <w:t xml:space="preserve"> </w:t>
      </w:r>
      <w:proofErr w:type="spellStart"/>
      <w:r>
        <w:rPr>
          <w:lang w:val="en-GB"/>
        </w:rPr>
        <w:t>drei</w:t>
      </w:r>
      <w:proofErr w:type="spellEnd"/>
      <w:r>
        <w:rPr>
          <w:lang w:val="en-GB"/>
        </w:rPr>
        <w:t xml:space="preserve"> </w:t>
      </w:r>
      <w:proofErr w:type="spellStart"/>
      <w:r>
        <w:rPr>
          <w:lang w:val="en-GB"/>
        </w:rPr>
        <w:t>neue</w:t>
      </w:r>
      <w:proofErr w:type="spellEnd"/>
      <w:r>
        <w:rPr>
          <w:lang w:val="en-GB"/>
        </w:rPr>
        <w:t xml:space="preserve"> </w:t>
      </w:r>
      <w:proofErr w:type="spellStart"/>
      <w:r>
        <w:rPr>
          <w:lang w:val="en-GB"/>
        </w:rPr>
        <w:t>Prinzipien</w:t>
      </w:r>
      <w:proofErr w:type="spellEnd"/>
      <w:r>
        <w:rPr>
          <w:lang w:val="en-GB"/>
        </w:rPr>
        <w:t xml:space="preserve"> </w:t>
      </w:r>
      <w:proofErr w:type="spellStart"/>
      <w:r>
        <w:rPr>
          <w:lang w:val="en-GB"/>
        </w:rPr>
        <w:t>erarbeitet</w:t>
      </w:r>
      <w:proofErr w:type="spellEnd"/>
      <w:r>
        <w:rPr>
          <w:lang w:val="en-GB"/>
        </w:rPr>
        <w:t xml:space="preserve">: </w:t>
      </w:r>
      <w:r w:rsidRPr="00F93B1A">
        <w:rPr>
          <w:lang w:val="en-GB"/>
        </w:rPr>
        <w:t>ICVCM approved three forest conservation methodologies under its Core Carbon Principles (CCPs), including Verra’s recent “Reducing Emissions from Deforestation and Forest Degradation” (REDD - VM0048) methodology, as well as their Jurisdictional and Nested REDD+ framework (JNR) and Architecture for REDD+ Transactions (ART)</w:t>
      </w:r>
      <w:r>
        <w:rPr>
          <w:lang w:val="en-GB"/>
        </w:rPr>
        <w:t xml:space="preserve">. </w:t>
      </w:r>
      <w:r w:rsidR="00784049" w:rsidRPr="00717C30">
        <w:t xml:space="preserve">Hier fehlt leider die </w:t>
      </w:r>
      <w:proofErr w:type="spellStart"/>
      <w:r w:rsidR="00784049" w:rsidRPr="00717C30">
        <w:t>Fussnote</w:t>
      </w:r>
      <w:proofErr w:type="spellEnd"/>
      <w:r w:rsidR="00784049" w:rsidRPr="00717C30">
        <w:t xml:space="preserve">. Siehe: </w:t>
      </w:r>
      <w:hyperlink r:id="rId173" w:history="1">
        <w:r w:rsidR="00784049" w:rsidRPr="00717C30">
          <w:rPr>
            <w:rStyle w:val="Hyperlink"/>
          </w:rPr>
          <w:t>https://icvcm.org/</w:t>
        </w:r>
      </w:hyperlink>
      <w:r w:rsidR="00784049" w:rsidRPr="00717C30">
        <w:t xml:space="preserve"> </w:t>
      </w:r>
    </w:p>
  </w:footnote>
  <w:footnote w:id="219">
    <w:p w14:paraId="42215A74" w14:textId="77777777" w:rsidR="00CA3799" w:rsidRDefault="00CA3799" w:rsidP="00CA3799">
      <w:pPr>
        <w:pStyle w:val="Funotentext"/>
      </w:pPr>
      <w:r>
        <w:rPr>
          <w:rStyle w:val="Funotenzeichen"/>
        </w:rPr>
        <w:footnoteRef/>
      </w:r>
      <w:r>
        <w:t xml:space="preserve"> Siehe: </w:t>
      </w:r>
      <w:hyperlink r:id="rId174" w:history="1">
        <w:r w:rsidRPr="00932F3C">
          <w:rPr>
            <w:rStyle w:val="Hyperlink"/>
          </w:rPr>
          <w:t>https://www.cfp.energy/en/insight/cop29-article-6-approved</w:t>
        </w:r>
      </w:hyperlink>
      <w:r>
        <w:t xml:space="preserve"> - Zugegriffen: 10.04.2025. </w:t>
      </w:r>
    </w:p>
  </w:footnote>
  <w:footnote w:id="220">
    <w:p w14:paraId="1497DE53" w14:textId="77777777" w:rsidR="00CA3799" w:rsidRDefault="00CA3799" w:rsidP="00CA3799">
      <w:pPr>
        <w:pStyle w:val="Funotentext"/>
      </w:pPr>
      <w:r>
        <w:rPr>
          <w:rStyle w:val="Funotenzeichen"/>
        </w:rPr>
        <w:footnoteRef/>
      </w:r>
      <w:r>
        <w:t xml:space="preserve"> Siehe: </w:t>
      </w:r>
      <w:hyperlink r:id="rId175" w:history="1">
        <w:r w:rsidRPr="00932F3C">
          <w:rPr>
            <w:rStyle w:val="Hyperlink"/>
          </w:rPr>
          <w:t>https://www.cfp.energy/en/insight/why-is-article-6-so-relevant-to-the-vcm-from-a-quality-and-integrity-perspective</w:t>
        </w:r>
      </w:hyperlink>
      <w:r>
        <w:t xml:space="preserve"> - Zugegriffen: 10.04.2025. </w:t>
      </w:r>
    </w:p>
  </w:footnote>
  <w:footnote w:id="221">
    <w:p w14:paraId="2138C2E3" w14:textId="77777777" w:rsidR="00CA3799" w:rsidRDefault="00CA3799" w:rsidP="00CA3799">
      <w:pPr>
        <w:pStyle w:val="Funotentext"/>
      </w:pPr>
      <w:r>
        <w:rPr>
          <w:rStyle w:val="Funotenzeichen"/>
        </w:rPr>
        <w:footnoteRef/>
      </w:r>
      <w:r>
        <w:t xml:space="preserve"> Siehe Linda Schneider. Die COP29 verschärft die Klimaungerechtigkeit. Heinrich Böll Stiftung, 29.11.2024: </w:t>
      </w:r>
      <w:hyperlink r:id="rId176" w:history="1">
        <w:r w:rsidRPr="00187BF9">
          <w:rPr>
            <w:rStyle w:val="Hyperlink"/>
          </w:rPr>
          <w:t>https://www.boell.de/de/2024/11/29/die-cop29-verschaerft-die-klimaungerechtigkeit?gad_source=1&amp;gclid=CjwKCAjw--K_BhB5EiwAuwYoysyXYFil09XUfEm2iOtxg1eHgBGzcjQIkt7mdhyRqNU2L37WkalEoBoCKd8QAvD_BwE</w:t>
        </w:r>
      </w:hyperlink>
      <w:r>
        <w:t xml:space="preserve"> – Zugegriffen: 11.04.2025. </w:t>
      </w:r>
    </w:p>
  </w:footnote>
  <w:footnote w:id="222">
    <w:p w14:paraId="62007B51" w14:textId="47173C1A" w:rsidR="00173F69" w:rsidRPr="00550090" w:rsidRDefault="00173F69">
      <w:pPr>
        <w:pStyle w:val="Funotentext"/>
        <w:rPr>
          <w:lang w:val="en-GB"/>
        </w:rPr>
      </w:pPr>
      <w:r>
        <w:rPr>
          <w:rStyle w:val="Funotenzeichen"/>
        </w:rPr>
        <w:footnoteRef/>
      </w:r>
      <w:r w:rsidRPr="00E74A33">
        <w:rPr>
          <w:lang w:val="en-GB"/>
        </w:rPr>
        <w:t xml:space="preserve"> </w:t>
      </w:r>
      <w:r w:rsidR="00E74A33" w:rsidRPr="00E74A33">
        <w:rPr>
          <w:lang w:val="en-GB"/>
        </w:rPr>
        <w:t>REDD</w:t>
      </w:r>
      <w:r w:rsidR="00E74A33">
        <w:rPr>
          <w:lang w:val="en-GB"/>
        </w:rPr>
        <w:t>.</w:t>
      </w:r>
      <w:r w:rsidR="00E74A33" w:rsidRPr="00E74A33">
        <w:rPr>
          <w:lang w:val="en-GB"/>
        </w:rPr>
        <w:t xml:space="preserve"> A Collection of Conflicts, </w:t>
      </w:r>
      <w:proofErr w:type="spellStart"/>
      <w:r w:rsidR="00E74A33" w:rsidRPr="00E74A33">
        <w:rPr>
          <w:lang w:val="en-GB"/>
        </w:rPr>
        <w:t>Co</w:t>
      </w:r>
      <w:r w:rsidR="00E74A33">
        <w:rPr>
          <w:lang w:val="en-GB"/>
        </w:rPr>
        <w:t>ntraditions</w:t>
      </w:r>
      <w:proofErr w:type="spellEnd"/>
      <w:r w:rsidR="00E74A33">
        <w:rPr>
          <w:lang w:val="en-GB"/>
        </w:rPr>
        <w:t xml:space="preserve"> and Lies. </w:t>
      </w:r>
      <w:r w:rsidR="00E74A33" w:rsidRPr="00550090">
        <w:rPr>
          <w:lang w:val="en-GB"/>
        </w:rPr>
        <w:t xml:space="preserve">World Rainforest Movement, 2015. </w:t>
      </w:r>
      <w:proofErr w:type="spellStart"/>
      <w:r w:rsidRPr="00550090">
        <w:rPr>
          <w:lang w:val="en-GB"/>
        </w:rPr>
        <w:t>Siehe</w:t>
      </w:r>
      <w:proofErr w:type="spellEnd"/>
      <w:r w:rsidRPr="00550090">
        <w:rPr>
          <w:lang w:val="en-GB"/>
        </w:rPr>
        <w:t xml:space="preserve">: </w:t>
      </w:r>
      <w:hyperlink r:id="rId177" w:history="1">
        <w:r w:rsidRPr="00550090">
          <w:rPr>
            <w:rStyle w:val="Hyperlink"/>
            <w:lang w:val="en-GB"/>
          </w:rPr>
          <w:t>https://www.wrm.org.uy//wp-content/uploads/2014/12/REDD-A-Collection-of-Conflict_Contradictions_Lies_expanded.pdf</w:t>
        </w:r>
      </w:hyperlink>
      <w:r w:rsidRPr="00550090">
        <w:rPr>
          <w:lang w:val="en-GB"/>
        </w:rPr>
        <w:t xml:space="preserve"> - </w:t>
      </w:r>
      <w:proofErr w:type="spellStart"/>
      <w:r w:rsidRPr="00550090">
        <w:rPr>
          <w:lang w:val="en-GB"/>
        </w:rPr>
        <w:t>Zugegriffen</w:t>
      </w:r>
      <w:proofErr w:type="spellEnd"/>
      <w:r w:rsidRPr="00550090">
        <w:rPr>
          <w:lang w:val="en-GB"/>
        </w:rPr>
        <w:t xml:space="preserve">: 28.07.2025. </w:t>
      </w:r>
    </w:p>
  </w:footnote>
  <w:footnote w:id="223">
    <w:p w14:paraId="4729E199" w14:textId="4588CFC3" w:rsidR="00784049" w:rsidRDefault="00784049">
      <w:pPr>
        <w:pStyle w:val="Funotentext"/>
      </w:pPr>
      <w:r>
        <w:rPr>
          <w:rStyle w:val="Funotenzeichen"/>
        </w:rPr>
        <w:footnoteRef/>
      </w:r>
      <w:r>
        <w:t xml:space="preserve"> </w:t>
      </w:r>
      <w:r w:rsidR="00173F69">
        <w:t xml:space="preserve">Siehe: </w:t>
      </w:r>
      <w:hyperlink r:id="rId178" w:history="1">
        <w:r w:rsidR="00173F69" w:rsidRPr="00645FE1">
          <w:rPr>
            <w:rStyle w:val="Hyperlink"/>
          </w:rPr>
          <w:t>https://www.climatepartner.com/de/klimaschutzprojekte/projekt-technologien/waldschutz-redd</w:t>
        </w:r>
      </w:hyperlink>
      <w:r w:rsidR="00173F69">
        <w:t xml:space="preserve"> - Zugegriffen: 28.07.2025. </w:t>
      </w:r>
    </w:p>
  </w:footnote>
  <w:footnote w:id="224">
    <w:p w14:paraId="1A437B22" w14:textId="5D3B4098" w:rsidR="00173F69" w:rsidRDefault="00173F69">
      <w:pPr>
        <w:pStyle w:val="Funotentext"/>
      </w:pPr>
      <w:r>
        <w:rPr>
          <w:rStyle w:val="Funotenzeichen"/>
        </w:rPr>
        <w:footnoteRef/>
      </w:r>
      <w:r>
        <w:t xml:space="preserve"> Siehe: </w:t>
      </w:r>
      <w:hyperlink r:id="rId179" w:history="1">
        <w:r w:rsidRPr="00645FE1">
          <w:rPr>
            <w:rStyle w:val="Hyperlink"/>
          </w:rPr>
          <w:t>https://www.boell.de/de/2019/01/11/redd-ein-verlorenes-jahrzehnt-fuer-den-internationalen-waldschutz</w:t>
        </w:r>
      </w:hyperlink>
      <w:r>
        <w:t xml:space="preserve"> - Zugegriffen: 28.07.2025. </w:t>
      </w:r>
    </w:p>
  </w:footnote>
  <w:footnote w:id="225">
    <w:p w14:paraId="503B41A2" w14:textId="64F09D14" w:rsidR="00420F6E" w:rsidRDefault="00420F6E">
      <w:pPr>
        <w:pStyle w:val="Funotentext"/>
      </w:pPr>
      <w:r>
        <w:rPr>
          <w:rStyle w:val="Funotenzeichen"/>
        </w:rPr>
        <w:footnoteRef/>
      </w:r>
      <w:r>
        <w:t xml:space="preserve"> Siehe zu diesem gesamten Abschnitt: </w:t>
      </w:r>
      <w:hyperlink r:id="rId180" w:history="1">
        <w:r w:rsidRPr="004C622C">
          <w:rPr>
            <w:rStyle w:val="Hyperlink"/>
          </w:rPr>
          <w:t>https://www.boell.de/de/2020/03/10/redd-marktkonformer-waldschutz-mit-tuecken</w:t>
        </w:r>
      </w:hyperlink>
      <w:r>
        <w:t xml:space="preserve"> - Zugegriffen: 28.07.2025. </w:t>
      </w:r>
    </w:p>
  </w:footnote>
  <w:footnote w:id="226">
    <w:p w14:paraId="417E19CA" w14:textId="77777777" w:rsidR="00E74A33" w:rsidRDefault="00E74A33" w:rsidP="00E74A33">
      <w:pPr>
        <w:pStyle w:val="Funotentext"/>
      </w:pPr>
      <w:r>
        <w:rPr>
          <w:rStyle w:val="Funotenzeichen"/>
        </w:rPr>
        <w:footnoteRef/>
      </w:r>
      <w:r>
        <w:t xml:space="preserve"> Siehe: </w:t>
      </w:r>
      <w:hyperlink r:id="rId181" w:history="1">
        <w:r w:rsidRPr="00932F3C">
          <w:rPr>
            <w:rStyle w:val="Hyperlink"/>
          </w:rPr>
          <w:t>https://www.cfp.energy/en/insight/cop29-article-6-approved</w:t>
        </w:r>
      </w:hyperlink>
      <w:r>
        <w:t xml:space="preserve"> - Zugegriffen: 10.04.2025. </w:t>
      </w:r>
    </w:p>
  </w:footnote>
  <w:footnote w:id="227">
    <w:p w14:paraId="199942CD" w14:textId="77777777" w:rsidR="00CA3799" w:rsidRDefault="00CA3799" w:rsidP="00CA3799">
      <w:pPr>
        <w:pStyle w:val="Funotentext"/>
      </w:pPr>
      <w:r>
        <w:rPr>
          <w:rStyle w:val="Funotenzeichen"/>
        </w:rPr>
        <w:footnoteRef/>
      </w:r>
      <w:r>
        <w:t xml:space="preserve"> Siehe: </w:t>
      </w:r>
      <w:hyperlink r:id="rId182" w:history="1">
        <w:r w:rsidRPr="00932F3C">
          <w:rPr>
            <w:rStyle w:val="Hyperlink"/>
          </w:rPr>
          <w:t>https://blogs.worldbank.org/en/climatechange/from-paris-to-baku--article-6-rules-finally-take-flight-after-a-</w:t>
        </w:r>
      </w:hyperlink>
      <w:r>
        <w:t xml:space="preserve"> - Zugegriffen: 10.04.2025. </w:t>
      </w:r>
    </w:p>
  </w:footnote>
  <w:footnote w:id="228">
    <w:p w14:paraId="374AC40C" w14:textId="77777777" w:rsidR="00C43188" w:rsidRDefault="00C43188" w:rsidP="00C43188">
      <w:pPr>
        <w:pStyle w:val="Funotentext"/>
      </w:pPr>
      <w:r>
        <w:rPr>
          <w:rStyle w:val="Funotenzeichen"/>
        </w:rPr>
        <w:footnoteRef/>
      </w:r>
      <w:r>
        <w:t xml:space="preserve"> Siehe: </w:t>
      </w:r>
      <w:hyperlink r:id="rId183" w:history="1">
        <w:r w:rsidRPr="00932F3C">
          <w:rPr>
            <w:rStyle w:val="Hyperlink"/>
          </w:rPr>
          <w:t>https://www.cfp.energy/en/insight/cop29-article-6-approved</w:t>
        </w:r>
      </w:hyperlink>
      <w:r>
        <w:t xml:space="preserve"> - Zugegriffen: 10.04.2025. </w:t>
      </w:r>
    </w:p>
  </w:footnote>
  <w:footnote w:id="229">
    <w:p w14:paraId="6CADC17E" w14:textId="77777777" w:rsidR="00CA3799" w:rsidRDefault="00CA3799" w:rsidP="00CA3799">
      <w:pPr>
        <w:pStyle w:val="Funotentext"/>
      </w:pPr>
      <w:r>
        <w:rPr>
          <w:rStyle w:val="Funotenzeichen"/>
        </w:rPr>
        <w:footnoteRef/>
      </w:r>
      <w:r>
        <w:t xml:space="preserve"> S. 30, Zeile 910-914, „in begrenztem Umfang auch permanente und nachhal</w:t>
      </w:r>
      <w:r>
        <w:rPr>
          <w:rFonts w:eastAsia="Calibri" w:cs="Calibri"/>
        </w:rPr>
        <w:t>ti</w:t>
      </w:r>
      <w:r>
        <w:t>ge nega</w:t>
      </w:r>
      <w:r>
        <w:rPr>
          <w:rFonts w:eastAsia="Calibri" w:cs="Calibri"/>
        </w:rPr>
        <w:t>ti</w:t>
      </w:r>
      <w:r>
        <w:t>ve Emissionen sowie dri</w:t>
      </w:r>
      <w:r>
        <w:rPr>
          <w:rFonts w:eastAsia="Calibri" w:cs="Calibri"/>
        </w:rPr>
        <w:t>tt</w:t>
      </w:r>
      <w:r>
        <w:t>ens glaubwürdige CO2-Reduzierung durch hochqualifizierte, zer</w:t>
      </w:r>
      <w:r>
        <w:rPr>
          <w:rFonts w:eastAsia="Calibri" w:cs="Calibri"/>
        </w:rPr>
        <w:t>ti</w:t>
      </w:r>
      <w:r>
        <w:t>fizierte und permanente Projekte (maximal drei Prozentpunkte des 2040 Zwischenziels in außereuropäischen Partnerländern zur wirtscha</w:t>
      </w:r>
      <w:r>
        <w:rPr>
          <w:rFonts w:eastAsia="Calibri" w:cs="Calibri"/>
        </w:rPr>
        <w:t>ft</w:t>
      </w:r>
      <w:r>
        <w:t xml:space="preserve">lich tragbaren Reduzierung von Restemissionen anrechenbar sind.“ Siehe: </w:t>
      </w:r>
      <w:hyperlink r:id="rId184" w:history="1">
        <w:r w:rsidRPr="00287D4C">
          <w:rPr>
            <w:rStyle w:val="Hyperlink"/>
          </w:rPr>
          <w:t>https://www.spd.de/fileadmin/Dokumente/Koalitionsvertrag_2025.pdf</w:t>
        </w:r>
      </w:hyperlink>
      <w:r>
        <w:t xml:space="preserve"> - Zugegriffen: 10.04.2025. </w:t>
      </w:r>
    </w:p>
  </w:footnote>
  <w:footnote w:id="230">
    <w:p w14:paraId="60E4FAEE" w14:textId="77777777" w:rsidR="00CA3799" w:rsidRDefault="00CA3799" w:rsidP="00CA3799">
      <w:pPr>
        <w:pStyle w:val="Funotentext"/>
      </w:pPr>
      <w:r>
        <w:rPr>
          <w:rStyle w:val="Funotenzeichen"/>
        </w:rPr>
        <w:footnoteRef/>
      </w:r>
      <w:r>
        <w:t xml:space="preserve"> Siehe: </w:t>
      </w:r>
      <w:hyperlink r:id="rId185" w:history="1">
        <w:r w:rsidRPr="00932F3C">
          <w:rPr>
            <w:rStyle w:val="Hyperlink"/>
          </w:rPr>
          <w:t>https://www.icao.int/environmental-protection/CORSIA/Pages/default.aspx</w:t>
        </w:r>
      </w:hyperlink>
      <w:r>
        <w:t xml:space="preserve"> - Zugegriffen: 11.04.2025. </w:t>
      </w:r>
    </w:p>
  </w:footnote>
  <w:footnote w:id="231">
    <w:p w14:paraId="4B7B558D" w14:textId="77777777" w:rsidR="00CA3799" w:rsidRDefault="00CA3799" w:rsidP="00CA3799">
      <w:pPr>
        <w:pStyle w:val="Funotentext"/>
      </w:pPr>
      <w:r>
        <w:rPr>
          <w:rStyle w:val="Funotenzeichen"/>
        </w:rPr>
        <w:footnoteRef/>
      </w:r>
      <w:r>
        <w:t xml:space="preserve"> Siehe: </w:t>
      </w:r>
      <w:hyperlink r:id="rId186" w:history="1">
        <w:r w:rsidRPr="00932F3C">
          <w:rPr>
            <w:rStyle w:val="Hyperlink"/>
          </w:rPr>
          <w:t>https://www.cfp.energy/en/insight/cop29-article-6-approved</w:t>
        </w:r>
      </w:hyperlink>
      <w:r>
        <w:t xml:space="preserve"> - Zugegriffen: 10.04.2025.</w:t>
      </w:r>
    </w:p>
  </w:footnote>
  <w:footnote w:id="232">
    <w:p w14:paraId="558DDAF0" w14:textId="77777777" w:rsidR="00CA3799" w:rsidRDefault="00CA3799" w:rsidP="00CA3799">
      <w:pPr>
        <w:pStyle w:val="Funotentext"/>
      </w:pPr>
      <w:r>
        <w:rPr>
          <w:rStyle w:val="Funotenzeichen"/>
        </w:rPr>
        <w:footnoteRef/>
      </w:r>
      <w:r>
        <w:t xml:space="preserve"> Siehe: </w:t>
      </w:r>
      <w:hyperlink r:id="rId187" w:history="1">
        <w:r w:rsidRPr="00932F3C">
          <w:rPr>
            <w:rStyle w:val="Hyperlink"/>
          </w:rPr>
          <w:t>https://www.cfp.energy/en/insight/corsia-phase-1-update</w:t>
        </w:r>
      </w:hyperlink>
      <w:r>
        <w:t xml:space="preserve"> - Zugegriffen: 10.04.2025.</w:t>
      </w:r>
    </w:p>
  </w:footnote>
  <w:footnote w:id="233">
    <w:p w14:paraId="3E15056D" w14:textId="77777777" w:rsidR="00CA3799" w:rsidRDefault="00CA3799" w:rsidP="00CA3799">
      <w:pPr>
        <w:pStyle w:val="Funotentext"/>
      </w:pPr>
      <w:r>
        <w:rPr>
          <w:rStyle w:val="Funotenzeichen"/>
        </w:rPr>
        <w:footnoteRef/>
      </w:r>
      <w:r>
        <w:t xml:space="preserve"> Siehe: </w:t>
      </w:r>
      <w:hyperlink r:id="rId188" w:history="1">
        <w:r w:rsidRPr="00F4376F">
          <w:rPr>
            <w:rStyle w:val="Hyperlink"/>
          </w:rPr>
          <w:t>https://verra.org/</w:t>
        </w:r>
      </w:hyperlink>
    </w:p>
  </w:footnote>
  <w:footnote w:id="234">
    <w:p w14:paraId="477DF114" w14:textId="77777777" w:rsidR="00CA3799" w:rsidRDefault="00CA3799" w:rsidP="00CA3799">
      <w:pPr>
        <w:pStyle w:val="Funotentext"/>
      </w:pPr>
      <w:r>
        <w:rPr>
          <w:rStyle w:val="Funotenzeichen"/>
        </w:rPr>
        <w:footnoteRef/>
      </w:r>
      <w:r>
        <w:t xml:space="preserve"> Siehe: </w:t>
      </w:r>
      <w:hyperlink r:id="rId189" w:history="1">
        <w:r w:rsidRPr="00932F3C">
          <w:rPr>
            <w:rStyle w:val="Hyperlink"/>
          </w:rPr>
          <w:t>https://www.goldstandard.org/</w:t>
        </w:r>
      </w:hyperlink>
      <w:r>
        <w:t xml:space="preserve"> </w:t>
      </w:r>
    </w:p>
  </w:footnote>
  <w:footnote w:id="235">
    <w:p w14:paraId="459654DF" w14:textId="77777777" w:rsidR="00CA3799" w:rsidRDefault="00CA3799" w:rsidP="00CA3799">
      <w:pPr>
        <w:pStyle w:val="Funotentext"/>
      </w:pPr>
      <w:r>
        <w:rPr>
          <w:rStyle w:val="Funotenzeichen"/>
        </w:rPr>
        <w:footnoteRef/>
      </w:r>
      <w:r>
        <w:t xml:space="preserve"> Siehe: </w:t>
      </w:r>
      <w:hyperlink r:id="rId190" w:history="1">
        <w:r w:rsidRPr="00932F3C">
          <w:rPr>
            <w:rStyle w:val="Hyperlink"/>
          </w:rPr>
          <w:t>https://www.climateactionreserve.org/</w:t>
        </w:r>
      </w:hyperlink>
      <w:r>
        <w:t xml:space="preserve"> </w:t>
      </w:r>
    </w:p>
  </w:footnote>
  <w:footnote w:id="236">
    <w:p w14:paraId="3342C93A" w14:textId="77777777" w:rsidR="00CA3799" w:rsidRDefault="00CA3799" w:rsidP="00CA3799">
      <w:pPr>
        <w:pStyle w:val="Funotentext"/>
      </w:pPr>
      <w:r>
        <w:rPr>
          <w:rStyle w:val="Funotenzeichen"/>
        </w:rPr>
        <w:footnoteRef/>
      </w:r>
      <w:r>
        <w:t xml:space="preserve"> Daten auf der ersten Einstiegsseite. Siehe: </w:t>
      </w:r>
      <w:hyperlink r:id="rId191" w:history="1">
        <w:r w:rsidRPr="00932F3C">
          <w:rPr>
            <w:rStyle w:val="Hyperlink"/>
          </w:rPr>
          <w:t>https://www.icao.int/environmental-protection/CORSIA/Pages/default.aspx</w:t>
        </w:r>
      </w:hyperlink>
      <w:r>
        <w:t xml:space="preserve"> - Zugegriffen: 11.04.2025. </w:t>
      </w:r>
    </w:p>
  </w:footnote>
  <w:footnote w:id="237">
    <w:p w14:paraId="242E8439" w14:textId="77777777" w:rsidR="00CA3799" w:rsidRDefault="00CA3799" w:rsidP="00CA3799">
      <w:pPr>
        <w:pStyle w:val="Funotentext"/>
      </w:pPr>
      <w:r>
        <w:rPr>
          <w:rStyle w:val="Funotenzeichen"/>
        </w:rPr>
        <w:footnoteRef/>
      </w:r>
      <w:r>
        <w:t xml:space="preserve"> Hoch et al. 2023. Siehe</w:t>
      </w:r>
      <w:proofErr w:type="gramStart"/>
      <w:r>
        <w:t xml:space="preserve">: </w:t>
      </w:r>
      <w:r w:rsidRPr="000F2EF9">
        <w:t>:</w:t>
      </w:r>
      <w:proofErr w:type="gramEnd"/>
      <w:r w:rsidRPr="000F2EF9">
        <w:t xml:space="preserve"> </w:t>
      </w:r>
      <w:hyperlink r:id="rId192" w:history="1">
        <w:r w:rsidRPr="00464CE2">
          <w:rPr>
            <w:rStyle w:val="Hyperlink"/>
          </w:rPr>
          <w:t>https://www.carbon-mechanisms.de/</w:t>
        </w:r>
      </w:hyperlink>
      <w:r>
        <w:t xml:space="preserve"> - Zugegriffen: 22.12.2023. </w:t>
      </w:r>
    </w:p>
  </w:footnote>
  <w:footnote w:id="238">
    <w:p w14:paraId="2793437E" w14:textId="77777777" w:rsidR="00CA3799" w:rsidRDefault="00CA3799" w:rsidP="00CA3799">
      <w:pPr>
        <w:pStyle w:val="Funotentext"/>
      </w:pPr>
      <w:r>
        <w:rPr>
          <w:rStyle w:val="Funotenzeichen"/>
        </w:rPr>
        <w:footnoteRef/>
      </w:r>
      <w:r>
        <w:t xml:space="preserve"> Siehe die Webseite: </w:t>
      </w:r>
      <w:hyperlink r:id="rId193" w:history="1">
        <w:r w:rsidRPr="00464CE2">
          <w:rPr>
            <w:rStyle w:val="Hyperlink"/>
          </w:rPr>
          <w:t>https://www.klik.ch/en</w:t>
        </w:r>
      </w:hyperlink>
      <w:r>
        <w:t xml:space="preserve"> </w:t>
      </w:r>
    </w:p>
  </w:footnote>
  <w:footnote w:id="239">
    <w:p w14:paraId="579108DF" w14:textId="77777777" w:rsidR="00CA3799" w:rsidRDefault="00CA3799" w:rsidP="00CA3799">
      <w:pPr>
        <w:pStyle w:val="Funotentext"/>
      </w:pPr>
      <w:r>
        <w:rPr>
          <w:rStyle w:val="Funotenzeichen"/>
        </w:rPr>
        <w:footnoteRef/>
      </w:r>
      <w:r>
        <w:t xml:space="preserve"> Hoch et al. 2023: 13-15.</w:t>
      </w:r>
    </w:p>
  </w:footnote>
  <w:footnote w:id="240">
    <w:p w14:paraId="313BB043" w14:textId="5FCB0BD9" w:rsidR="00C973C6" w:rsidRDefault="00C973C6">
      <w:pPr>
        <w:pStyle w:val="Funotentext"/>
      </w:pPr>
      <w:r>
        <w:rPr>
          <w:rStyle w:val="Funotenzeichen"/>
        </w:rPr>
        <w:footnoteRef/>
      </w:r>
      <w:r>
        <w:t xml:space="preserve"> Siehe: </w:t>
      </w:r>
      <w:hyperlink r:id="rId194" w:history="1">
        <w:r w:rsidRPr="00D06719">
          <w:rPr>
            <w:rStyle w:val="Hyperlink"/>
          </w:rPr>
          <w:t>https://www.co280.com/</w:t>
        </w:r>
      </w:hyperlink>
      <w:r>
        <w:t xml:space="preserve"> </w:t>
      </w:r>
    </w:p>
  </w:footnote>
  <w:footnote w:id="241">
    <w:p w14:paraId="5F0DA3B2" w14:textId="77777777" w:rsidR="00C973C6" w:rsidRDefault="00C973C6" w:rsidP="00C973C6">
      <w:pPr>
        <w:pStyle w:val="Funotentext"/>
      </w:pPr>
      <w:r>
        <w:rPr>
          <w:rStyle w:val="Funotenzeichen"/>
        </w:rPr>
        <w:footnoteRef/>
      </w:r>
      <w:r>
        <w:t xml:space="preserve"> Siehe: </w:t>
      </w:r>
      <w:hyperlink r:id="rId195" w:history="1">
        <w:r w:rsidRPr="00533E12">
          <w:rPr>
            <w:rStyle w:val="Hyperlink"/>
          </w:rPr>
          <w:t>https://akercarboncapture.com/?cision_id=1B168AAF40F6CC7F</w:t>
        </w:r>
      </w:hyperlink>
      <w:r>
        <w:t xml:space="preserve"> – Zugegriffen: 03.09.2024. </w:t>
      </w:r>
    </w:p>
  </w:footnote>
  <w:footnote w:id="242">
    <w:p w14:paraId="294DBF4E" w14:textId="77777777" w:rsidR="00C973C6" w:rsidRDefault="00C973C6" w:rsidP="00C973C6">
      <w:pPr>
        <w:pStyle w:val="Funotentext"/>
      </w:pPr>
      <w:r>
        <w:rPr>
          <w:rStyle w:val="Funotenzeichen"/>
        </w:rPr>
        <w:footnoteRef/>
      </w:r>
      <w:r>
        <w:t xml:space="preserve"> Siehe: </w:t>
      </w:r>
      <w:hyperlink r:id="rId196" w:history="1">
        <w:r w:rsidRPr="00287D4C">
          <w:rPr>
            <w:rStyle w:val="Hyperlink"/>
          </w:rPr>
          <w:t>https://frontierclimate.com/</w:t>
        </w:r>
      </w:hyperlink>
      <w:r>
        <w:t xml:space="preserve">  </w:t>
      </w:r>
    </w:p>
  </w:footnote>
  <w:footnote w:id="243">
    <w:p w14:paraId="1E9550DD" w14:textId="073B90DA" w:rsidR="009E2CA3" w:rsidRDefault="009E2CA3">
      <w:pPr>
        <w:pStyle w:val="Funotentext"/>
      </w:pPr>
      <w:r>
        <w:rPr>
          <w:rStyle w:val="Funotenzeichen"/>
        </w:rPr>
        <w:footnoteRef/>
      </w:r>
      <w:r>
        <w:t xml:space="preserve"> Siehe S. 15-16, in: </w:t>
      </w:r>
      <w:hyperlink r:id="rId197" w:history="1">
        <w:r w:rsidRPr="00D06719">
          <w:rPr>
            <w:rStyle w:val="Hyperlink"/>
          </w:rPr>
          <w:t>https://www.helaba.com/media/docs/de/presse/news/studie-freiwillige-co2-kompensation-helaba-response.pdf</w:t>
        </w:r>
      </w:hyperlink>
      <w:r>
        <w:t xml:space="preserve"> - Zugegriffen: 30.06.2025. </w:t>
      </w:r>
    </w:p>
  </w:footnote>
  <w:footnote w:id="244">
    <w:p w14:paraId="7A993652" w14:textId="77777777" w:rsidR="0039004D" w:rsidRDefault="0039004D" w:rsidP="0039004D">
      <w:pPr>
        <w:pStyle w:val="Funotentext"/>
      </w:pPr>
      <w:r>
        <w:rPr>
          <w:rStyle w:val="Funotenzeichen"/>
        </w:rPr>
        <w:footnoteRef/>
      </w:r>
      <w:r>
        <w:t xml:space="preserve"> Siehe zu diesem gesamten Abschnitt: </w:t>
      </w:r>
      <w:hyperlink r:id="rId198" w:history="1">
        <w:r w:rsidRPr="004C622C">
          <w:rPr>
            <w:rStyle w:val="Hyperlink"/>
          </w:rPr>
          <w:t>https://www.boell.de/de/2020/03/10/redd-marktkonformer-waldschutz-mit-tuecken</w:t>
        </w:r>
      </w:hyperlink>
      <w:r>
        <w:t xml:space="preserve"> - Zugegriffen: 28.07.2025. </w:t>
      </w:r>
    </w:p>
  </w:footnote>
  <w:footnote w:id="245">
    <w:p w14:paraId="1BA3AC56" w14:textId="77777777" w:rsidR="00C973C6" w:rsidRDefault="00C973C6" w:rsidP="00C973C6">
      <w:pPr>
        <w:pStyle w:val="Funotentext"/>
      </w:pPr>
      <w:r>
        <w:rPr>
          <w:rStyle w:val="Funotenzeichen"/>
        </w:rPr>
        <w:footnoteRef/>
      </w:r>
      <w:r>
        <w:t xml:space="preserve"> Johannes Winterhagen. Neutral ist nicht egal. FAZ, 08.05.2024. </w:t>
      </w:r>
    </w:p>
  </w:footnote>
  <w:footnote w:id="246">
    <w:p w14:paraId="1108AFEE" w14:textId="77777777" w:rsidR="00F74622" w:rsidRDefault="00F74622" w:rsidP="00F74622">
      <w:pPr>
        <w:pStyle w:val="Funotentext"/>
      </w:pPr>
      <w:r>
        <w:rPr>
          <w:rStyle w:val="Funotenzeichen"/>
        </w:rPr>
        <w:footnoteRef/>
      </w:r>
      <w:r>
        <w:t xml:space="preserve"> Hoch et al. 2023: 15.</w:t>
      </w:r>
    </w:p>
  </w:footnote>
  <w:footnote w:id="247">
    <w:p w14:paraId="1551FB34" w14:textId="77777777" w:rsidR="00F74622" w:rsidRDefault="00F74622" w:rsidP="00F74622">
      <w:pPr>
        <w:pStyle w:val="Funotentext"/>
      </w:pPr>
      <w:r>
        <w:rPr>
          <w:rStyle w:val="Funotenzeichen"/>
        </w:rPr>
        <w:footnoteRef/>
      </w:r>
      <w:r>
        <w:t xml:space="preserve"> </w:t>
      </w:r>
      <w:r w:rsidRPr="0063031B">
        <w:t>Internationale Gutschriften können für die Zeitperiode 2021 bis 2030 nicht mehr verwendet werden</w:t>
      </w:r>
      <w:r>
        <w:t>.</w:t>
      </w:r>
      <w:r w:rsidRPr="0063031B">
        <w:t xml:space="preserve"> </w:t>
      </w:r>
      <w:r>
        <w:t xml:space="preserve">Siehe FN 16, Mitteilung der Kommission, Veröffentlichung der Gesamtmenge der 2022 im Umlauf befindlichen … (2023/C 172/01), 15.05.2023.: </w:t>
      </w:r>
      <w:hyperlink r:id="rId199" w:history="1">
        <w:r w:rsidRPr="006A0612">
          <w:rPr>
            <w:rStyle w:val="Hyperlink"/>
          </w:rPr>
          <w:t>https://eur-lex.europa.eu/legal-content/DE/TXT/PDF/?uri=CELEX:52023XC0515(01)</w:t>
        </w:r>
      </w:hyperlink>
      <w:r>
        <w:t xml:space="preserve"> – Zugegriffen: 19.01.2024. </w:t>
      </w:r>
    </w:p>
  </w:footnote>
  <w:footnote w:id="248">
    <w:p w14:paraId="384E763D" w14:textId="7804DF25" w:rsidR="00F74622" w:rsidRDefault="00F74622">
      <w:pPr>
        <w:pStyle w:val="Funotentext"/>
      </w:pPr>
      <w:r>
        <w:rPr>
          <w:rStyle w:val="Funotenzeichen"/>
        </w:rPr>
        <w:footnoteRef/>
      </w:r>
      <w:r>
        <w:t xml:space="preserve"> Siehe: </w:t>
      </w:r>
      <w:hyperlink r:id="rId200" w:history="1">
        <w:r w:rsidRPr="00D06719">
          <w:rPr>
            <w:rStyle w:val="Hyperlink"/>
          </w:rPr>
          <w:t>https://www.helaba.com/media/docs/de/presse/news/studie-freiwillige-co2-kompensation-helaba-response.pdf</w:t>
        </w:r>
      </w:hyperlink>
      <w:r>
        <w:t xml:space="preserve"> - Zugegriffen: 30.06.2025. </w:t>
      </w:r>
    </w:p>
  </w:footnote>
  <w:footnote w:id="249">
    <w:p w14:paraId="49E224CE" w14:textId="33A6986B" w:rsidR="00F74622" w:rsidRDefault="00F74622">
      <w:pPr>
        <w:pStyle w:val="Funotentext"/>
      </w:pPr>
      <w:r>
        <w:rPr>
          <w:rStyle w:val="Funotenzeichen"/>
        </w:rPr>
        <w:footnoteRef/>
      </w:r>
      <w:r>
        <w:t xml:space="preserve"> Der freiwillige Kohlenstoffmarkt wird technologischer. FAZ, 09.11.2024.</w:t>
      </w:r>
    </w:p>
  </w:footnote>
  <w:footnote w:id="250">
    <w:p w14:paraId="04D48E08" w14:textId="2856C00D" w:rsidR="009E2CA3" w:rsidRDefault="009E2CA3" w:rsidP="009E2CA3">
      <w:pPr>
        <w:pStyle w:val="Funotentext"/>
      </w:pPr>
      <w:r>
        <w:rPr>
          <w:rStyle w:val="Funotenzeichen"/>
        </w:rPr>
        <w:footnoteRef/>
      </w:r>
      <w:r>
        <w:t xml:space="preserve"> </w:t>
      </w:r>
      <w:r w:rsidR="00953FA0">
        <w:t>S. 12, s</w:t>
      </w:r>
      <w:r>
        <w:t xml:space="preserve">iehe: </w:t>
      </w:r>
      <w:hyperlink r:id="rId201" w:history="1">
        <w:r w:rsidRPr="00D06719">
          <w:rPr>
            <w:rStyle w:val="Hyperlink"/>
          </w:rPr>
          <w:t>https://www.helaba.com/media/docs/de/presse/news/studie-freiwillige-co2-kompensation-helaba-response.pdf</w:t>
        </w:r>
      </w:hyperlink>
      <w:r>
        <w:t xml:space="preserve"> - Zugegriffen: 30.06.2025. </w:t>
      </w:r>
    </w:p>
  </w:footnote>
  <w:footnote w:id="251">
    <w:p w14:paraId="4CADC83E" w14:textId="08798566" w:rsidR="00085084" w:rsidRPr="00085084" w:rsidRDefault="00085084">
      <w:pPr>
        <w:pStyle w:val="Funotentext"/>
      </w:pPr>
      <w:r>
        <w:rPr>
          <w:rStyle w:val="Funotenzeichen"/>
        </w:rPr>
        <w:footnoteRef/>
      </w:r>
      <w:r w:rsidRPr="00085084">
        <w:t xml:space="preserve"> S. 8, </w:t>
      </w:r>
      <w:hyperlink r:id="rId202" w:history="1">
        <w:r w:rsidRPr="00085084">
          <w:rPr>
            <w:rStyle w:val="Hyperlink"/>
          </w:rPr>
          <w:t>https://www.helaba.com/media/docs/de/presse/news/studie-freiwillige-co2-kompensation-helaba-response.pdf</w:t>
        </w:r>
      </w:hyperlink>
      <w:r w:rsidRPr="00085084">
        <w:t xml:space="preserve"> - Zu</w:t>
      </w:r>
      <w:r>
        <w:t xml:space="preserve">gegriffen: 01.07.2025. </w:t>
      </w:r>
    </w:p>
  </w:footnote>
  <w:footnote w:id="252">
    <w:p w14:paraId="35DE60F9" w14:textId="5BE7331B" w:rsidR="00085084" w:rsidRDefault="00085084">
      <w:pPr>
        <w:pStyle w:val="Funotentext"/>
      </w:pPr>
      <w:r>
        <w:rPr>
          <w:rStyle w:val="Funotenzeichen"/>
        </w:rPr>
        <w:footnoteRef/>
      </w:r>
      <w:r>
        <w:t xml:space="preserve"> Der freiwillige Kohlenstoffmarkt wird technologischer. FAZ, 09.11.2024.</w:t>
      </w:r>
    </w:p>
  </w:footnote>
  <w:footnote w:id="253">
    <w:p w14:paraId="22DABDD6" w14:textId="77777777" w:rsidR="004D2D1D" w:rsidRDefault="004D2D1D" w:rsidP="004D2D1D">
      <w:pPr>
        <w:pStyle w:val="Funotentext"/>
      </w:pPr>
      <w:r>
        <w:rPr>
          <w:rStyle w:val="Funotenzeichen"/>
        </w:rPr>
        <w:footnoteRef/>
      </w:r>
      <w:r>
        <w:t xml:space="preserve"> Siehe FN 16, Mitteilung der Kommission, Veröffentlichung der Gesamtmenge der 2022 im Umlauf befindlichen … (2023/C 172/01), 15.05.2023.: </w:t>
      </w:r>
      <w:hyperlink r:id="rId203" w:history="1">
        <w:r w:rsidRPr="006A0612">
          <w:rPr>
            <w:rStyle w:val="Hyperlink"/>
          </w:rPr>
          <w:t>https://eur-lex.europa.eu/legal-content/DE/TXT/PDF/?uri=CELEX:52023XC0515(01)</w:t>
        </w:r>
      </w:hyperlink>
      <w:r>
        <w:t xml:space="preserve"> – Zugegriffen: 19.01.2024. </w:t>
      </w:r>
    </w:p>
  </w:footnote>
  <w:footnote w:id="254">
    <w:p w14:paraId="6048FEE2" w14:textId="2D05B00A" w:rsidR="001434D0" w:rsidRDefault="001434D0">
      <w:pPr>
        <w:pStyle w:val="Funotentext"/>
      </w:pPr>
      <w:r>
        <w:rPr>
          <w:rStyle w:val="Funotenzeichen"/>
        </w:rPr>
        <w:footnoteRef/>
      </w:r>
      <w:r>
        <w:t xml:space="preserve"> Siehe: </w:t>
      </w:r>
      <w:hyperlink r:id="rId204" w:history="1">
        <w:r w:rsidRPr="00530B5C">
          <w:rPr>
            <w:rStyle w:val="Hyperlink"/>
          </w:rPr>
          <w:t>https://eur-lex.europa.eu/legal-content/DE/ALL/?uri=CELEX:32024R3012</w:t>
        </w:r>
      </w:hyperlink>
      <w:r>
        <w:t xml:space="preserve"> – Zugegriffen: 07.06.2025. </w:t>
      </w:r>
    </w:p>
  </w:footnote>
  <w:footnote w:id="255">
    <w:p w14:paraId="1BD952E1" w14:textId="5F0E0D6E" w:rsidR="0063031B" w:rsidRDefault="0063031B">
      <w:pPr>
        <w:pStyle w:val="Funotentext"/>
      </w:pPr>
      <w:r>
        <w:rPr>
          <w:rStyle w:val="Funotenzeichen"/>
        </w:rPr>
        <w:footnoteRef/>
      </w:r>
      <w:r>
        <w:t xml:space="preserve"> Siehe: </w:t>
      </w:r>
      <w:hyperlink r:id="rId205" w:history="1">
        <w:r w:rsidRPr="00530B5C">
          <w:rPr>
            <w:rStyle w:val="Hyperlink"/>
          </w:rPr>
          <w:t>https://www.noerr.com/de/insights/neuer-eu-zertifizierungsrahmen-fuer-taetigkeiten-zur-co2-neutralisierung-in-kraft-getreten</w:t>
        </w:r>
      </w:hyperlink>
      <w:r>
        <w:t xml:space="preserve"> - Zugegriffen: 07.06.2025. </w:t>
      </w:r>
    </w:p>
  </w:footnote>
  <w:footnote w:id="256">
    <w:p w14:paraId="0F61CC77" w14:textId="77777777" w:rsidR="002B2CE8" w:rsidRDefault="002B2CE8" w:rsidP="002B2CE8">
      <w:pPr>
        <w:pStyle w:val="Funotentext"/>
      </w:pPr>
      <w:r>
        <w:rPr>
          <w:rStyle w:val="Funotenzeichen"/>
        </w:rPr>
        <w:footnoteRef/>
      </w:r>
      <w:r>
        <w:t xml:space="preserve"> Hendrick Kafsack, Johannes Pennekamp. Die Fallstricke des EU-Klimaziels. FAZ, 03.07.2025. </w:t>
      </w:r>
    </w:p>
  </w:footnote>
  <w:footnote w:id="257">
    <w:p w14:paraId="35EDB2F2" w14:textId="77777777" w:rsidR="002B2CE8" w:rsidRPr="008E326A" w:rsidRDefault="002B2CE8" w:rsidP="002B2CE8">
      <w:pPr>
        <w:pStyle w:val="Funotentext"/>
        <w:rPr>
          <w:lang w:val="en-GB"/>
        </w:rPr>
      </w:pPr>
      <w:r>
        <w:rPr>
          <w:rStyle w:val="Funotenzeichen"/>
        </w:rPr>
        <w:footnoteRef/>
      </w:r>
      <w:r>
        <w:t xml:space="preserve"> Hendrick Kafsack, Johannes Pennekamp. Die Fallstricke des EU-Klimaziels. </w:t>
      </w:r>
      <w:r w:rsidRPr="008E326A">
        <w:rPr>
          <w:lang w:val="en-GB"/>
        </w:rPr>
        <w:t xml:space="preserve">FAZ, 03.07.2025. </w:t>
      </w:r>
    </w:p>
  </w:footnote>
  <w:footnote w:id="258">
    <w:p w14:paraId="627125C6" w14:textId="77777777" w:rsidR="00CA3799" w:rsidRPr="00FA0F0A" w:rsidRDefault="00CA3799" w:rsidP="00CA3799">
      <w:pPr>
        <w:pStyle w:val="Funotentext"/>
      </w:pPr>
      <w:r>
        <w:rPr>
          <w:rStyle w:val="Funotenzeichen"/>
        </w:rPr>
        <w:footnoteRef/>
      </w:r>
      <w:r w:rsidRPr="008C70A6">
        <w:rPr>
          <w:lang w:val="en-GB"/>
        </w:rPr>
        <w:t xml:space="preserve"> Patrick Greenfield. </w:t>
      </w:r>
      <w:r w:rsidRPr="00FA0F0A">
        <w:rPr>
          <w:lang w:val="en-GB"/>
        </w:rPr>
        <w:t>EU bans ‚</w:t>
      </w:r>
      <w:proofErr w:type="gramStart"/>
      <w:r w:rsidRPr="00FA0F0A">
        <w:rPr>
          <w:lang w:val="en-GB"/>
        </w:rPr>
        <w:t>misleading‘ environmental</w:t>
      </w:r>
      <w:proofErr w:type="gramEnd"/>
      <w:r w:rsidRPr="00FA0F0A">
        <w:rPr>
          <w:lang w:val="en-GB"/>
        </w:rPr>
        <w:t xml:space="preserve"> claims th</w:t>
      </w:r>
      <w:r>
        <w:rPr>
          <w:lang w:val="en-GB"/>
        </w:rPr>
        <w:t xml:space="preserve">at rely on offsetting. </w:t>
      </w:r>
      <w:r w:rsidRPr="00666D77">
        <w:t xml:space="preserve">The Guardian, 17.01.2024. </w:t>
      </w:r>
      <w:r w:rsidRPr="00FA0F0A">
        <w:t xml:space="preserve">Siehe: </w:t>
      </w:r>
      <w:hyperlink r:id="rId206" w:history="1">
        <w:r w:rsidRPr="00FA0F0A">
          <w:rPr>
            <w:rStyle w:val="Hyperlink"/>
          </w:rPr>
          <w:t>https://www.theguardian.com/environment/2024/jan/17/eu-bans-misleading-environmental-claims-that-rely-on-offsetting</w:t>
        </w:r>
      </w:hyperlink>
      <w:r w:rsidRPr="00FA0F0A">
        <w:t xml:space="preserve"> </w:t>
      </w:r>
      <w:r>
        <w:t xml:space="preserve">- Zugegriffen: 17.01.2024. </w:t>
      </w:r>
    </w:p>
  </w:footnote>
  <w:footnote w:id="259">
    <w:p w14:paraId="29C30E86" w14:textId="77777777" w:rsidR="00CA3799" w:rsidRDefault="00CA3799" w:rsidP="00CA3799">
      <w:pPr>
        <w:pStyle w:val="Funotentext"/>
      </w:pPr>
      <w:r>
        <w:rPr>
          <w:rStyle w:val="Funotenzeichen"/>
        </w:rPr>
        <w:footnoteRef/>
      </w:r>
      <w:r>
        <w:t xml:space="preserve"> Siehe: </w:t>
      </w:r>
      <w:hyperlink r:id="rId207" w:history="1">
        <w:r w:rsidRPr="00AA613D">
          <w:rPr>
            <w:rStyle w:val="Hyperlink"/>
          </w:rPr>
          <w:t>https://www.europarl.europa.eu/news/de/press-room/20240112IPR16772/parlament-nimmt-verbot-von-grunfarberei-und-irrefuhrender-produktinformation-an</w:t>
        </w:r>
      </w:hyperlink>
      <w:r>
        <w:t xml:space="preserve"> - Zugegriffen: 21.07.2024.</w:t>
      </w:r>
    </w:p>
  </w:footnote>
  <w:footnote w:id="260">
    <w:p w14:paraId="011E9B22" w14:textId="7F7B635E" w:rsidR="00E7743D" w:rsidRDefault="00E7743D">
      <w:pPr>
        <w:pStyle w:val="Funotentext"/>
      </w:pPr>
      <w:r>
        <w:rPr>
          <w:rStyle w:val="Funotenzeichen"/>
        </w:rPr>
        <w:footnoteRef/>
      </w:r>
      <w:r>
        <w:t xml:space="preserve"> Kein neues Greenwashing-Gesetz. FAZ, 21.06.2025. </w:t>
      </w:r>
    </w:p>
  </w:footnote>
  <w:footnote w:id="261">
    <w:p w14:paraId="3B10EC3E" w14:textId="77777777" w:rsidR="00CA3799" w:rsidRDefault="00CA3799" w:rsidP="00CA3799">
      <w:pPr>
        <w:pStyle w:val="Funotentext"/>
      </w:pPr>
      <w:r>
        <w:rPr>
          <w:rStyle w:val="Funotenzeichen"/>
        </w:rPr>
        <w:footnoteRef/>
      </w:r>
      <w:r>
        <w:t xml:space="preserve"> Hoch et al. 2023: IV, IX. </w:t>
      </w:r>
    </w:p>
  </w:footnote>
  <w:footnote w:id="262">
    <w:p w14:paraId="1343DDE5" w14:textId="77777777" w:rsidR="00CA3799" w:rsidRDefault="00CA3799" w:rsidP="00CA3799">
      <w:pPr>
        <w:pStyle w:val="Funotentext"/>
      </w:pPr>
      <w:r>
        <w:rPr>
          <w:rStyle w:val="Funotenzeichen"/>
        </w:rPr>
        <w:footnoteRef/>
      </w:r>
      <w:r>
        <w:t xml:space="preserve"> W</w:t>
      </w:r>
      <w:r w:rsidRPr="002A5C89">
        <w:t>er besitzt die Legitimation zu beschließen, dass weltweit zu viele Zertifikate im Umlauf sind? Und: Wenn reiche Unternehmer, etwa aus den Ölländern, China und Indien dafür bezahlen würden ihre Kohlekraftwerke zu schließen, weil dies billiger ist, als die eigene Produktion stillzulegen, ist das schön und gut, aber dann gibt es dort für die Bevölkerung keinen Strom mehr. Oder, bei Stahlwerken, keine Arbeit mehr. Realistisch ist das also nicht.</w:t>
      </w:r>
    </w:p>
  </w:footnote>
  <w:footnote w:id="263">
    <w:p w14:paraId="2DA445BA" w14:textId="1701995A" w:rsidR="00CA3799" w:rsidRDefault="00CA3799" w:rsidP="00CA3799">
      <w:pPr>
        <w:pStyle w:val="Funotentext"/>
      </w:pPr>
      <w:r>
        <w:rPr>
          <w:rStyle w:val="Funotenzeichen"/>
        </w:rPr>
        <w:footnoteRef/>
      </w:r>
      <w:r>
        <w:t xml:space="preserve"> Siehe die Webseite des BMWK: </w:t>
      </w:r>
      <w:hyperlink r:id="rId208" w:history="1">
        <w:r w:rsidRPr="005B51C2">
          <w:rPr>
            <w:rStyle w:val="Hyperlink"/>
          </w:rPr>
          <w:t>https://www.carbon-mechanisms.de/</w:t>
        </w:r>
      </w:hyperlink>
      <w:r>
        <w:t xml:space="preserve"> - Zuge</w:t>
      </w:r>
      <w:r w:rsidR="00E426A5">
        <w:t>griffen: 21.07.2024.</w:t>
      </w:r>
    </w:p>
  </w:footnote>
  <w:footnote w:id="264">
    <w:p w14:paraId="3B8338A2" w14:textId="7B11A2E7" w:rsidR="00383ACA" w:rsidRPr="00383ACA" w:rsidRDefault="00383ACA">
      <w:pPr>
        <w:pStyle w:val="Funotentext"/>
        <w:rPr>
          <w:lang w:val="en-GB"/>
        </w:rPr>
      </w:pPr>
      <w:r>
        <w:rPr>
          <w:rStyle w:val="Funotenzeichen"/>
        </w:rPr>
        <w:footnoteRef/>
      </w:r>
      <w:r w:rsidRPr="00383ACA">
        <w:rPr>
          <w:lang w:val="en-GB"/>
        </w:rPr>
        <w:t xml:space="preserve"> IEA Carbon-Free Electricity i</w:t>
      </w:r>
      <w:r>
        <w:rPr>
          <w:lang w:val="en-GB"/>
        </w:rPr>
        <w:t>n G20 Countries 2025: 13.</w:t>
      </w:r>
    </w:p>
  </w:footnote>
  <w:footnote w:id="265">
    <w:p w14:paraId="1213B881" w14:textId="77777777" w:rsidR="00CA3799" w:rsidRDefault="00CA3799" w:rsidP="00CA3799">
      <w:pPr>
        <w:pStyle w:val="Funotentext"/>
      </w:pPr>
      <w:r>
        <w:rPr>
          <w:rStyle w:val="Funotenzeichen"/>
        </w:rPr>
        <w:footnoteRef/>
      </w:r>
      <w:r>
        <w:t xml:space="preserve"> Siehe: </w:t>
      </w:r>
      <w:hyperlink r:id="rId209" w:history="1">
        <w:r w:rsidRPr="005A2154">
          <w:rPr>
            <w:rStyle w:val="Hyperlink"/>
          </w:rPr>
          <w:t>https://climate.ec.europa.eu/eu-action/eu-emissions-trading-system-eu-ets/scope-eu-emissions-trading-system_en?prefLang=de</w:t>
        </w:r>
      </w:hyperlink>
      <w:r>
        <w:t xml:space="preserve"> – Zugegriffen: 27.01.2024.</w:t>
      </w:r>
    </w:p>
  </w:footnote>
  <w:footnote w:id="266">
    <w:p w14:paraId="1999EEBA" w14:textId="77777777" w:rsidR="00CA3799" w:rsidRDefault="00CA3799" w:rsidP="00CA3799">
      <w:pPr>
        <w:pStyle w:val="Funotentext"/>
      </w:pPr>
      <w:r>
        <w:rPr>
          <w:rStyle w:val="Funotenzeichen"/>
        </w:rPr>
        <w:footnoteRef/>
      </w:r>
      <w:r>
        <w:t xml:space="preserve"> Siehe: </w:t>
      </w:r>
      <w:hyperlink r:id="rId210" w:anchor="links" w:history="1">
        <w:r w:rsidRPr="005A2154">
          <w:rPr>
            <w:rStyle w:val="Hyperlink"/>
          </w:rPr>
          <w:t>https://www.bafu.admin.ch/bafu/de/home/dokumentation/medienmitteilungen/anzeige-nsb-unter-medienmitteilungen.msg-id-77037.html#links</w:t>
        </w:r>
      </w:hyperlink>
      <w:r>
        <w:t xml:space="preserve"> – Zugegriffen: 27.01.2024. </w:t>
      </w:r>
    </w:p>
  </w:footnote>
  <w:footnote w:id="267">
    <w:p w14:paraId="41682272" w14:textId="77777777" w:rsidR="00CA3799" w:rsidRDefault="00CA3799" w:rsidP="00CA3799">
      <w:pPr>
        <w:pStyle w:val="Funotentext"/>
      </w:pPr>
      <w:r>
        <w:rPr>
          <w:rStyle w:val="Funotenzeichen"/>
        </w:rPr>
        <w:footnoteRef/>
      </w:r>
      <w:r>
        <w:t xml:space="preserve"> Siehe: </w:t>
      </w:r>
      <w:hyperlink r:id="rId211" w:history="1">
        <w:r w:rsidRPr="005A2154">
          <w:rPr>
            <w:rStyle w:val="Hyperlink"/>
          </w:rPr>
          <w:t>https://de.wikipedia.org/wiki/Emissionsrechtehandel</w:t>
        </w:r>
      </w:hyperlink>
      <w:r>
        <w:t xml:space="preserve"> - Zugegriffen: 27.01.2024.</w:t>
      </w:r>
    </w:p>
  </w:footnote>
  <w:footnote w:id="268">
    <w:p w14:paraId="52FE5730" w14:textId="77777777" w:rsidR="00CA3799" w:rsidRPr="002D54AB" w:rsidRDefault="00CA3799" w:rsidP="00CA3799">
      <w:pPr>
        <w:pStyle w:val="Funotentext"/>
      </w:pPr>
      <w:r>
        <w:rPr>
          <w:rStyle w:val="Funotenzeichen"/>
        </w:rPr>
        <w:footnoteRef/>
      </w:r>
      <w:r w:rsidRPr="002D54AB">
        <w:t xml:space="preserve"> Siehe Tag</w:t>
      </w:r>
      <w:r>
        <w:t xml:space="preserve">esschau Webseite: </w:t>
      </w:r>
      <w:hyperlink r:id="rId212" w:history="1">
        <w:r w:rsidRPr="00464CE2">
          <w:rPr>
            <w:rStyle w:val="Hyperlink"/>
          </w:rPr>
          <w:t>https://www.tagesschau.de/wirtschaft/weltwirtschaft/emissionshandel-china-101.html</w:t>
        </w:r>
      </w:hyperlink>
      <w:r>
        <w:t xml:space="preserve"> - Zugegriffen: 23.12.2023. Siehe für eine frühe Diskussion über China Weishaar et al. 2018. </w:t>
      </w:r>
    </w:p>
  </w:footnote>
  <w:footnote w:id="269">
    <w:p w14:paraId="0263BC3C" w14:textId="77777777" w:rsidR="00CA3799" w:rsidRPr="002D54AB" w:rsidRDefault="00CA3799" w:rsidP="00CA3799">
      <w:pPr>
        <w:pStyle w:val="Funotentext"/>
      </w:pPr>
      <w:r>
        <w:rPr>
          <w:rStyle w:val="Funotenzeichen"/>
        </w:rPr>
        <w:footnoteRef/>
      </w:r>
      <w:r w:rsidRPr="002D54AB">
        <w:t xml:space="preserve"> Für Mexiko und K</w:t>
      </w:r>
      <w:r>
        <w:t xml:space="preserve">olumbien macht die Consultant Firma </w:t>
      </w:r>
      <w:proofErr w:type="spellStart"/>
      <w:r>
        <w:t>Climatefocus</w:t>
      </w:r>
      <w:proofErr w:type="spellEnd"/>
      <w:r>
        <w:t xml:space="preserve"> die Öffentlichkeitsarbeit. Siehe: </w:t>
      </w:r>
      <w:hyperlink r:id="rId213" w:history="1">
        <w:r w:rsidRPr="00464CE2">
          <w:rPr>
            <w:rStyle w:val="Hyperlink"/>
          </w:rPr>
          <w:t>https://climatefocus.wpengine.com/projects/supporting-strategic-carbon-pricing-communication-in-latin-america/</w:t>
        </w:r>
      </w:hyperlink>
      <w:r>
        <w:t xml:space="preserve"> - Zugegriffen: 23.12.2023. </w:t>
      </w:r>
    </w:p>
  </w:footnote>
  <w:footnote w:id="270">
    <w:p w14:paraId="4738FD92" w14:textId="77777777" w:rsidR="00CA3799" w:rsidRDefault="00CA3799" w:rsidP="00CA3799">
      <w:pPr>
        <w:pStyle w:val="Funotentext"/>
      </w:pPr>
      <w:r>
        <w:rPr>
          <w:rStyle w:val="Funotenzeichen"/>
        </w:rPr>
        <w:footnoteRef/>
      </w:r>
      <w:r>
        <w:t xml:space="preserve"> Art. 2 Abs. (12). Zitat aus Erwägungsgrund 72: „Die Schaffung des CBAM erfordert die Entwicklung einer bilateralen, multilateralen und internationalen Zusammenarbeit mit Drittländern. Zu diesem Zweck sollte ein Forum von Ländern mit CO2-Bepreisungsinstrumenten oder anderen vergleichbaren Instrumenten („Klimaclub“) eingerichtet werden, um die Umsetzung ehrgeiziger Klimaschutzmaßnahmen in allen Ländern zu fördern und den Weg für einen globalen Rahmen für die Bepreisung von CO2-Emissionen zu ebnen. Der Klimaclub sollte offen, freiwillig und nicht exklusiv sein und insbesondere darauf ausgerichtet sein, hohe Klimaambitionen im Einklang mit dem Pariser Abkommen anzustreben. Der Klimaklub könnte unter der Schirmherrschaft einer multilateralen internationalen Organisation tätig sein und sollte den Vergleich und gegebenenfalls die Koordinierung einschlägiger Maßnahmen mit Auswirkungen auf die Emissionsminderung fördern. Der Klimaklub sollte auch die Vergleichbarkeit einschlägiger Klimaschutzmaßnahmen fördern, indem er die Qualität der Klimaüberwachung sowie der entsprechenden Berichterstattung und Prüfungen unter seinen Mitgliedern sicherstellt und Mittel für Engagement und Transparenz zwischen der Union und ihren Handelspartnern bereitstellt.“ Siehe Verordnung (EU) 2023/956, 10. Mai 2023, siehe: </w:t>
      </w:r>
      <w:hyperlink r:id="rId214" w:history="1">
        <w:r w:rsidRPr="00356F51">
          <w:rPr>
            <w:rStyle w:val="Hyperlink"/>
          </w:rPr>
          <w:t>https://eur-lex.europa.eu/legal-content/DE/TXT/PDF/?uri=CELEX:32023R0956</w:t>
        </w:r>
      </w:hyperlink>
      <w:r>
        <w:t xml:space="preserve"> – Zugegriffen: 19.01.2024.</w:t>
      </w:r>
    </w:p>
  </w:footnote>
  <w:footnote w:id="271">
    <w:p w14:paraId="4B937432" w14:textId="77777777" w:rsidR="00112190" w:rsidRPr="009F6CAA" w:rsidRDefault="00112190" w:rsidP="00112190">
      <w:pPr>
        <w:pStyle w:val="Funotentext"/>
      </w:pPr>
      <w:r>
        <w:rPr>
          <w:rStyle w:val="Funotenzeichen"/>
        </w:rPr>
        <w:footnoteRef/>
      </w:r>
      <w:r w:rsidRPr="009F6CAA">
        <w:t xml:space="preserve"> </w:t>
      </w:r>
      <w:r>
        <w:t xml:space="preserve">Koalitionsvertrag, S. 26. </w:t>
      </w:r>
      <w:r w:rsidRPr="009F6CAA">
        <w:t xml:space="preserve">Siehe: </w:t>
      </w:r>
      <w:hyperlink r:id="rId215" w:history="1">
        <w:r w:rsidRPr="005B51C2">
          <w:rPr>
            <w:rStyle w:val="Hyperlink"/>
          </w:rPr>
          <w:t>https://www.bundesregierung.de/breg-de/aktuelles/koalitionsvertrag-2021-1990800</w:t>
        </w:r>
      </w:hyperlink>
      <w:r w:rsidRPr="009F6CAA">
        <w:t xml:space="preserve"> - Zugegriffen: 28.11.2023.</w:t>
      </w:r>
    </w:p>
  </w:footnote>
  <w:footnote w:id="272">
    <w:p w14:paraId="72DD8BBC" w14:textId="77777777" w:rsidR="00112190" w:rsidRPr="0059244F" w:rsidRDefault="00112190" w:rsidP="00112190">
      <w:pPr>
        <w:pStyle w:val="Funotentext"/>
      </w:pPr>
      <w:r>
        <w:rPr>
          <w:rStyle w:val="Funotenzeichen"/>
        </w:rPr>
        <w:footnoteRef/>
      </w:r>
      <w:r w:rsidRPr="0059244F">
        <w:rPr>
          <w:lang w:val="en-GB"/>
        </w:rPr>
        <w:t xml:space="preserve"> </w:t>
      </w:r>
      <w:proofErr w:type="spellStart"/>
      <w:r w:rsidRPr="0059244F">
        <w:rPr>
          <w:lang w:val="en-GB"/>
        </w:rPr>
        <w:t>Siehe</w:t>
      </w:r>
      <w:proofErr w:type="spellEnd"/>
      <w:r w:rsidRPr="0059244F">
        <w:rPr>
          <w:lang w:val="en-GB"/>
        </w:rPr>
        <w:t xml:space="preserve"> Terms of</w:t>
      </w:r>
      <w:r>
        <w:rPr>
          <w:lang w:val="en-GB"/>
        </w:rPr>
        <w:t xml:space="preserve"> Reference for the Climate Club, 12. </w:t>
      </w:r>
      <w:proofErr w:type="spellStart"/>
      <w:r w:rsidRPr="0059244F">
        <w:t>December</w:t>
      </w:r>
      <w:proofErr w:type="spellEnd"/>
      <w:r w:rsidRPr="0059244F">
        <w:t xml:space="preserve"> 2022: </w:t>
      </w:r>
      <w:hyperlink r:id="rId216" w:history="1">
        <w:r w:rsidRPr="0059244F">
          <w:rPr>
            <w:rStyle w:val="Hyperlink"/>
          </w:rPr>
          <w:t>https://www.g7germany.de/resource/blob/974430/2153140/353c0548bb27a75534468d624f738848/2022-12-12-g7-erklaerung-data.pdf?download=1</w:t>
        </w:r>
      </w:hyperlink>
      <w:r w:rsidRPr="0059244F">
        <w:t xml:space="preserve"> </w:t>
      </w:r>
      <w:r>
        <w:t>–</w:t>
      </w:r>
      <w:r w:rsidRPr="0059244F">
        <w:t xml:space="preserve"> Zu</w:t>
      </w:r>
      <w:r>
        <w:t xml:space="preserve">gegriffen: 28.11.2023. </w:t>
      </w:r>
    </w:p>
  </w:footnote>
  <w:footnote w:id="273">
    <w:p w14:paraId="3846A8E1" w14:textId="77777777" w:rsidR="00112190" w:rsidRDefault="00112190" w:rsidP="00112190">
      <w:pPr>
        <w:pStyle w:val="Funotentext"/>
      </w:pPr>
      <w:r>
        <w:rPr>
          <w:rStyle w:val="Funotenzeichen"/>
        </w:rPr>
        <w:footnoteRef/>
      </w:r>
      <w:r>
        <w:t xml:space="preserve"> Ralph Bollmann. Ein Klub für die klimafreundliche Industrie. FAZ, 02.12.2023. Siehe auch: </w:t>
      </w:r>
      <w:hyperlink r:id="rId217" w:history="1">
        <w:r w:rsidRPr="005C07CB">
          <w:rPr>
            <w:rStyle w:val="Hyperlink"/>
          </w:rPr>
          <w:t>https://www.spiegel.de/wissenschaft/natur/cop28-olaf-scholz-verkuendet-start-von-klimaclub-klimaneutrale-industrie-als-ziel-a-f7fba677-60f5-462b-b389-e57dce02eb8f</w:t>
        </w:r>
      </w:hyperlink>
      <w:r>
        <w:t xml:space="preserve"> - Zugegriffen: 02.12.2023.</w:t>
      </w:r>
    </w:p>
  </w:footnote>
  <w:footnote w:id="274">
    <w:p w14:paraId="09C983B4" w14:textId="583C5064" w:rsidR="00112190" w:rsidRDefault="00112190" w:rsidP="00112190">
      <w:pPr>
        <w:pStyle w:val="Funotentext"/>
      </w:pPr>
      <w:r>
        <w:rPr>
          <w:rStyle w:val="Funotenzeichen"/>
        </w:rPr>
        <w:footnoteRef/>
      </w:r>
      <w:r>
        <w:t xml:space="preserve"> </w:t>
      </w:r>
      <w:r w:rsidR="00F5174C">
        <w:t>S. 16, s</w:t>
      </w:r>
      <w:r>
        <w:t xml:space="preserve">iehe: </w:t>
      </w:r>
      <w:hyperlink r:id="rId218" w:history="1">
        <w:r w:rsidRPr="008633A4">
          <w:rPr>
            <w:rStyle w:val="Hyperlink"/>
          </w:rPr>
          <w:t>https://www.g7germany.de/g7-en/current-information/g7-summit-outcomes-2058314</w:t>
        </w:r>
      </w:hyperlink>
      <w:r>
        <w:t xml:space="preserve"> - Zugegriffen: 28.11.2023. </w:t>
      </w:r>
    </w:p>
  </w:footnote>
  <w:footnote w:id="275">
    <w:p w14:paraId="59F9F6ED" w14:textId="59DD5DCD" w:rsidR="00F24C97" w:rsidRDefault="00F24C97">
      <w:pPr>
        <w:pStyle w:val="Funotentext"/>
      </w:pPr>
      <w:r>
        <w:rPr>
          <w:rStyle w:val="Funotenzeichen"/>
        </w:rPr>
        <w:footnoteRef/>
      </w:r>
      <w:r>
        <w:t xml:space="preserve"> </w:t>
      </w:r>
      <w:r w:rsidR="00A1769A">
        <w:t xml:space="preserve">Siehe: </w:t>
      </w:r>
      <w:hyperlink r:id="rId219" w:history="1">
        <w:r w:rsidR="00A1769A" w:rsidRPr="00C82A68">
          <w:rPr>
            <w:rStyle w:val="Hyperlink"/>
          </w:rPr>
          <w:t>https://climate-club.org/</w:t>
        </w:r>
      </w:hyperlink>
      <w:r w:rsidR="00A1769A">
        <w:t xml:space="preserve"> </w:t>
      </w:r>
    </w:p>
  </w:footnote>
  <w:footnote w:id="276">
    <w:p w14:paraId="2232B978" w14:textId="05043804" w:rsidR="00FA2281" w:rsidRDefault="00FA2281">
      <w:pPr>
        <w:pStyle w:val="Funotentext"/>
      </w:pPr>
      <w:r>
        <w:rPr>
          <w:rStyle w:val="Funotenzeichen"/>
        </w:rPr>
        <w:footnoteRef/>
      </w:r>
      <w:r>
        <w:t xml:space="preserve"> Alle Dokumente finden sich hier: </w:t>
      </w:r>
      <w:hyperlink r:id="rId220" w:history="1">
        <w:r w:rsidRPr="002D6409">
          <w:rPr>
            <w:rStyle w:val="Hyperlink"/>
          </w:rPr>
          <w:t>https://www.g7italy.it/en/documents/</w:t>
        </w:r>
      </w:hyperlink>
      <w:r>
        <w:t xml:space="preserve"> - Zugegriffen: 16.06.2024. </w:t>
      </w:r>
    </w:p>
  </w:footnote>
  <w:footnote w:id="277">
    <w:p w14:paraId="12CE3A34" w14:textId="1433B33C" w:rsidR="00112190" w:rsidRDefault="00112190" w:rsidP="00112190">
      <w:pPr>
        <w:pStyle w:val="Funotentext"/>
      </w:pPr>
      <w:r>
        <w:rPr>
          <w:rStyle w:val="Funotenzeichen"/>
        </w:rPr>
        <w:footnoteRef/>
      </w:r>
      <w:r>
        <w:t xml:space="preserve"> </w:t>
      </w:r>
      <w:r w:rsidR="00F5174C">
        <w:t>S. 16, s</w:t>
      </w:r>
      <w:r w:rsidR="000627D0">
        <w:t xml:space="preserve">iehe: </w:t>
      </w:r>
      <w:hyperlink r:id="rId221" w:history="1">
        <w:r w:rsidR="000627D0" w:rsidRPr="002D6409">
          <w:rPr>
            <w:rStyle w:val="Hyperlink"/>
          </w:rPr>
          <w:t>https://www.g7italy.it/wp-content/uploads/Apulia-G7-Leaders-Communique.pdf</w:t>
        </w:r>
      </w:hyperlink>
      <w:r w:rsidR="000627D0">
        <w:t xml:space="preserve"> - Zugegriffen: 16.06.2024. </w:t>
      </w:r>
    </w:p>
  </w:footnote>
  <w:footnote w:id="278">
    <w:p w14:paraId="6D9BE522" w14:textId="4A2DD57F" w:rsidR="009A4980" w:rsidRDefault="009A4980">
      <w:pPr>
        <w:pStyle w:val="Funotentext"/>
      </w:pPr>
      <w:r>
        <w:rPr>
          <w:rStyle w:val="Funotenzeichen"/>
        </w:rPr>
        <w:footnoteRef/>
      </w:r>
      <w:r>
        <w:t xml:space="preserve"> </w:t>
      </w:r>
      <w:r w:rsidR="000627D0">
        <w:t xml:space="preserve">Siehe: </w:t>
      </w:r>
      <w:hyperlink r:id="rId222" w:history="1">
        <w:r w:rsidR="000627D0" w:rsidRPr="002D6409">
          <w:rPr>
            <w:rStyle w:val="Hyperlink"/>
          </w:rPr>
          <w:t>https://www.g7italy.it/wp-content/uploads/Apulia-G7-Leaders-Communique.pdf</w:t>
        </w:r>
      </w:hyperlink>
      <w:r w:rsidR="000627D0">
        <w:t xml:space="preserve"> - Zugegriffen: 16.06.2024. </w:t>
      </w:r>
    </w:p>
  </w:footnote>
  <w:footnote w:id="279">
    <w:p w14:paraId="1FACD977" w14:textId="0AAB923F" w:rsidR="009A4980" w:rsidRDefault="009A4980">
      <w:pPr>
        <w:pStyle w:val="Funotentext"/>
      </w:pPr>
      <w:r>
        <w:rPr>
          <w:rStyle w:val="Funotenzeichen"/>
        </w:rPr>
        <w:footnoteRef/>
      </w:r>
      <w:r>
        <w:t xml:space="preserve"> Siehe: </w:t>
      </w:r>
      <w:hyperlink r:id="rId223" w:history="1">
        <w:r w:rsidRPr="002D6409">
          <w:rPr>
            <w:rStyle w:val="Hyperlink"/>
          </w:rPr>
          <w:t>https://www.g7italy.it/wp-content/uploads/Annex-V.-Note-AGIA_G7-FMCBG-Meeting-May-23-25-2024.pdf</w:t>
        </w:r>
      </w:hyperlink>
      <w:r>
        <w:t xml:space="preserve"> - Zugegriffen: 16.06.2024. </w:t>
      </w:r>
    </w:p>
  </w:footnote>
  <w:footnote w:id="280">
    <w:p w14:paraId="189A1AC0" w14:textId="559BBC79" w:rsidR="000627D0" w:rsidRDefault="000627D0">
      <w:pPr>
        <w:pStyle w:val="Funotentext"/>
      </w:pPr>
      <w:r>
        <w:rPr>
          <w:rStyle w:val="Funotenzeichen"/>
        </w:rPr>
        <w:footnoteRef/>
      </w:r>
      <w:r>
        <w:t xml:space="preserve"> Siehe: </w:t>
      </w:r>
      <w:hyperlink r:id="rId224" w:history="1">
        <w:r w:rsidRPr="002D6409">
          <w:rPr>
            <w:rStyle w:val="Hyperlink"/>
          </w:rPr>
          <w:t>https://www.g7italy.it/wp-content/uploads/Annex-IV.-Update-note-on-the-Rise-Partnership_G7-FMCBG-23-25-May-2024-Stresa.pdf</w:t>
        </w:r>
      </w:hyperlink>
      <w:r>
        <w:t xml:space="preserve"> – Zugegriffen: 16.06.2024. </w:t>
      </w:r>
    </w:p>
  </w:footnote>
  <w:footnote w:id="281">
    <w:p w14:paraId="0C9B9E02" w14:textId="77777777" w:rsidR="00112190" w:rsidRDefault="00112190" w:rsidP="00112190">
      <w:pPr>
        <w:pStyle w:val="Funotentext"/>
      </w:pPr>
      <w:r>
        <w:rPr>
          <w:rStyle w:val="Funotenzeichen"/>
        </w:rPr>
        <w:footnoteRef/>
      </w:r>
      <w:r>
        <w:t xml:space="preserve"> Siehe: </w:t>
      </w:r>
      <w:hyperlink r:id="rId225" w:history="1">
        <w:r w:rsidRPr="0037798D">
          <w:rPr>
            <w:rStyle w:val="Hyperlink"/>
          </w:rPr>
          <w:t>https://www.g7italy.it/en/the-ministerial-meeting-on-climate-energy-and-environment-ends-with-the-adoption-of-a-joint-communique/</w:t>
        </w:r>
      </w:hyperlink>
      <w:r>
        <w:t xml:space="preserve"> - Zugegriffen: 12.05.2024.</w:t>
      </w:r>
    </w:p>
  </w:footnote>
  <w:footnote w:id="282">
    <w:p w14:paraId="49096048" w14:textId="77777777" w:rsidR="00112190" w:rsidRDefault="00112190" w:rsidP="00112190">
      <w:pPr>
        <w:pStyle w:val="Funotentext"/>
      </w:pPr>
      <w:r>
        <w:rPr>
          <w:rStyle w:val="Funotenzeichen"/>
        </w:rPr>
        <w:footnoteRef/>
      </w:r>
      <w:r>
        <w:t xml:space="preserve"> Siehe die G7 Hiroshima Webseite: </w:t>
      </w:r>
      <w:hyperlink r:id="rId226" w:history="1">
        <w:r w:rsidRPr="0037798D">
          <w:rPr>
            <w:rStyle w:val="Hyperlink"/>
          </w:rPr>
          <w:t>https://www.mofa.go.jp/policy/economy/summit/hiroshima23/en/</w:t>
        </w:r>
      </w:hyperlink>
      <w:r>
        <w:t xml:space="preserve"> - Zugegriffen: 12.05.2024. </w:t>
      </w:r>
    </w:p>
  </w:footnote>
  <w:footnote w:id="283">
    <w:p w14:paraId="07BF94C8" w14:textId="77777777" w:rsidR="00112190" w:rsidRPr="00725A2E" w:rsidRDefault="00112190" w:rsidP="00112190">
      <w:pPr>
        <w:pStyle w:val="Funotentext"/>
        <w:rPr>
          <w:lang w:val="en-GB"/>
        </w:rPr>
      </w:pPr>
      <w:r>
        <w:rPr>
          <w:rStyle w:val="Funotenzeichen"/>
        </w:rPr>
        <w:footnoteRef/>
      </w:r>
      <w:r w:rsidRPr="00725A2E">
        <w:rPr>
          <w:lang w:val="en-GB"/>
        </w:rPr>
        <w:t xml:space="preserve"> IEA</w:t>
      </w:r>
      <w:r>
        <w:rPr>
          <w:lang w:val="en-GB"/>
        </w:rPr>
        <w:t xml:space="preserve">: </w:t>
      </w:r>
      <w:r w:rsidRPr="00725A2E">
        <w:rPr>
          <w:lang w:val="en-GB"/>
        </w:rPr>
        <w:t>Working Party on Industrial Decarbonisation (WPID)</w:t>
      </w:r>
      <w:r>
        <w:rPr>
          <w:lang w:val="en-GB"/>
        </w:rPr>
        <w:t xml:space="preserve">; </w:t>
      </w:r>
      <w:r w:rsidRPr="00725A2E">
        <w:rPr>
          <w:lang w:val="en-GB"/>
        </w:rPr>
        <w:t>IEA Energy Innovation Forum</w:t>
      </w:r>
      <w:r>
        <w:rPr>
          <w:lang w:val="en-GB"/>
        </w:rPr>
        <w:t xml:space="preserve">; </w:t>
      </w:r>
      <w:r w:rsidRPr="00725A2E">
        <w:rPr>
          <w:lang w:val="en-GB"/>
        </w:rPr>
        <w:t>OECD</w:t>
      </w:r>
      <w:r>
        <w:rPr>
          <w:lang w:val="en-GB"/>
        </w:rPr>
        <w:t>:</w:t>
      </w:r>
      <w:r w:rsidRPr="00725A2E">
        <w:rPr>
          <w:lang w:val="en-GB"/>
        </w:rPr>
        <w:t xml:space="preserve"> Inclusive Forum on Carbon Mitigation</w:t>
      </w:r>
      <w:r>
        <w:rPr>
          <w:lang w:val="en-GB"/>
        </w:rPr>
        <w:t xml:space="preserve"> </w:t>
      </w:r>
      <w:r w:rsidRPr="00725A2E">
        <w:rPr>
          <w:lang w:val="en-GB"/>
        </w:rPr>
        <w:t>Approaches</w:t>
      </w:r>
      <w:r>
        <w:rPr>
          <w:lang w:val="en-GB"/>
        </w:rPr>
        <w:t xml:space="preserve">; </w:t>
      </w:r>
      <w:r w:rsidRPr="00725A2E">
        <w:rPr>
          <w:lang w:val="en-GB"/>
        </w:rPr>
        <w:t>Clean Energy Ministerial Industrial Decarbonization Initiative</w:t>
      </w:r>
      <w:r>
        <w:rPr>
          <w:lang w:val="en-GB"/>
        </w:rPr>
        <w:t>;</w:t>
      </w:r>
      <w:r w:rsidRPr="00725A2E">
        <w:rPr>
          <w:lang w:val="en-GB"/>
        </w:rPr>
        <w:t xml:space="preserve"> Climate Club</w:t>
      </w:r>
      <w:r>
        <w:rPr>
          <w:lang w:val="en-GB"/>
        </w:rPr>
        <w:t>.</w:t>
      </w:r>
    </w:p>
  </w:footnote>
  <w:footnote w:id="284">
    <w:p w14:paraId="5BBB8257" w14:textId="77777777" w:rsidR="00112190" w:rsidRDefault="00112190" w:rsidP="00112190">
      <w:pPr>
        <w:pStyle w:val="Funotentext"/>
      </w:pPr>
      <w:r>
        <w:rPr>
          <w:rStyle w:val="Funotenzeichen"/>
        </w:rPr>
        <w:footnoteRef/>
      </w:r>
      <w:r>
        <w:t xml:space="preserve"> Siehe: </w:t>
      </w:r>
      <w:hyperlink r:id="rId227" w:history="1">
        <w:r w:rsidRPr="0037798D">
          <w:rPr>
            <w:rStyle w:val="Hyperlink"/>
          </w:rPr>
          <w:t>https://www.g7italy.it/wp-content/uploads/G7-Climate-Energy-Environment-Ministerial-Communique_Final.pdf</w:t>
        </w:r>
      </w:hyperlink>
      <w:r>
        <w:t xml:space="preserve"> - Zugegriffen: 12.05.2024.</w:t>
      </w:r>
    </w:p>
  </w:footnote>
  <w:footnote w:id="285">
    <w:p w14:paraId="43841A99" w14:textId="77777777" w:rsidR="00112190" w:rsidRPr="00FE62B9" w:rsidRDefault="00112190" w:rsidP="00112190">
      <w:pPr>
        <w:pStyle w:val="Funotentext"/>
      </w:pPr>
      <w:r>
        <w:rPr>
          <w:rStyle w:val="Funotenzeichen"/>
        </w:rPr>
        <w:footnoteRef/>
      </w:r>
      <w:r w:rsidRPr="00FE62B9">
        <w:t xml:space="preserve"> Hanna Decker, Christian Geinitz, Christian Schubert. </w:t>
      </w:r>
      <w:r>
        <w:t xml:space="preserve">Beschluss in Turin, </w:t>
      </w:r>
      <w:r w:rsidRPr="00FE62B9">
        <w:t>Die</w:t>
      </w:r>
      <w:r>
        <w:t xml:space="preserve"> G7 will raus aus der Kohle. FAZ, 02.05.2024.</w:t>
      </w:r>
    </w:p>
  </w:footnote>
  <w:footnote w:id="286">
    <w:p w14:paraId="23BF1D0C" w14:textId="5B72AD73" w:rsidR="00F059FD" w:rsidRDefault="00F059FD">
      <w:pPr>
        <w:pStyle w:val="Funotentext"/>
      </w:pPr>
      <w:r>
        <w:rPr>
          <w:rStyle w:val="Funotenzeichen"/>
        </w:rPr>
        <w:footnoteRef/>
      </w:r>
      <w:r>
        <w:t xml:space="preserve"> Siehe: </w:t>
      </w:r>
      <w:hyperlink r:id="rId228" w:history="1">
        <w:r w:rsidRPr="00187BF9">
          <w:rPr>
            <w:rStyle w:val="Hyperlink"/>
          </w:rPr>
          <w:t>https://www.consilium.europa.eu/media/l11hh2mb/g20-rio-de-janeiro-leaders-declaration-final.pdf</w:t>
        </w:r>
      </w:hyperlink>
      <w:r>
        <w:t xml:space="preserve"> - Zugegriffen: 11.04.2025.</w:t>
      </w:r>
    </w:p>
  </w:footnote>
  <w:footnote w:id="287">
    <w:p w14:paraId="3CA13FE1" w14:textId="59C1B9E2" w:rsidR="00F059FD" w:rsidRDefault="00F059FD" w:rsidP="00F059FD">
      <w:pPr>
        <w:pStyle w:val="Funotentext"/>
      </w:pPr>
      <w:r>
        <w:rPr>
          <w:rStyle w:val="Funotenzeichen"/>
        </w:rPr>
        <w:footnoteRef/>
      </w:r>
      <w:r>
        <w:t xml:space="preserve"> </w:t>
      </w:r>
      <w:proofErr w:type="spellStart"/>
      <w:r>
        <w:t>Rdnr</w:t>
      </w:r>
      <w:proofErr w:type="spellEnd"/>
      <w:r>
        <w:t xml:space="preserve">. 45, siehe: </w:t>
      </w:r>
      <w:hyperlink r:id="rId229" w:history="1">
        <w:r w:rsidRPr="00187BF9">
          <w:rPr>
            <w:rStyle w:val="Hyperlink"/>
          </w:rPr>
          <w:t>https://www.consilium.europa.eu/media/l11hh2mb/g20-rio-de-janeiro-leaders-declaration-final.pdf</w:t>
        </w:r>
      </w:hyperlink>
      <w:r>
        <w:t xml:space="preserve"> - Zugegriffen: 11.04.2025.</w:t>
      </w:r>
    </w:p>
  </w:footnote>
  <w:footnote w:id="288">
    <w:p w14:paraId="7B5DDE47" w14:textId="343DCCDE" w:rsidR="00E426A5" w:rsidRPr="00E426A5" w:rsidRDefault="00E426A5">
      <w:pPr>
        <w:pStyle w:val="Funotentext"/>
      </w:pPr>
      <w:r>
        <w:rPr>
          <w:rStyle w:val="Funotenzeichen"/>
        </w:rPr>
        <w:footnoteRef/>
      </w:r>
      <w:r w:rsidRPr="00E426A5">
        <w:rPr>
          <w:lang w:val="en-GB"/>
        </w:rPr>
        <w:t xml:space="preserve"> Roadmap to </w:t>
      </w:r>
      <w:r>
        <w:rPr>
          <w:lang w:val="en-GB"/>
        </w:rPr>
        <w:t>I</w:t>
      </w:r>
      <w:r w:rsidRPr="00E426A5">
        <w:rPr>
          <w:lang w:val="en-GB"/>
        </w:rPr>
        <w:t>ncrease Investment i</w:t>
      </w:r>
      <w:r>
        <w:rPr>
          <w:lang w:val="en-GB"/>
        </w:rPr>
        <w:t xml:space="preserve">n Clean Energy 2024. </w:t>
      </w:r>
      <w:r w:rsidRPr="00E426A5">
        <w:t xml:space="preserve">Siehe: </w:t>
      </w:r>
      <w:hyperlink r:id="rId230" w:history="1">
        <w:r w:rsidRPr="004778A0">
          <w:rPr>
            <w:rStyle w:val="Hyperlink"/>
          </w:rPr>
          <w:t>https://iea.blob.core.windows.net/assets/6ac243a9-247b-4b79-bc01-0e7730434118/RoadmaptoIncreaseInvestmentinCleanEnergyinDevelopingCountriesaninitiativebytheG20BrazilPresidency.pdf</w:t>
        </w:r>
      </w:hyperlink>
      <w:r>
        <w:t xml:space="preserve"> - Zugegriffen: 17.04.2025. </w:t>
      </w:r>
    </w:p>
  </w:footnote>
  <w:footnote w:id="289">
    <w:p w14:paraId="45367DAC" w14:textId="2F6599F6" w:rsidR="00F059FD" w:rsidRDefault="00F059FD" w:rsidP="00F059FD">
      <w:pPr>
        <w:pStyle w:val="Funotentext"/>
      </w:pPr>
      <w:r>
        <w:rPr>
          <w:rStyle w:val="Funotenzeichen"/>
        </w:rPr>
        <w:footnoteRef/>
      </w:r>
      <w:r>
        <w:t xml:space="preserve"> </w:t>
      </w:r>
      <w:proofErr w:type="spellStart"/>
      <w:r>
        <w:t>Rdnr</w:t>
      </w:r>
      <w:proofErr w:type="spellEnd"/>
      <w:r>
        <w:t xml:space="preserve">. </w:t>
      </w:r>
      <w:r w:rsidR="000A2F97">
        <w:t>56</w:t>
      </w:r>
      <w:r>
        <w:t xml:space="preserve">, siehe: </w:t>
      </w:r>
      <w:hyperlink r:id="rId231" w:history="1">
        <w:r w:rsidRPr="00187BF9">
          <w:rPr>
            <w:rStyle w:val="Hyperlink"/>
          </w:rPr>
          <w:t>https://www.consilium.europa.eu/media/l11hh2mb/g20-rio-de-janeiro-leaders-declaration-final.pdf</w:t>
        </w:r>
      </w:hyperlink>
      <w:r>
        <w:t xml:space="preserve"> - Zugegriffen: 11.04.2025.</w:t>
      </w:r>
    </w:p>
  </w:footnote>
  <w:footnote w:id="290">
    <w:p w14:paraId="31918B9C" w14:textId="0BC2F7A7" w:rsidR="00C90062" w:rsidRDefault="00C90062" w:rsidP="00F54AAA">
      <w:pPr>
        <w:pStyle w:val="Funotentext"/>
        <w:tabs>
          <w:tab w:val="left" w:pos="1035"/>
        </w:tabs>
      </w:pPr>
      <w:r>
        <w:rPr>
          <w:rStyle w:val="Funotenzeichen"/>
        </w:rPr>
        <w:footnoteRef/>
      </w:r>
      <w:r>
        <w:t xml:space="preserve"> </w:t>
      </w:r>
      <w:r w:rsidR="00F54AAA">
        <w:t xml:space="preserve">Siehe: </w:t>
      </w:r>
      <w:hyperlink r:id="rId232" w:history="1">
        <w:r w:rsidR="00F54AAA" w:rsidRPr="00187BF9">
          <w:rPr>
            <w:rStyle w:val="Hyperlink"/>
          </w:rPr>
          <w:t>https://www.climatechangenews.com/2025/04/09/new-global-fund-for-forests-is-a-bold-experiment-in-conservation-finance/</w:t>
        </w:r>
      </w:hyperlink>
      <w:r w:rsidR="00F54AAA">
        <w:t xml:space="preserve"> - Zugegriffen: 11.04.2025. </w:t>
      </w:r>
      <w:r w:rsidR="00F54AAA">
        <w:tab/>
      </w:r>
    </w:p>
  </w:footnote>
  <w:footnote w:id="291">
    <w:p w14:paraId="22476520" w14:textId="453D7C7F" w:rsidR="00F54AAA" w:rsidRDefault="00F54AAA">
      <w:pPr>
        <w:pStyle w:val="Funotentext"/>
      </w:pPr>
      <w:r>
        <w:rPr>
          <w:rStyle w:val="Funotenzeichen"/>
        </w:rPr>
        <w:footnoteRef/>
      </w:r>
      <w:r>
        <w:t xml:space="preserve"> Siehe: </w:t>
      </w:r>
      <w:hyperlink r:id="rId233" w:history="1">
        <w:r w:rsidRPr="00187BF9">
          <w:rPr>
            <w:rStyle w:val="Hyperlink"/>
          </w:rPr>
          <w:t>https://globalfoundation.org.au/wp-content/uploads/2024/06/Brazil-Government-Tropical-Forests-Forever-Initiative.pdf</w:t>
        </w:r>
      </w:hyperlink>
      <w:r>
        <w:t xml:space="preserve"> - Zugegriffen: 11.04.2025. </w:t>
      </w:r>
    </w:p>
  </w:footnote>
  <w:footnote w:id="292">
    <w:p w14:paraId="71D4D148" w14:textId="7612788E" w:rsidR="00CB4241" w:rsidRDefault="00CB4241">
      <w:pPr>
        <w:pStyle w:val="Funotentext"/>
      </w:pPr>
      <w:r>
        <w:rPr>
          <w:rStyle w:val="Funotenzeichen"/>
        </w:rPr>
        <w:footnoteRef/>
      </w:r>
      <w:r>
        <w:t xml:space="preserve"> Siehe: </w:t>
      </w:r>
      <w:hyperlink r:id="rId234" w:anchor="tar-2" w:history="1">
        <w:r w:rsidRPr="00187BF9">
          <w:rPr>
            <w:rStyle w:val="Hyperlink"/>
          </w:rPr>
          <w:t>https://www.bundesregierung.de/breg-de/schwerpunkte-der-bundesregierung/uebersicht-der-gipfeldokumente-387332#tar-2</w:t>
        </w:r>
      </w:hyperlink>
      <w:r>
        <w:t xml:space="preserve"> – Zugegriffen: 11.04.2025. </w:t>
      </w:r>
    </w:p>
  </w:footnote>
  <w:footnote w:id="293">
    <w:p w14:paraId="46412B70" w14:textId="5D5CF9AD" w:rsidR="00CB4241" w:rsidRDefault="00CB4241">
      <w:pPr>
        <w:pStyle w:val="Funotentext"/>
      </w:pPr>
      <w:r>
        <w:rPr>
          <w:rStyle w:val="Funotenzeichen"/>
        </w:rPr>
        <w:footnoteRef/>
      </w:r>
      <w:r>
        <w:t xml:space="preserve"> Siehe: </w:t>
      </w:r>
      <w:hyperlink r:id="rId235" w:history="1">
        <w:r w:rsidRPr="00187BF9">
          <w:rPr>
            <w:rStyle w:val="Hyperlink"/>
          </w:rPr>
          <w:t>https://g20.org/g20-south-africa/g20-presidency/</w:t>
        </w:r>
      </w:hyperlink>
      <w:r>
        <w:t xml:space="preserve"> - Zugegriffen: 11.04.2025.</w:t>
      </w:r>
    </w:p>
  </w:footnote>
  <w:footnote w:id="294">
    <w:p w14:paraId="588B7D08" w14:textId="0E6AB34A" w:rsidR="00CB4241" w:rsidRDefault="00CB4241">
      <w:pPr>
        <w:pStyle w:val="Funotentext"/>
      </w:pPr>
      <w:r>
        <w:rPr>
          <w:rStyle w:val="Funotenzeichen"/>
        </w:rPr>
        <w:footnoteRef/>
      </w:r>
      <w:r>
        <w:t xml:space="preserve"> Siehe: </w:t>
      </w:r>
      <w:hyperlink r:id="rId236" w:history="1">
        <w:r w:rsidRPr="00CB4241">
          <w:rPr>
            <w:rStyle w:val="Hyperlink"/>
          </w:rPr>
          <w:t>https://g7.canada.ca/en/</w:t>
        </w:r>
      </w:hyperlink>
    </w:p>
  </w:footnote>
  <w:footnote w:id="295">
    <w:p w14:paraId="5CC53B8B" w14:textId="58F771EA" w:rsidR="00CB4241" w:rsidRDefault="00CB4241">
      <w:pPr>
        <w:pStyle w:val="Funotentext"/>
      </w:pPr>
      <w:r>
        <w:rPr>
          <w:rStyle w:val="Funotenzeichen"/>
        </w:rPr>
        <w:footnoteRef/>
      </w:r>
      <w:r>
        <w:t xml:space="preserve"> Siehe: </w:t>
      </w:r>
      <w:hyperlink r:id="rId237" w:history="1">
        <w:r w:rsidRPr="00187BF9">
          <w:rPr>
            <w:rStyle w:val="Hyperlink"/>
          </w:rPr>
          <w:t>https://g7.utoronto.ca/</w:t>
        </w:r>
      </w:hyperlink>
      <w:r>
        <w:t xml:space="preserve"> </w:t>
      </w:r>
    </w:p>
  </w:footnote>
  <w:footnote w:id="296">
    <w:p w14:paraId="3DFD3500" w14:textId="77777777" w:rsidR="00112190" w:rsidRDefault="00112190" w:rsidP="00112190">
      <w:pPr>
        <w:pStyle w:val="Funotentext"/>
      </w:pPr>
      <w:r>
        <w:rPr>
          <w:rStyle w:val="Funotenzeichen"/>
        </w:rPr>
        <w:footnoteRef/>
      </w:r>
      <w:r>
        <w:t xml:space="preserve"> Siehe die G7 Germany 2022 Webseite: </w:t>
      </w:r>
      <w:hyperlink r:id="rId238" w:history="1">
        <w:r w:rsidRPr="008633A4">
          <w:rPr>
            <w:rStyle w:val="Hyperlink"/>
          </w:rPr>
          <w:t>https://www.g7germany.de/g7-en</w:t>
        </w:r>
      </w:hyperlink>
      <w:r>
        <w:t xml:space="preserve"> - Zugegriffen: 28.11.2023. </w:t>
      </w:r>
    </w:p>
  </w:footnote>
  <w:footnote w:id="297">
    <w:p w14:paraId="35E71D8A" w14:textId="77777777" w:rsidR="00112190" w:rsidRDefault="00112190" w:rsidP="00112190">
      <w:pPr>
        <w:pStyle w:val="Funotentext"/>
      </w:pPr>
      <w:r>
        <w:rPr>
          <w:rStyle w:val="Funotenzeichen"/>
        </w:rPr>
        <w:footnoteRef/>
      </w:r>
      <w:r>
        <w:t xml:space="preserve"> Siehe: </w:t>
      </w:r>
      <w:hyperlink r:id="rId239" w:history="1">
        <w:r w:rsidRPr="008633A4">
          <w:rPr>
            <w:rStyle w:val="Hyperlink"/>
          </w:rPr>
          <w:t>https://www.g7germany.de/g7-en/current-information/g7-summit-outcomes-2058314</w:t>
        </w:r>
      </w:hyperlink>
      <w:r>
        <w:t xml:space="preserve"> - Zugegriffen: 28.11.2023. </w:t>
      </w:r>
    </w:p>
  </w:footnote>
  <w:footnote w:id="298">
    <w:p w14:paraId="7E64F71E" w14:textId="77777777" w:rsidR="00112190" w:rsidRDefault="00112190" w:rsidP="00112190">
      <w:pPr>
        <w:pStyle w:val="Funotentext"/>
      </w:pPr>
      <w:r>
        <w:rPr>
          <w:rStyle w:val="Funotenzeichen"/>
        </w:rPr>
        <w:footnoteRef/>
      </w:r>
      <w:r>
        <w:t xml:space="preserve"> Siehe EU Infos: </w:t>
      </w:r>
      <w:hyperlink r:id="rId240" w:history="1">
        <w:r w:rsidRPr="008633A4">
          <w:rPr>
            <w:rStyle w:val="Hyperlink"/>
          </w:rPr>
          <w:t>https://www.eeas.europa.eu/delegations/south-africa/south-africa%E2%80%99s-just-energy-transition-progressing-says-international-partners-group-ahead-cop28_en</w:t>
        </w:r>
      </w:hyperlink>
      <w:r>
        <w:t xml:space="preserve"> – Zugegriffen: 28.11.2023. </w:t>
      </w:r>
    </w:p>
  </w:footnote>
  <w:footnote w:id="299">
    <w:p w14:paraId="02693EC0" w14:textId="77777777" w:rsidR="00112190" w:rsidRDefault="00112190" w:rsidP="00112190">
      <w:pPr>
        <w:pStyle w:val="Funotentext"/>
      </w:pPr>
      <w:r>
        <w:rPr>
          <w:rStyle w:val="Funotenzeichen"/>
        </w:rPr>
        <w:footnoteRef/>
      </w:r>
      <w:r>
        <w:t xml:space="preserve"> Siehe: </w:t>
      </w:r>
      <w:hyperlink r:id="rId241" w:history="1">
        <w:r w:rsidRPr="008633A4">
          <w:rPr>
            <w:rStyle w:val="Hyperlink"/>
          </w:rPr>
          <w:t>https://www.engineeringnews.co.za/article/ipg-confirms-increase-in-just-energy-transition-funding-to-93bn-2023-11-20</w:t>
        </w:r>
      </w:hyperlink>
      <w:r>
        <w:t xml:space="preserve"> - Zugegriffen: 28.11.2023. </w:t>
      </w:r>
    </w:p>
  </w:footnote>
  <w:footnote w:id="300">
    <w:p w14:paraId="1A99012D" w14:textId="77777777" w:rsidR="00112190" w:rsidRPr="005B51C2" w:rsidRDefault="00112190" w:rsidP="00112190">
      <w:pPr>
        <w:pStyle w:val="Funotentext"/>
      </w:pPr>
      <w:r>
        <w:rPr>
          <w:rStyle w:val="Funotenzeichen"/>
        </w:rPr>
        <w:footnoteRef/>
      </w:r>
      <w:r w:rsidRPr="005B51C2">
        <w:t xml:space="preserve"> Sieh</w:t>
      </w:r>
      <w:r>
        <w:t>e:</w:t>
      </w:r>
      <w:r w:rsidRPr="005B51C2">
        <w:t xml:space="preserve"> </w:t>
      </w:r>
      <w:hyperlink r:id="rId242" w:history="1">
        <w:r w:rsidRPr="005B51C2">
          <w:rPr>
            <w:rStyle w:val="Hyperlink"/>
          </w:rPr>
          <w:t>https://www.g7germany.de/g7-en/current-information/g7-summit-outcomes-2058314</w:t>
        </w:r>
      </w:hyperlink>
      <w:r>
        <w:t xml:space="preserve"> - </w:t>
      </w:r>
      <w:r w:rsidRPr="005B51C2">
        <w:t>Zugegriffen: 28.11.2023</w:t>
      </w:r>
      <w:r>
        <w:t>.</w:t>
      </w:r>
    </w:p>
  </w:footnote>
  <w:footnote w:id="301">
    <w:p w14:paraId="7ACEE261" w14:textId="77777777" w:rsidR="00112190" w:rsidRDefault="00112190" w:rsidP="00112190">
      <w:pPr>
        <w:pStyle w:val="Funotentext"/>
      </w:pPr>
      <w:r>
        <w:rPr>
          <w:rStyle w:val="Funotenzeichen"/>
        </w:rPr>
        <w:footnoteRef/>
      </w:r>
      <w:r>
        <w:t xml:space="preserve"> Siehe für Vietnam: </w:t>
      </w:r>
      <w:hyperlink r:id="rId243" w:history="1">
        <w:r w:rsidRPr="008633A4">
          <w:rPr>
            <w:rStyle w:val="Hyperlink"/>
          </w:rPr>
          <w:t>https://www.vietnam-briefing.com/news/vietnams-jetp-agreement-unpacked.html/</w:t>
        </w:r>
      </w:hyperlink>
      <w:r>
        <w:t xml:space="preserve"> - Zugegriffen: 28.11.2023. </w:t>
      </w:r>
    </w:p>
  </w:footnote>
  <w:footnote w:id="302">
    <w:p w14:paraId="74C30404" w14:textId="77777777" w:rsidR="001777F4" w:rsidRDefault="001777F4" w:rsidP="001777F4">
      <w:pPr>
        <w:pStyle w:val="Funotentext"/>
      </w:pPr>
      <w:r>
        <w:rPr>
          <w:rStyle w:val="Funotenzeichen"/>
        </w:rPr>
        <w:footnoteRef/>
      </w:r>
      <w:r>
        <w:t xml:space="preserve"> Siehe z.B. Pressemitteilung der Deutschen Botschaft in Indonesien, 22.11.2023: </w:t>
      </w:r>
      <w:hyperlink r:id="rId244" w:history="1">
        <w:r w:rsidRPr="00CC0787">
          <w:rPr>
            <w:rStyle w:val="Hyperlink"/>
          </w:rPr>
          <w:t>https://jakarta.diplo.de/id-en/joint-statement-2632552</w:t>
        </w:r>
      </w:hyperlink>
      <w:r>
        <w:t xml:space="preserve"> - Zugegriffen: 15.01.2024. </w:t>
      </w:r>
    </w:p>
  </w:footnote>
  <w:footnote w:id="303">
    <w:p w14:paraId="6DCF9B92" w14:textId="77777777" w:rsidR="00112190" w:rsidRDefault="00112190" w:rsidP="00112190">
      <w:pPr>
        <w:pStyle w:val="Funotentext"/>
      </w:pPr>
      <w:r>
        <w:rPr>
          <w:rStyle w:val="Funotenzeichen"/>
        </w:rPr>
        <w:footnoteRef/>
      </w:r>
      <w:r>
        <w:t xml:space="preserve"> Siehe die G7 Forschungsseite der Universität Toronto: </w:t>
      </w:r>
      <w:hyperlink r:id="rId245" w:history="1">
        <w:r w:rsidRPr="0039637B">
          <w:rPr>
            <w:rStyle w:val="Hyperlink"/>
          </w:rPr>
          <w:t>http://www.g8.utoronto.ca/summit/2023hiroshima/230520-energy-action-plan.html</w:t>
        </w:r>
      </w:hyperlink>
      <w:r>
        <w:t xml:space="preserve"> - Zugegriffen: 28.11.2023.</w:t>
      </w:r>
    </w:p>
  </w:footnote>
  <w:footnote w:id="304">
    <w:p w14:paraId="2348977D" w14:textId="1A8A2AB3" w:rsidR="00BC581F" w:rsidRDefault="00BC581F">
      <w:pPr>
        <w:pStyle w:val="Funotentext"/>
      </w:pPr>
      <w:r>
        <w:rPr>
          <w:rStyle w:val="Funotenzeichen"/>
        </w:rPr>
        <w:footnoteRef/>
      </w:r>
      <w:r>
        <w:t xml:space="preserve"> Friedrich Ebert Stiftung: </w:t>
      </w:r>
      <w:hyperlink r:id="rId246" w:history="1">
        <w:r w:rsidRPr="00CC0787">
          <w:rPr>
            <w:rStyle w:val="Hyperlink"/>
          </w:rPr>
          <w:t>https://library.fes.de/pdf-files/international/21387.pdf</w:t>
        </w:r>
      </w:hyperlink>
      <w:r>
        <w:t xml:space="preserve"> - Zugegriffen: 15.01.2025. </w:t>
      </w:r>
    </w:p>
  </w:footnote>
  <w:footnote w:id="305">
    <w:p w14:paraId="1076D90D" w14:textId="77777777" w:rsidR="001777F4" w:rsidRPr="005B51C2" w:rsidRDefault="001777F4" w:rsidP="001777F4">
      <w:pPr>
        <w:pStyle w:val="Funotentext"/>
      </w:pPr>
      <w:r>
        <w:rPr>
          <w:rStyle w:val="Funotenzeichen"/>
        </w:rPr>
        <w:footnoteRef/>
      </w:r>
      <w:r w:rsidRPr="005B51C2">
        <w:t xml:space="preserve"> Sieh</w:t>
      </w:r>
      <w:r>
        <w:t>e:</w:t>
      </w:r>
      <w:r w:rsidRPr="005B51C2">
        <w:t xml:space="preserve"> </w:t>
      </w:r>
      <w:hyperlink r:id="rId247" w:history="1">
        <w:r w:rsidRPr="005B51C2">
          <w:rPr>
            <w:rStyle w:val="Hyperlink"/>
          </w:rPr>
          <w:t>https://www.g7germany.de/g7-en/current-information/g7-summit-outcomes-2058314</w:t>
        </w:r>
      </w:hyperlink>
      <w:r>
        <w:t xml:space="preserve"> - </w:t>
      </w:r>
      <w:r w:rsidRPr="005B51C2">
        <w:t>Zugegriffen: 28.11.2023</w:t>
      </w:r>
      <w:r>
        <w:t>.</w:t>
      </w:r>
    </w:p>
  </w:footnote>
  <w:footnote w:id="306">
    <w:p w14:paraId="18645257" w14:textId="5A16C801" w:rsidR="001777F4" w:rsidRDefault="001777F4">
      <w:pPr>
        <w:pStyle w:val="Funotentext"/>
      </w:pPr>
      <w:r>
        <w:rPr>
          <w:rStyle w:val="Funotenzeichen"/>
        </w:rPr>
        <w:footnoteRef/>
      </w:r>
      <w:r>
        <w:t xml:space="preserve"> Siehe: </w:t>
      </w:r>
      <w:hyperlink r:id="rId248" w:history="1">
        <w:r w:rsidRPr="00CC0787">
          <w:rPr>
            <w:rStyle w:val="Hyperlink"/>
          </w:rPr>
          <w:t>https://de.wikipedia.org/wiki/Jochen_Flasbarth</w:t>
        </w:r>
      </w:hyperlink>
      <w:r>
        <w:t xml:space="preserve"> - Zugegriffen: 15.01.2025. </w:t>
      </w:r>
    </w:p>
  </w:footnote>
  <w:footnote w:id="307">
    <w:p w14:paraId="16E71A62" w14:textId="77777777" w:rsidR="001777F4" w:rsidRDefault="001777F4" w:rsidP="001777F4">
      <w:pPr>
        <w:pStyle w:val="Funotentext"/>
      </w:pPr>
      <w:r>
        <w:rPr>
          <w:rStyle w:val="Funotenzeichen"/>
        </w:rPr>
        <w:footnoteRef/>
      </w:r>
      <w:r>
        <w:t xml:space="preserve"> Hendrik Ankenbrand. Mutter Erde hofft jetzt auf Indien. FAZ, 16.10.2024. </w:t>
      </w:r>
    </w:p>
  </w:footnote>
  <w:footnote w:id="308">
    <w:p w14:paraId="3A718D1B" w14:textId="77777777" w:rsidR="001777F4" w:rsidRDefault="001777F4" w:rsidP="001777F4">
      <w:pPr>
        <w:pStyle w:val="Funotentext"/>
      </w:pPr>
      <w:r>
        <w:rPr>
          <w:rStyle w:val="Funotenzeichen"/>
        </w:rPr>
        <w:footnoteRef/>
      </w:r>
      <w:r>
        <w:t xml:space="preserve"> </w:t>
      </w:r>
      <w:r w:rsidRPr="00C73346">
        <w:t xml:space="preserve">Siehe den Artikel von: Roli Srivastava, Julian Wettengel. </w:t>
      </w:r>
      <w:r w:rsidRPr="00C73346">
        <w:rPr>
          <w:lang w:val="en-GB"/>
        </w:rPr>
        <w:t xml:space="preserve">India, donor countries give up on Just Energy Transition Partnership – German official. </w:t>
      </w:r>
      <w:proofErr w:type="spellStart"/>
      <w:r w:rsidRPr="00C73346">
        <w:t>Published</w:t>
      </w:r>
      <w:proofErr w:type="spellEnd"/>
      <w:r w:rsidRPr="00C73346">
        <w:t xml:space="preserve"> on 20/11/2024, 3:02pm, siehe: </w:t>
      </w:r>
      <w:hyperlink r:id="rId249" w:history="1">
        <w:r w:rsidRPr="00C73346">
          <w:rPr>
            <w:rStyle w:val="Hyperlink"/>
          </w:rPr>
          <w:t>https://www.climatechangenews.com/2024/11/20/india-donor-countries-give-up-jetp-german-us-finance/</w:t>
        </w:r>
      </w:hyperlink>
      <w:r w:rsidRPr="00C73346">
        <w:t xml:space="preserve"> - Zugegriffen: 15.01.2025.</w:t>
      </w:r>
    </w:p>
  </w:footnote>
  <w:footnote w:id="309">
    <w:p w14:paraId="313F264B" w14:textId="5E878A06" w:rsidR="001777F4" w:rsidRDefault="001777F4" w:rsidP="001777F4">
      <w:pPr>
        <w:pStyle w:val="Funotentext"/>
      </w:pPr>
      <w:r>
        <w:rPr>
          <w:rStyle w:val="Funotenzeichen"/>
        </w:rPr>
        <w:footnoteRef/>
      </w:r>
      <w:r>
        <w:t xml:space="preserve"> Infos zu den drei Sätzen oben. Siehe: </w:t>
      </w:r>
      <w:hyperlink r:id="rId250" w:history="1">
        <w:r w:rsidRPr="00CC0787">
          <w:rPr>
            <w:rStyle w:val="Hyperlink"/>
          </w:rPr>
          <w:t>https://www.bmz.de/de/aktuelles/aktuelle-meldungen/schulze-reist-zur-energiewende-konferenz-in-indien-225146</w:t>
        </w:r>
      </w:hyperlink>
      <w:r>
        <w:t xml:space="preserve"> - Zugegriffen: 15.0ß1.2025. </w:t>
      </w:r>
    </w:p>
  </w:footnote>
  <w:footnote w:id="310">
    <w:p w14:paraId="3E2E4864" w14:textId="5A1CBBB1" w:rsidR="006C08F1" w:rsidRDefault="006C08F1">
      <w:pPr>
        <w:pStyle w:val="Funotentext"/>
      </w:pPr>
      <w:r>
        <w:rPr>
          <w:rStyle w:val="Funotenzeichen"/>
        </w:rPr>
        <w:footnoteRef/>
      </w:r>
      <w:r>
        <w:t xml:space="preserve"> Siehe: </w:t>
      </w:r>
      <w:hyperlink r:id="rId251" w:history="1">
        <w:r w:rsidRPr="00287D4C">
          <w:rPr>
            <w:rStyle w:val="Hyperlink"/>
          </w:rPr>
          <w:t>https://www.eeas.europa.eu/eeas/china-%E2%80%93-co2-neutralit%C3%A4t-im-jahr-2060-ein-m%C3%B6glicher-wendepunkt-f%C3%BCr-das-klima_de</w:t>
        </w:r>
      </w:hyperlink>
      <w:r>
        <w:t xml:space="preserve"> – Zugegriffen: 11.04.2025.  </w:t>
      </w:r>
    </w:p>
  </w:footnote>
  <w:footnote w:id="311">
    <w:p w14:paraId="1E3051C6" w14:textId="144372DD" w:rsidR="007E1809" w:rsidRDefault="007E1809">
      <w:pPr>
        <w:pStyle w:val="Funotentext"/>
      </w:pPr>
      <w:r>
        <w:rPr>
          <w:rStyle w:val="Funotenzeichen"/>
        </w:rPr>
        <w:footnoteRef/>
      </w:r>
      <w:r>
        <w:t xml:space="preserve"> Siehe: </w:t>
      </w:r>
      <w:hyperlink r:id="rId252" w:history="1">
        <w:r w:rsidRPr="00287D4C">
          <w:rPr>
            <w:rStyle w:val="Hyperlink"/>
          </w:rPr>
          <w:t>https://www.eu2020.de/eu2020-de/aktuelles/artikel/eu-china-videokonferenz-offener-dialog-eu2020-2384002</w:t>
        </w:r>
      </w:hyperlink>
      <w:r>
        <w:t xml:space="preserve"> - Zugegriffen: 11.04.2025. </w:t>
      </w:r>
    </w:p>
  </w:footnote>
  <w:footnote w:id="312">
    <w:p w14:paraId="5C148143" w14:textId="4D04C045" w:rsidR="005B6516" w:rsidRDefault="005B6516">
      <w:pPr>
        <w:pStyle w:val="Funotentext"/>
      </w:pPr>
      <w:r>
        <w:rPr>
          <w:rStyle w:val="Funotenzeichen"/>
        </w:rPr>
        <w:footnoteRef/>
      </w:r>
      <w:r>
        <w:t xml:space="preserve"> Siehe: </w:t>
      </w:r>
      <w:hyperlink r:id="rId253" w:history="1">
        <w:r w:rsidRPr="00187BF9">
          <w:rPr>
            <w:rStyle w:val="Hyperlink"/>
          </w:rPr>
          <w:t>https://www.international-climate-initiative.com/iki-medien/artikel/china_startet_nationalen_emissionshandel/</w:t>
        </w:r>
      </w:hyperlink>
      <w:r>
        <w:t xml:space="preserve"> - Zugegriffen: 11.04.2025. </w:t>
      </w:r>
    </w:p>
  </w:footnote>
  <w:footnote w:id="313">
    <w:p w14:paraId="71DBF710" w14:textId="0BBA4FF7" w:rsidR="005B6516" w:rsidRDefault="005B6516">
      <w:pPr>
        <w:pStyle w:val="Funotentext"/>
      </w:pPr>
      <w:r>
        <w:rPr>
          <w:rStyle w:val="Funotenzeichen"/>
        </w:rPr>
        <w:footnoteRef/>
      </w:r>
      <w:r>
        <w:t xml:space="preserve"> Siehe: </w:t>
      </w:r>
      <w:hyperlink r:id="rId254" w:history="1">
        <w:r w:rsidRPr="00187BF9">
          <w:rPr>
            <w:rStyle w:val="Hyperlink"/>
          </w:rPr>
          <w:t>https://unfccc.int/sites/default/files/NDC/2022-06/China%E2%80%99s%20Achievements%2C%20New%20Goals%20and%20New%20Measures%20for%20Nationally%20Determined%20Contributions.pdf</w:t>
        </w:r>
      </w:hyperlink>
      <w:r>
        <w:t xml:space="preserve"> – Zugegriffen: 11.04.2025.</w:t>
      </w:r>
    </w:p>
  </w:footnote>
  <w:footnote w:id="314">
    <w:p w14:paraId="31337189" w14:textId="0FE5BA4B" w:rsidR="007E1809" w:rsidRDefault="007E1809">
      <w:pPr>
        <w:pStyle w:val="Funotentext"/>
      </w:pPr>
      <w:r>
        <w:rPr>
          <w:rStyle w:val="Funotenzeichen"/>
        </w:rPr>
        <w:footnoteRef/>
      </w:r>
      <w:r>
        <w:t xml:space="preserve"> Siehe: </w:t>
      </w:r>
      <w:hyperlink r:id="rId255" w:history="1">
        <w:r w:rsidRPr="00287D4C">
          <w:rPr>
            <w:rStyle w:val="Hyperlink"/>
          </w:rPr>
          <w:t>https://www.giz.de/de/weltweit/33978.html</w:t>
        </w:r>
      </w:hyperlink>
      <w:r>
        <w:t xml:space="preserve"> - Zugegriffen: 11.04.2025. </w:t>
      </w:r>
    </w:p>
  </w:footnote>
  <w:footnote w:id="315">
    <w:p w14:paraId="0139A058" w14:textId="1C336C60" w:rsidR="0012632C" w:rsidRDefault="0012632C">
      <w:pPr>
        <w:pStyle w:val="Funotentext"/>
      </w:pPr>
      <w:r>
        <w:rPr>
          <w:rStyle w:val="Funotenzeichen"/>
        </w:rPr>
        <w:footnoteRef/>
      </w:r>
      <w:r>
        <w:t xml:space="preserve"> Siehe: Klimaschutz in China, 2016: </w:t>
      </w:r>
      <w:hyperlink r:id="rId256" w:history="1">
        <w:r w:rsidRPr="00187BF9">
          <w:rPr>
            <w:rStyle w:val="Hyperlink"/>
          </w:rPr>
          <w:t>https://www.international-climate-initiative.com/iki-medien/artikel/china_startet_nationalen_emissionshandel/</w:t>
        </w:r>
      </w:hyperlink>
      <w:r>
        <w:t xml:space="preserve"> - Zugegriffen: 11.04.2025. </w:t>
      </w:r>
    </w:p>
  </w:footnote>
  <w:footnote w:id="316">
    <w:p w14:paraId="7269A822" w14:textId="631736EE" w:rsidR="0012632C" w:rsidRDefault="0012632C">
      <w:pPr>
        <w:pStyle w:val="Funotentext"/>
      </w:pPr>
      <w:r>
        <w:rPr>
          <w:rStyle w:val="Funotenzeichen"/>
        </w:rPr>
        <w:footnoteRef/>
      </w:r>
      <w:r w:rsidRPr="002F21F1">
        <w:rPr>
          <w:lang w:val="en-US"/>
        </w:rPr>
        <w:t xml:space="preserve"> </w:t>
      </w:r>
      <w:proofErr w:type="spellStart"/>
      <w:r w:rsidRPr="002F21F1">
        <w:rPr>
          <w:lang w:val="en-US"/>
        </w:rPr>
        <w:t>Siehe</w:t>
      </w:r>
      <w:proofErr w:type="spellEnd"/>
      <w:r w:rsidRPr="002F21F1">
        <w:rPr>
          <w:lang w:val="en-US"/>
        </w:rPr>
        <w:t xml:space="preserve"> Barbara Pongratz. China’s emerging decarbonization toolkit, 16. </w:t>
      </w:r>
      <w:r>
        <w:t xml:space="preserve">Mai 2923, Merics: </w:t>
      </w:r>
      <w:hyperlink r:id="rId257" w:history="1">
        <w:r w:rsidRPr="00187BF9">
          <w:rPr>
            <w:rStyle w:val="Hyperlink"/>
          </w:rPr>
          <w:t>https://merics.org/de/kommentar/chinas-emerging-decarbonization-toolkit</w:t>
        </w:r>
      </w:hyperlink>
      <w:r>
        <w:t xml:space="preserve"> - Zugegriffen: 11.04.2025.</w:t>
      </w:r>
    </w:p>
  </w:footnote>
  <w:footnote w:id="317">
    <w:p w14:paraId="2009887D" w14:textId="77777777" w:rsidR="00B5381F" w:rsidRDefault="00B5381F" w:rsidP="00B5381F">
      <w:pPr>
        <w:pStyle w:val="Funotentext"/>
      </w:pPr>
      <w:r>
        <w:rPr>
          <w:rStyle w:val="Funotenzeichen"/>
        </w:rPr>
        <w:footnoteRef/>
      </w:r>
      <w:r>
        <w:t xml:space="preserve"> Siehe: </w:t>
      </w:r>
      <w:hyperlink r:id="rId258" w:history="1">
        <w:r w:rsidRPr="00C5110F">
          <w:rPr>
            <w:rStyle w:val="Hyperlink"/>
          </w:rPr>
          <w:t>https://www.consilium.europa.eu/de/press/press-releases/2025/07/24/joint-eu-china-press-statement-on-climate/</w:t>
        </w:r>
      </w:hyperlink>
      <w:r>
        <w:t xml:space="preserve"> - Zugegriffen: 25.07.2025.</w:t>
      </w:r>
    </w:p>
  </w:footnote>
  <w:footnote w:id="318">
    <w:p w14:paraId="2B92E352" w14:textId="77777777" w:rsidR="0039004D" w:rsidRDefault="0039004D" w:rsidP="0039004D">
      <w:pPr>
        <w:pStyle w:val="Funotentext"/>
      </w:pPr>
      <w:r>
        <w:rPr>
          <w:rStyle w:val="Funotenzeichen"/>
        </w:rPr>
        <w:footnoteRef/>
      </w:r>
      <w:r>
        <w:t xml:space="preserve"> Siehe: </w:t>
      </w:r>
      <w:hyperlink r:id="rId259" w:history="1">
        <w:r w:rsidRPr="004C622C">
          <w:rPr>
            <w:rStyle w:val="Hyperlink"/>
          </w:rPr>
          <w:t>https://www.tagesschau.de/ausland/amerika/china-klima-treibhausgase-100.html</w:t>
        </w:r>
      </w:hyperlink>
      <w:r>
        <w:t xml:space="preserve"> - Zugegriffen: 27.09.2025.  </w:t>
      </w:r>
    </w:p>
  </w:footnote>
  <w:footnote w:id="319">
    <w:p w14:paraId="3D278AE5" w14:textId="77777777" w:rsidR="0039004D" w:rsidRDefault="0039004D" w:rsidP="0039004D">
      <w:pPr>
        <w:pStyle w:val="Funotentext"/>
      </w:pPr>
      <w:r>
        <w:rPr>
          <w:rStyle w:val="Funotenzeichen"/>
        </w:rPr>
        <w:footnoteRef/>
      </w:r>
      <w:r>
        <w:t xml:space="preserve"> Dies berichtet zusätzlich: Jochen Stahnke. Bescheidene Klimaziele und ein Seitenhieb auf Trump. FAZ, 25.09.2025. </w:t>
      </w:r>
    </w:p>
  </w:footnote>
  <w:footnote w:id="320">
    <w:p w14:paraId="4DA1AB28" w14:textId="77777777" w:rsidR="00B10684" w:rsidRDefault="00B10684" w:rsidP="00B10684">
      <w:pPr>
        <w:pStyle w:val="Funotentext"/>
      </w:pPr>
      <w:r>
        <w:rPr>
          <w:rStyle w:val="Funotenzeichen"/>
        </w:rPr>
        <w:footnoteRef/>
      </w:r>
      <w:r>
        <w:t xml:space="preserve"> Siehe die UMSICHT-Webseite. Labore des Projekts arbeiten beim Thyssenkrupp Stahlwerk in Duisburg: </w:t>
      </w:r>
      <w:hyperlink r:id="rId260" w:history="1">
        <w:r w:rsidRPr="00E86031">
          <w:rPr>
            <w:rStyle w:val="Hyperlink"/>
          </w:rPr>
          <w:t>https://www.umsicht.fraunhofer.de/</w:t>
        </w:r>
      </w:hyperlink>
    </w:p>
  </w:footnote>
  <w:footnote w:id="321">
    <w:p w14:paraId="50902573" w14:textId="77777777" w:rsidR="00112190" w:rsidRDefault="00112190" w:rsidP="00112190">
      <w:pPr>
        <w:pStyle w:val="Funotentext"/>
      </w:pPr>
      <w:r>
        <w:rPr>
          <w:rStyle w:val="Funotenzeichen"/>
        </w:rPr>
        <w:footnoteRef/>
      </w:r>
      <w:r>
        <w:t xml:space="preserve"> S. 78 ff., siehe: Klimaaußenpolitikstrategie der Bundesregierung: </w:t>
      </w:r>
      <w:hyperlink r:id="rId261" w:history="1">
        <w:r w:rsidRPr="00C52C50">
          <w:rPr>
            <w:rStyle w:val="Hyperlink"/>
          </w:rPr>
          <w:t>https://www.auswaertiges-amt.de/blob/2633110/a64259603803cb057a6bf6ed99e86419/kap-strategie-data.pdf</w:t>
        </w:r>
      </w:hyperlink>
      <w:r>
        <w:t xml:space="preserve"> - Zugegriffen: 07.12.2023.  </w:t>
      </w:r>
      <w:r w:rsidRPr="00FE76E9">
        <w:t xml:space="preserve">  </w:t>
      </w:r>
    </w:p>
  </w:footnote>
  <w:footnote w:id="322">
    <w:p w14:paraId="44F99EE5" w14:textId="77777777" w:rsidR="00112190" w:rsidRDefault="00112190" w:rsidP="00112190">
      <w:pPr>
        <w:pStyle w:val="Funotentext"/>
      </w:pPr>
      <w:r>
        <w:rPr>
          <w:rStyle w:val="Funotenzeichen"/>
        </w:rPr>
        <w:footnoteRef/>
      </w:r>
      <w:r>
        <w:t xml:space="preserve"> Siehe: </w:t>
      </w:r>
      <w:hyperlink r:id="rId262" w:history="1">
        <w:r w:rsidRPr="008633A4">
          <w:rPr>
            <w:rStyle w:val="Hyperlink"/>
          </w:rPr>
          <w:t>https://www.bmz.de/de/aktuelles/deutsche-g7-praesidentschaft-just-energy-transition-partnerships-114320</w:t>
        </w:r>
      </w:hyperlink>
      <w:r>
        <w:t xml:space="preserve"> - Zugegriffen: 28.11.2023. </w:t>
      </w:r>
    </w:p>
  </w:footnote>
  <w:footnote w:id="323">
    <w:p w14:paraId="3751832B" w14:textId="7FF8DD9F" w:rsidR="00112190" w:rsidRDefault="00112190" w:rsidP="00112190">
      <w:pPr>
        <w:pStyle w:val="Funotentext"/>
      </w:pPr>
      <w:r>
        <w:rPr>
          <w:rStyle w:val="Funotenzeichen"/>
        </w:rPr>
        <w:footnoteRef/>
      </w:r>
      <w:r>
        <w:t xml:space="preserve"> Siehe: </w:t>
      </w:r>
      <w:hyperlink r:id="rId263" w:history="1">
        <w:r w:rsidRPr="008633A4">
          <w:rPr>
            <w:rStyle w:val="Hyperlink"/>
          </w:rPr>
          <w:t>https://www.bmz.de/de/aktuelles/deutsche-g7-praesidentschaft-just-energy-transition-partnerships-114320</w:t>
        </w:r>
      </w:hyperlink>
      <w:r>
        <w:t xml:space="preserve"> - Zugegriffen: 28.11.2023. </w:t>
      </w:r>
      <w:r w:rsidR="002F0C97">
        <w:t xml:space="preserve">Siehe auch: </w:t>
      </w:r>
      <w:hyperlink r:id="rId264" w:history="1">
        <w:r w:rsidR="002F0C97" w:rsidRPr="009B5CF7">
          <w:rPr>
            <w:rStyle w:val="Hyperlink"/>
          </w:rPr>
          <w:t>https://www.bmz.de/de/aktuelles/aktuelle-meldungen/deutsch-indische-partnerschaft-gruene-nachhaltige-entwicklung-129158</w:t>
        </w:r>
      </w:hyperlink>
      <w:r w:rsidR="002F0C97">
        <w:t xml:space="preserve"> - Zugegriffen: 19.11.2024.</w:t>
      </w:r>
    </w:p>
  </w:footnote>
  <w:footnote w:id="324">
    <w:p w14:paraId="54D55CFC" w14:textId="6F25AD02" w:rsidR="003451BB" w:rsidRDefault="003451BB">
      <w:pPr>
        <w:pStyle w:val="Funotentext"/>
      </w:pPr>
      <w:r>
        <w:rPr>
          <w:rStyle w:val="Funotenzeichen"/>
        </w:rPr>
        <w:footnoteRef/>
      </w:r>
      <w:r>
        <w:t xml:space="preserve"> Siehe: </w:t>
      </w:r>
      <w:hyperlink r:id="rId265" w:history="1">
        <w:r w:rsidRPr="003451BB">
          <w:rPr>
            <w:rStyle w:val="Hyperlink"/>
          </w:rPr>
          <w:t>https://isa.int/</w:t>
        </w:r>
      </w:hyperlink>
    </w:p>
  </w:footnote>
  <w:footnote w:id="325">
    <w:p w14:paraId="0FD1B644" w14:textId="47865D3E" w:rsidR="003451BB" w:rsidRDefault="003451BB">
      <w:pPr>
        <w:pStyle w:val="Funotentext"/>
      </w:pPr>
      <w:r>
        <w:rPr>
          <w:rStyle w:val="Funotenzeichen"/>
        </w:rPr>
        <w:footnoteRef/>
      </w:r>
      <w:r>
        <w:t xml:space="preserve"> Siehe: </w:t>
      </w:r>
      <w:hyperlink r:id="rId266" w:history="1">
        <w:r w:rsidRPr="003451BB">
          <w:rPr>
            <w:rStyle w:val="Hyperlink"/>
          </w:rPr>
          <w:t>https://greengridsinitiative.net/</w:t>
        </w:r>
      </w:hyperlink>
    </w:p>
  </w:footnote>
  <w:footnote w:id="326">
    <w:p w14:paraId="1DF8F66C" w14:textId="001BFCB5" w:rsidR="003451BB" w:rsidRDefault="003451BB" w:rsidP="003451BB">
      <w:pPr>
        <w:pStyle w:val="Funotentext"/>
      </w:pPr>
      <w:r>
        <w:rPr>
          <w:rStyle w:val="Funotenzeichen"/>
        </w:rPr>
        <w:footnoteRef/>
      </w:r>
      <w:r>
        <w:t xml:space="preserve"> Siehe: Elias Marini Schäfer. Energiewende in Indien, Länderbericht Auslandsbüro Indien, Dezember 2022, KAS: </w:t>
      </w:r>
      <w:hyperlink r:id="rId267" w:history="1">
        <w:r w:rsidRPr="009B5CF7">
          <w:rPr>
            <w:rStyle w:val="Hyperlink"/>
          </w:rPr>
          <w:t>https://www.kas.de/de/laenderberichte/detail/-/content/energiewende-in-indien</w:t>
        </w:r>
      </w:hyperlink>
      <w:r>
        <w:t xml:space="preserve"> - Zugegriffen: 19.11.2024.  </w:t>
      </w:r>
    </w:p>
  </w:footnote>
  <w:footnote w:id="327">
    <w:p w14:paraId="4D21E981" w14:textId="77777777" w:rsidR="00112190" w:rsidRDefault="00112190" w:rsidP="00112190">
      <w:pPr>
        <w:pStyle w:val="Funotentext"/>
      </w:pPr>
      <w:r>
        <w:rPr>
          <w:rStyle w:val="Funotenzeichen"/>
        </w:rPr>
        <w:footnoteRef/>
      </w:r>
      <w:r>
        <w:t xml:space="preserve"> Siehe z.B. den Artikel: </w:t>
      </w:r>
      <w:r w:rsidRPr="0072416A">
        <w:t>Wer liefert Deutschland grünen Wasserstoff? FAZ, 28.11.2023.</w:t>
      </w:r>
    </w:p>
  </w:footnote>
  <w:footnote w:id="328">
    <w:p w14:paraId="2907CE62" w14:textId="77777777" w:rsidR="00112190" w:rsidRDefault="00112190" w:rsidP="00112190">
      <w:pPr>
        <w:pStyle w:val="Funotentext"/>
      </w:pPr>
      <w:r>
        <w:rPr>
          <w:rStyle w:val="Funotenzeichen"/>
        </w:rPr>
        <w:footnoteRef/>
      </w:r>
      <w:r>
        <w:t xml:space="preserve"> Aufgelistet werden hier Algerien, Argentinien, Chile, Kolumbien, Indien, Jordanien, Kenia, Marokko, Namibia, Südafrika, Uruguay, Vietnam, Brasilien, mit denen in unterschiedlicher Form zum Thema Wasserstoff Kontakt aufgenommen wurde: </w:t>
      </w:r>
      <w:hyperlink r:id="rId268" w:history="1">
        <w:r w:rsidRPr="00464CE2">
          <w:rPr>
            <w:rStyle w:val="Hyperlink"/>
          </w:rPr>
          <w:t>https://ptx-hub.org/de/countries/</w:t>
        </w:r>
      </w:hyperlink>
      <w:r>
        <w:t xml:space="preserve"> - Zugegriffen: 22.12.2023. </w:t>
      </w:r>
    </w:p>
  </w:footnote>
  <w:footnote w:id="329">
    <w:p w14:paraId="2B855B3F" w14:textId="77777777" w:rsidR="00112190" w:rsidRDefault="00112190" w:rsidP="00112190">
      <w:pPr>
        <w:pStyle w:val="Funotentext"/>
      </w:pPr>
      <w:r>
        <w:rPr>
          <w:rStyle w:val="Funotenzeichen"/>
        </w:rPr>
        <w:footnoteRef/>
      </w:r>
      <w:r>
        <w:t xml:space="preserve"> Siehe die Agora Publikation: 12 </w:t>
      </w:r>
      <w:proofErr w:type="spellStart"/>
      <w:r>
        <w:t>Insights</w:t>
      </w:r>
      <w:proofErr w:type="spellEnd"/>
      <w:r>
        <w:t xml:space="preserve"> on Hydrogen – Argentina Edition, 2023. Siehe: </w:t>
      </w:r>
      <w:hyperlink r:id="rId269" w:history="1">
        <w:r w:rsidRPr="00464CE2">
          <w:rPr>
            <w:rStyle w:val="Hyperlink"/>
          </w:rPr>
          <w:t>www.agora-industry.org</w:t>
        </w:r>
      </w:hyperlink>
      <w:r>
        <w:t xml:space="preserve"> – Zugegriffen: 22.12.2023.  </w:t>
      </w:r>
    </w:p>
  </w:footnote>
  <w:footnote w:id="330">
    <w:p w14:paraId="360A4AF7" w14:textId="77777777" w:rsidR="00112190" w:rsidRDefault="00112190" w:rsidP="00112190">
      <w:pPr>
        <w:pStyle w:val="Funotentext"/>
      </w:pPr>
      <w:r>
        <w:rPr>
          <w:rStyle w:val="Funotenzeichen"/>
        </w:rPr>
        <w:footnoteRef/>
      </w:r>
      <w:r>
        <w:t xml:space="preserve"> Siehe: </w:t>
      </w:r>
      <w:hyperlink r:id="rId270" w:history="1">
        <w:r w:rsidRPr="0040586F">
          <w:rPr>
            <w:rStyle w:val="Hyperlink"/>
          </w:rPr>
          <w:t>https://www.tagesschau.de/ausland/europa/habeck-algerien-102.html</w:t>
        </w:r>
      </w:hyperlink>
      <w:r>
        <w:t xml:space="preserve"> - Zugegriffen: 09.02.2024. </w:t>
      </w:r>
    </w:p>
  </w:footnote>
  <w:footnote w:id="331">
    <w:p w14:paraId="43EABFB8" w14:textId="77777777" w:rsidR="00112190" w:rsidRDefault="00112190" w:rsidP="00112190">
      <w:pPr>
        <w:pStyle w:val="Funotentext"/>
      </w:pPr>
      <w:r>
        <w:rPr>
          <w:rStyle w:val="Funotenzeichen"/>
        </w:rPr>
        <w:footnoteRef/>
      </w:r>
      <w:r>
        <w:t xml:space="preserve"> Siehe: </w:t>
      </w:r>
      <w:hyperlink r:id="rId271" w:history="1">
        <w:r w:rsidRPr="0040586F">
          <w:rPr>
            <w:rStyle w:val="Hyperlink"/>
          </w:rPr>
          <w:t>https://www.maghreb-post.de/marokko-wasserstoffabkommen-mit-den-niederlanden-in-vorbereitung/</w:t>
        </w:r>
      </w:hyperlink>
      <w:r>
        <w:t xml:space="preserve"> - Zugegriffen: 09.02.2024. </w:t>
      </w:r>
    </w:p>
  </w:footnote>
  <w:footnote w:id="332">
    <w:p w14:paraId="1FC9D574" w14:textId="77777777" w:rsidR="00112190" w:rsidRDefault="00112190" w:rsidP="00112190">
      <w:pPr>
        <w:pStyle w:val="Funotentext"/>
      </w:pPr>
      <w:r>
        <w:rPr>
          <w:rStyle w:val="Funotenzeichen"/>
        </w:rPr>
        <w:footnoteRef/>
      </w:r>
      <w:r>
        <w:t xml:space="preserve"> Siehe die BMUV Webseite zu Grünem Wasserstoff und </w:t>
      </w:r>
      <w:proofErr w:type="spellStart"/>
      <w:r>
        <w:t>PtX</w:t>
      </w:r>
      <w:proofErr w:type="spellEnd"/>
      <w:r>
        <w:t xml:space="preserve">: </w:t>
      </w:r>
      <w:hyperlink r:id="rId272" w:history="1">
        <w:r w:rsidRPr="00464CE2">
          <w:rPr>
            <w:rStyle w:val="Hyperlink"/>
          </w:rPr>
          <w:t>https://www.bmuv.de/themen/verkehr/wasserstoff-und-power-to-x/gruener-wasserstoff-und-ptx</w:t>
        </w:r>
      </w:hyperlink>
      <w:r>
        <w:t xml:space="preserve"> - siehe zur Brasilien </w:t>
      </w:r>
      <w:proofErr w:type="spellStart"/>
      <w:r>
        <w:t>ProQR</w:t>
      </w:r>
      <w:proofErr w:type="spellEnd"/>
      <w:r>
        <w:t xml:space="preserve"> auch: </w:t>
      </w:r>
      <w:hyperlink r:id="rId273" w:history="1">
        <w:r w:rsidRPr="00464CE2">
          <w:rPr>
            <w:rStyle w:val="Hyperlink"/>
          </w:rPr>
          <w:t>https://www.giz.de/de/weltweit/63299.html</w:t>
        </w:r>
      </w:hyperlink>
      <w:r>
        <w:t xml:space="preserve"> - Zugegriffen: 22.12.2023. </w:t>
      </w:r>
    </w:p>
  </w:footnote>
  <w:footnote w:id="333">
    <w:p w14:paraId="1D0E944A" w14:textId="77777777" w:rsidR="00112190" w:rsidRDefault="00112190" w:rsidP="00112190">
      <w:pPr>
        <w:pStyle w:val="Funotentext"/>
      </w:pPr>
      <w:r>
        <w:rPr>
          <w:rStyle w:val="Funotenzeichen"/>
        </w:rPr>
        <w:footnoteRef/>
      </w:r>
      <w:r>
        <w:t xml:space="preserve"> Zu diesem Abschnitt siehe die Infoseite zum Compact </w:t>
      </w:r>
      <w:proofErr w:type="spellStart"/>
      <w:r>
        <w:t>for</w:t>
      </w:r>
      <w:proofErr w:type="spellEnd"/>
      <w:r>
        <w:t xml:space="preserve"> Afrika auf der Seite des Bundesfinanzministeriums: </w:t>
      </w:r>
      <w:hyperlink r:id="rId274" w:history="1">
        <w:r w:rsidRPr="0039637B">
          <w:rPr>
            <w:rStyle w:val="Hyperlink"/>
          </w:rPr>
          <w:t>https://www.bundesfinanzministerium.de/Content/DE/Standardartikel/Themen/Internationales_Finanzmarkt/G7-G20/2017-06-29-g20-cwa.html</w:t>
        </w:r>
      </w:hyperlink>
      <w:r>
        <w:t xml:space="preserve"> - Zugegriffen: 25.11.2023.</w:t>
      </w:r>
    </w:p>
  </w:footnote>
  <w:footnote w:id="334">
    <w:p w14:paraId="0F1752DB" w14:textId="77777777" w:rsidR="00A25C61" w:rsidRDefault="00A25C61" w:rsidP="00A25C61">
      <w:pPr>
        <w:pStyle w:val="Funotentext"/>
      </w:pPr>
      <w:r>
        <w:rPr>
          <w:rStyle w:val="Funotenzeichen"/>
        </w:rPr>
        <w:footnoteRef/>
      </w:r>
      <w:r>
        <w:t xml:space="preserve"> BMWK Pressemitteilung, 11.04.2025, </w:t>
      </w:r>
      <w:r w:rsidRPr="004F7A20">
        <w:t xml:space="preserve">Vom Bundesministerium für Wirtschaft und Klimaschutz gefördertes Wasserstoffprojekt </w:t>
      </w:r>
      <w:proofErr w:type="spellStart"/>
      <w:r w:rsidRPr="004F7A20">
        <w:t>Oshivela</w:t>
      </w:r>
      <w:proofErr w:type="spellEnd"/>
      <w:r w:rsidRPr="004F7A20">
        <w:t>/</w:t>
      </w:r>
      <w:proofErr w:type="spellStart"/>
      <w:r w:rsidRPr="004F7A20">
        <w:t>HyIron</w:t>
      </w:r>
      <w:proofErr w:type="spellEnd"/>
      <w:r w:rsidRPr="004F7A20">
        <w:t xml:space="preserve"> in Namibia eröffnet</w:t>
      </w:r>
      <w:r>
        <w:t xml:space="preserve">, siehe: </w:t>
      </w:r>
      <w:r w:rsidRPr="004F7A20">
        <w:t xml:space="preserve"> </w:t>
      </w:r>
      <w:hyperlink r:id="rId275" w:history="1">
        <w:r w:rsidRPr="00D72181">
          <w:rPr>
            <w:rStyle w:val="Hyperlink"/>
          </w:rPr>
          <w:t>https://www.bmwk.de/Redaktion/DE/Pressemitteilungen/2025/20250411-vom-bundesministerium-fuer-wirtschaft-und-klimaschutz-gefoerdertes-wasserstoffprojekt-oshivela-hyIronin-namibia-eroeffnet.html</w:t>
        </w:r>
      </w:hyperlink>
      <w:r>
        <w:t xml:space="preserve"> - Zugegriffen: 27.05.2025. </w:t>
      </w:r>
    </w:p>
  </w:footnote>
  <w:footnote w:id="335">
    <w:p w14:paraId="535BA9DB" w14:textId="77777777" w:rsidR="00112190" w:rsidRPr="00A94411" w:rsidRDefault="00112190" w:rsidP="00112190">
      <w:pPr>
        <w:pStyle w:val="Funotentext"/>
      </w:pPr>
      <w:r>
        <w:rPr>
          <w:rStyle w:val="Funotenzeichen"/>
        </w:rPr>
        <w:footnoteRef/>
      </w:r>
      <w:r w:rsidRPr="00A94411">
        <w:t xml:space="preserve"> </w:t>
      </w:r>
      <w:proofErr w:type="spellStart"/>
      <w:r w:rsidRPr="00A94411">
        <w:t>Get.invest</w:t>
      </w:r>
      <w:proofErr w:type="spellEnd"/>
      <w:r w:rsidRPr="00A94411">
        <w:t xml:space="preserve">: </w:t>
      </w:r>
      <w:hyperlink r:id="rId276" w:history="1">
        <w:r w:rsidRPr="00A94411">
          <w:rPr>
            <w:rStyle w:val="Hyperlink"/>
          </w:rPr>
          <w:t>https://www.get-invest.eu/</w:t>
        </w:r>
      </w:hyperlink>
      <w:r w:rsidRPr="00A94411">
        <w:t xml:space="preserve"> - es</w:t>
      </w:r>
      <w:r>
        <w:t xml:space="preserve"> ist Teil des Global Energy Transformation Programme der Deutschen Gesellschaft für internationale Zusammenarbeit (GIZ), Bonn und Brüssel, siehe deren Webseite: </w:t>
      </w:r>
      <w:hyperlink r:id="rId277" w:history="1">
        <w:r w:rsidRPr="00723B57">
          <w:rPr>
            <w:rStyle w:val="Hyperlink"/>
          </w:rPr>
          <w:t>https://www.global-energy-transformation.eu/</w:t>
        </w:r>
      </w:hyperlink>
      <w:r>
        <w:t xml:space="preserve"> - Zugegriffen: 30.01.2024. </w:t>
      </w:r>
    </w:p>
  </w:footnote>
  <w:footnote w:id="336">
    <w:p w14:paraId="31946A90" w14:textId="268EEA96" w:rsidR="00A25C61" w:rsidRDefault="00A25C61">
      <w:pPr>
        <w:pStyle w:val="Funotentext"/>
      </w:pPr>
      <w:r>
        <w:rPr>
          <w:rStyle w:val="Funotenzeichen"/>
        </w:rPr>
        <w:footnoteRef/>
      </w:r>
      <w:r>
        <w:t xml:space="preserve"> Pressekonferenz Bundeskanzler Scholz Serbien, im TV gesehen, 19.07.2024. Siehe: </w:t>
      </w:r>
      <w:r w:rsidRPr="00A25C61">
        <w:t>https://www.bundesregierung.de/breg-de/service/archiv-bundesregierung/pk-in-serbien-2299998</w:t>
      </w:r>
    </w:p>
  </w:footnote>
  <w:footnote w:id="337">
    <w:p w14:paraId="0F0CF12D" w14:textId="77777777" w:rsidR="00CA3799" w:rsidRPr="000F41EB" w:rsidRDefault="00CA3799" w:rsidP="00CA3799">
      <w:pPr>
        <w:pStyle w:val="Funotentext"/>
        <w:rPr>
          <w:lang w:val="en-GB"/>
        </w:rPr>
      </w:pPr>
      <w:r>
        <w:rPr>
          <w:rStyle w:val="Funotenzeichen"/>
        </w:rPr>
        <w:footnoteRef/>
      </w:r>
      <w:r>
        <w:t xml:space="preserve"> Die Zeit, Nr. 39. Infografik: Klima. </w:t>
      </w:r>
      <w:r w:rsidRPr="000F41EB">
        <w:rPr>
          <w:lang w:val="en-GB"/>
        </w:rPr>
        <w:t>14. September 2023, S. 42.</w:t>
      </w:r>
    </w:p>
  </w:footnote>
  <w:footnote w:id="338">
    <w:p w14:paraId="077BB59C" w14:textId="2D686A18" w:rsidR="002B55DD" w:rsidRPr="00E426A5" w:rsidRDefault="002B55DD">
      <w:pPr>
        <w:pStyle w:val="Funotentext"/>
      </w:pPr>
      <w:r>
        <w:rPr>
          <w:rStyle w:val="Funotenzeichen"/>
        </w:rPr>
        <w:footnoteRef/>
      </w:r>
      <w:r w:rsidRPr="00E426A5">
        <w:rPr>
          <w:lang w:val="en-GB"/>
        </w:rPr>
        <w:t xml:space="preserve"> </w:t>
      </w:r>
      <w:r w:rsidR="00E426A5" w:rsidRPr="00E426A5">
        <w:rPr>
          <w:lang w:val="en-GB"/>
        </w:rPr>
        <w:t xml:space="preserve">Roadmap to </w:t>
      </w:r>
      <w:r w:rsidR="00E426A5">
        <w:rPr>
          <w:lang w:val="en-GB"/>
        </w:rPr>
        <w:t>I</w:t>
      </w:r>
      <w:r w:rsidR="00E426A5" w:rsidRPr="00E426A5">
        <w:rPr>
          <w:lang w:val="en-GB"/>
        </w:rPr>
        <w:t>ncrease Investment i</w:t>
      </w:r>
      <w:r w:rsidR="00E426A5">
        <w:rPr>
          <w:lang w:val="en-GB"/>
        </w:rPr>
        <w:t xml:space="preserve">n Clean Energy 2024: 17. </w:t>
      </w:r>
      <w:r w:rsidR="00E426A5" w:rsidRPr="00E426A5">
        <w:t xml:space="preserve">Link: </w:t>
      </w:r>
      <w:hyperlink r:id="rId278" w:history="1">
        <w:r w:rsidR="00E426A5" w:rsidRPr="00E426A5">
          <w:rPr>
            <w:rStyle w:val="Hyperlink"/>
          </w:rPr>
          <w:t>https://iea.blob.core.windows.net/assets/6ac243a9-247b-4b79-bc01-0e7730434118/RoadmaptoIncreaseInvestmentinCleanEnergyinDevelopingCountriesaninitiativebytheG20BrazilPresidency.pdf</w:t>
        </w:r>
      </w:hyperlink>
      <w:r w:rsidR="00E426A5" w:rsidRPr="00E426A5">
        <w:t xml:space="preserve"> - Zu</w:t>
      </w:r>
      <w:r w:rsidR="00E426A5">
        <w:t xml:space="preserve">gegriffen: 11.04.2025. </w:t>
      </w:r>
    </w:p>
  </w:footnote>
  <w:footnote w:id="339">
    <w:p w14:paraId="7E8D0CAE" w14:textId="6C764D81" w:rsidR="00CA3799" w:rsidRDefault="00CA3799" w:rsidP="00CA3799">
      <w:pPr>
        <w:pStyle w:val="Funotentext"/>
      </w:pPr>
      <w:r>
        <w:rPr>
          <w:rStyle w:val="Funotenzeichen"/>
        </w:rPr>
        <w:footnoteRef/>
      </w:r>
      <w:r>
        <w:t xml:space="preserve"> Nach dem Umsatzranking auf der </w:t>
      </w:r>
      <w:r w:rsidR="00B60E47">
        <w:t>S</w:t>
      </w:r>
      <w:r>
        <w:t xml:space="preserve">tatista Seite aufgelistet: </w:t>
      </w:r>
      <w:hyperlink r:id="rId279" w:history="1">
        <w:r w:rsidRPr="00136E16">
          <w:rPr>
            <w:rStyle w:val="Hyperlink"/>
          </w:rPr>
          <w:t>https://de.statista.com/statistik/daten/studie/184414/umfrage/umsatz-der-top-10-oel-und-gaskonzerne-weltweit/</w:t>
        </w:r>
      </w:hyperlink>
      <w:r>
        <w:t xml:space="preserve"> - Zugegriffen: 12.10.2024. </w:t>
      </w:r>
    </w:p>
  </w:footnote>
  <w:footnote w:id="340">
    <w:p w14:paraId="042C7E67" w14:textId="77777777" w:rsidR="00CA3799" w:rsidRDefault="00CA3799" w:rsidP="00CA3799">
      <w:pPr>
        <w:pStyle w:val="Funotentext"/>
      </w:pPr>
      <w:r>
        <w:rPr>
          <w:rStyle w:val="Funotenzeichen"/>
        </w:rPr>
        <w:footnoteRef/>
      </w:r>
      <w:r>
        <w:t xml:space="preserve"> Siehe die Überschrift des Spiegel-Artikels: </w:t>
      </w:r>
      <w:hyperlink r:id="rId280" w:history="1">
        <w:r w:rsidRPr="00136E16">
          <w:rPr>
            <w:rStyle w:val="Hyperlink"/>
          </w:rPr>
          <w:t>https://www.spiegel.de/wissenschaft/klimakrise-fossile-konzerne-investieren-hunderte-milliarden-dollar-in-neue-oel-und-gasfelder-a-004e721b-2536-4169-9abd-eda891bb6e57</w:t>
        </w:r>
      </w:hyperlink>
      <w:r>
        <w:t xml:space="preserve"> - Zugegriffen: 12.10.2024.</w:t>
      </w:r>
    </w:p>
  </w:footnote>
  <w:footnote w:id="341">
    <w:p w14:paraId="15E1EF3D" w14:textId="77777777" w:rsidR="00F276B0" w:rsidRDefault="00F276B0" w:rsidP="00F276B0">
      <w:pPr>
        <w:pStyle w:val="Funotentext"/>
      </w:pPr>
      <w:r>
        <w:rPr>
          <w:rStyle w:val="Funotenzeichen"/>
        </w:rPr>
        <w:footnoteRef/>
      </w:r>
      <w:r>
        <w:t xml:space="preserve"> Siehe: </w:t>
      </w:r>
      <w:hyperlink r:id="rId281" w:history="1">
        <w:r w:rsidRPr="00136E16">
          <w:rPr>
            <w:rStyle w:val="Hyperlink"/>
          </w:rPr>
          <w:t>https://www.parentsforfuture.de/de/kalifornien-bigoil-2023</w:t>
        </w:r>
      </w:hyperlink>
      <w:r>
        <w:t xml:space="preserve"> - Zugegriffen: 12.102.2024.</w:t>
      </w:r>
    </w:p>
  </w:footnote>
  <w:footnote w:id="342">
    <w:p w14:paraId="5456AE30" w14:textId="56B5B1D1" w:rsidR="00F276B0" w:rsidRDefault="00F276B0">
      <w:pPr>
        <w:pStyle w:val="Funotentext"/>
      </w:pPr>
      <w:r>
        <w:rPr>
          <w:rStyle w:val="Funotenzeichen"/>
        </w:rPr>
        <w:footnoteRef/>
      </w:r>
      <w:r>
        <w:t xml:space="preserve"> Siehe zu den Daten hier: </w:t>
      </w:r>
      <w:hyperlink r:id="rId282" w:anchor="fulldata-panel" w:history="1">
        <w:r w:rsidRPr="004778A0">
          <w:rPr>
            <w:rStyle w:val="Hyperlink"/>
          </w:rPr>
          <w:t>https://www.bankingonclimatechaos.org/?bank=JPMorgan%20Chase#fulldata-panel</w:t>
        </w:r>
      </w:hyperlink>
      <w:r>
        <w:t xml:space="preserve"> – Zugegriffen: 18.04.2025. </w:t>
      </w:r>
    </w:p>
  </w:footnote>
  <w:footnote w:id="343">
    <w:p w14:paraId="77299DB7" w14:textId="27818598" w:rsidR="00B269B9" w:rsidRDefault="00B269B9">
      <w:pPr>
        <w:pStyle w:val="Funotentext"/>
      </w:pPr>
      <w:r>
        <w:rPr>
          <w:rStyle w:val="Funotenzeichen"/>
        </w:rPr>
        <w:footnoteRef/>
      </w:r>
      <w:r>
        <w:t xml:space="preserve"> S. 5, siehe: </w:t>
      </w:r>
      <w:hyperlink r:id="rId283" w:history="1">
        <w:r w:rsidRPr="004778A0">
          <w:rPr>
            <w:rStyle w:val="Hyperlink"/>
          </w:rPr>
          <w:t>https://www.bankingonclimatechaos.org/wp-content/uploads/2024/07/BOCC_2024_vF3.pdf</w:t>
        </w:r>
      </w:hyperlink>
      <w:r>
        <w:t xml:space="preserve"> - Zugegriffen: 18.04.2025. </w:t>
      </w:r>
    </w:p>
  </w:footnote>
  <w:footnote w:id="344">
    <w:p w14:paraId="3A6821B9" w14:textId="3F9CC2EA" w:rsidR="00B269B9" w:rsidRDefault="00B269B9">
      <w:pPr>
        <w:pStyle w:val="Funotentext"/>
      </w:pPr>
      <w:r>
        <w:rPr>
          <w:rStyle w:val="Funotenzeichen"/>
        </w:rPr>
        <w:footnoteRef/>
      </w:r>
      <w:r>
        <w:t xml:space="preserve"> S. 68-69, siehe: </w:t>
      </w:r>
      <w:hyperlink r:id="rId284" w:history="1">
        <w:r w:rsidRPr="004778A0">
          <w:rPr>
            <w:rStyle w:val="Hyperlink"/>
          </w:rPr>
          <w:t>https://www.bankingonclimatechaos.org/wp-content/uploads/2024/07/BOCC_2024_vF3.pdf</w:t>
        </w:r>
      </w:hyperlink>
      <w:r>
        <w:t xml:space="preserve"> - Zugegriffen: 18.04.2025.</w:t>
      </w:r>
    </w:p>
  </w:footnote>
  <w:footnote w:id="345">
    <w:p w14:paraId="2189F3C9" w14:textId="2DA3228C" w:rsidR="0094716F" w:rsidRDefault="0094716F" w:rsidP="0094716F">
      <w:pPr>
        <w:pStyle w:val="Funotentext"/>
      </w:pPr>
      <w:r>
        <w:rPr>
          <w:rStyle w:val="Funotenzeichen"/>
        </w:rPr>
        <w:footnoteRef/>
      </w:r>
      <w:r>
        <w:t xml:space="preserve"> S. 38, siehe: </w:t>
      </w:r>
      <w:hyperlink r:id="rId285" w:history="1">
        <w:r w:rsidRPr="004778A0">
          <w:rPr>
            <w:rStyle w:val="Hyperlink"/>
          </w:rPr>
          <w:t>https://www.bankingonclimatechaos.org/wp-content/uploads/2024/07/BOCC_2024_vF3.pdf</w:t>
        </w:r>
      </w:hyperlink>
      <w:r>
        <w:t xml:space="preserve"> - Zugegriffen: 18.04.2025.</w:t>
      </w:r>
    </w:p>
  </w:footnote>
  <w:footnote w:id="346">
    <w:p w14:paraId="29C0D1B6" w14:textId="2C376DBD" w:rsidR="0094716F" w:rsidRDefault="0094716F" w:rsidP="0094716F">
      <w:pPr>
        <w:pStyle w:val="Funotentext"/>
      </w:pPr>
      <w:r>
        <w:rPr>
          <w:rStyle w:val="Funotenzeichen"/>
        </w:rPr>
        <w:footnoteRef/>
      </w:r>
      <w:r>
        <w:t xml:space="preserve"> S. 36, siehe: </w:t>
      </w:r>
      <w:hyperlink r:id="rId286" w:history="1">
        <w:r w:rsidRPr="004778A0">
          <w:rPr>
            <w:rStyle w:val="Hyperlink"/>
          </w:rPr>
          <w:t>https://www.bankingonclimatechaos.org/wp-content/uploads/2024/07/BOCC_2024_vF3.pdf</w:t>
        </w:r>
      </w:hyperlink>
      <w:r>
        <w:t xml:space="preserve"> - Zugegriffen: 18.04.2025.</w:t>
      </w:r>
    </w:p>
  </w:footnote>
  <w:footnote w:id="347">
    <w:p w14:paraId="33B9BF53" w14:textId="5F243A4F" w:rsidR="00332FEA" w:rsidRDefault="00332FEA">
      <w:pPr>
        <w:pStyle w:val="Funotentext"/>
      </w:pPr>
      <w:r>
        <w:rPr>
          <w:rStyle w:val="Funotenzeichen"/>
        </w:rPr>
        <w:footnoteRef/>
      </w:r>
      <w:r>
        <w:t xml:space="preserve"> Siehe: </w:t>
      </w:r>
      <w:hyperlink r:id="rId287" w:history="1">
        <w:r w:rsidRPr="00935F25">
          <w:rPr>
            <w:rStyle w:val="Hyperlink"/>
          </w:rPr>
          <w:t>https://influencemap.org/index.html</w:t>
        </w:r>
      </w:hyperlink>
      <w:r>
        <w:t xml:space="preserve"> </w:t>
      </w:r>
    </w:p>
  </w:footnote>
  <w:footnote w:id="348">
    <w:p w14:paraId="2DF07D81" w14:textId="77777777" w:rsidR="00332FEA" w:rsidRDefault="00332FEA" w:rsidP="00332FEA">
      <w:pPr>
        <w:pStyle w:val="Funotentext"/>
      </w:pPr>
      <w:r>
        <w:rPr>
          <w:rStyle w:val="Funotenzeichen"/>
        </w:rPr>
        <w:footnoteRef/>
      </w:r>
      <w:r>
        <w:t xml:space="preserve"> Siehe: </w:t>
      </w:r>
      <w:hyperlink r:id="rId288" w:history="1">
        <w:r w:rsidRPr="00935F25">
          <w:rPr>
            <w:rStyle w:val="Hyperlink"/>
          </w:rPr>
          <w:t>https://carbonmajors.org/</w:t>
        </w:r>
      </w:hyperlink>
      <w:r>
        <w:t xml:space="preserve"> </w:t>
      </w:r>
    </w:p>
  </w:footnote>
  <w:footnote w:id="349">
    <w:p w14:paraId="3358BD10" w14:textId="09321C8A" w:rsidR="00332FEA" w:rsidRDefault="00332FEA">
      <w:pPr>
        <w:pStyle w:val="Funotentext"/>
      </w:pPr>
      <w:r>
        <w:rPr>
          <w:rStyle w:val="Funotenzeichen"/>
        </w:rPr>
        <w:footnoteRef/>
      </w:r>
      <w:r>
        <w:t xml:space="preserve"> Siehe: </w:t>
      </w:r>
      <w:hyperlink r:id="rId289" w:history="1">
        <w:r w:rsidRPr="00935F25">
          <w:rPr>
            <w:rStyle w:val="Hyperlink"/>
          </w:rPr>
          <w:t>https://de.wikipedia.org/wiki/Peabody_Energy</w:t>
        </w:r>
      </w:hyperlink>
      <w:r>
        <w:t xml:space="preserve"> - Zugegriffen: 31.05.2025. </w:t>
      </w:r>
    </w:p>
  </w:footnote>
  <w:footnote w:id="350">
    <w:p w14:paraId="1AF066C9" w14:textId="5D3CFAFA" w:rsidR="00332FEA" w:rsidRDefault="00332FEA">
      <w:pPr>
        <w:pStyle w:val="Funotentext"/>
      </w:pPr>
      <w:r>
        <w:rPr>
          <w:rStyle w:val="Funotenzeichen"/>
        </w:rPr>
        <w:footnoteRef/>
      </w:r>
      <w:r>
        <w:t xml:space="preserve"> Siehe: </w:t>
      </w:r>
      <w:hyperlink r:id="rId290" w:history="1">
        <w:r w:rsidRPr="00935F25">
          <w:rPr>
            <w:rStyle w:val="Hyperlink"/>
          </w:rPr>
          <w:t>https://carbonmajors.org/Entities</w:t>
        </w:r>
      </w:hyperlink>
      <w:r>
        <w:t xml:space="preserve"> - Zugegriffen: 31.05.2025.</w:t>
      </w:r>
    </w:p>
  </w:footnote>
  <w:footnote w:id="351">
    <w:p w14:paraId="24A565DC" w14:textId="1D77B814" w:rsidR="00BA1C73" w:rsidRDefault="00BA1C73" w:rsidP="00BA1C73">
      <w:pPr>
        <w:pStyle w:val="Funotentext"/>
      </w:pPr>
      <w:r>
        <w:rPr>
          <w:rStyle w:val="Funotenzeichen"/>
        </w:rPr>
        <w:footnoteRef/>
      </w:r>
      <w:r>
        <w:t xml:space="preserve"> Siehe hier: </w:t>
      </w:r>
      <w:hyperlink r:id="rId291" w:history="1">
        <w:r w:rsidRPr="005F0F5C">
          <w:rPr>
            <w:rStyle w:val="Hyperlink"/>
          </w:rPr>
          <w:t>https://www.bmel.de/SharedDocs/Downloads/DE/_Landwirtschaft/Klimaschutz/Klimaschutzprogramm2030.html</w:t>
        </w:r>
      </w:hyperlink>
      <w:r>
        <w:t xml:space="preserve"> – Zugegriffen: 10.12.2023.</w:t>
      </w:r>
    </w:p>
  </w:footnote>
  <w:footnote w:id="352">
    <w:p w14:paraId="08A2E065" w14:textId="77777777" w:rsidR="00112190" w:rsidRDefault="00112190" w:rsidP="00112190">
      <w:pPr>
        <w:pStyle w:val="Funotentext"/>
      </w:pPr>
      <w:r>
        <w:rPr>
          <w:rStyle w:val="Funotenzeichen"/>
        </w:rPr>
        <w:footnoteRef/>
      </w:r>
      <w:r>
        <w:t xml:space="preserve"> Diese Aktivierung erfolgte im Rahmen des Ersatzkraftwerkbereithaltungsgesetzes von 8. Juli 2022 und weiterer Gesetze, siehe: </w:t>
      </w:r>
      <w:hyperlink r:id="rId292" w:history="1">
        <w:r w:rsidRPr="00DB6AF3">
          <w:rPr>
            <w:rStyle w:val="Hyperlink"/>
          </w:rPr>
          <w:t>https://www.bundesnetzagentur.de/DE/Fachthemen/ElektrizitaetundGas/Kohleausstieg/EKBG/start.html</w:t>
        </w:r>
      </w:hyperlink>
      <w:r>
        <w:t xml:space="preserve"> - Zugegriffen: 22.12.2023. </w:t>
      </w:r>
    </w:p>
  </w:footnote>
  <w:footnote w:id="353">
    <w:p w14:paraId="48CA5DF3" w14:textId="77777777" w:rsidR="00D71FB5" w:rsidRPr="00D71FB5" w:rsidRDefault="00D71FB5" w:rsidP="00D71FB5">
      <w:pPr>
        <w:pStyle w:val="Funotentext"/>
      </w:pPr>
      <w:r>
        <w:rPr>
          <w:rStyle w:val="Funotenzeichen"/>
        </w:rPr>
        <w:footnoteRef/>
      </w:r>
      <w:r w:rsidRPr="00D71FB5">
        <w:t xml:space="preserve"> Michael Claußner, Fabian Huneke. Kompensation der</w:t>
      </w:r>
      <w:r>
        <w:t xml:space="preserve"> Kohle-Mehremissionen durch die Energiekrise. </w:t>
      </w:r>
      <w:r w:rsidRPr="00D71FB5">
        <w:t>Kurz</w:t>
      </w:r>
      <w:r>
        <w:t xml:space="preserve">studie. </w:t>
      </w:r>
      <w:r w:rsidRPr="00D71FB5">
        <w:t>Berlin,</w:t>
      </w:r>
      <w:r>
        <w:t xml:space="preserve"> Februar 2023, siehe:</w:t>
      </w:r>
      <w:r w:rsidRPr="00D71FB5">
        <w:t xml:space="preserve"> </w:t>
      </w:r>
      <w:hyperlink r:id="rId293" w:history="1">
        <w:r w:rsidRPr="00083B1E">
          <w:rPr>
            <w:rStyle w:val="Hyperlink"/>
          </w:rPr>
          <w:t>https://green-planet-energy.de/fileadmin/docs/publikationen/Studien/2023-02-06_GPE_Kurzstudie_Kohle-Mehremissionen_EnergyBrainpool_V20.pdf</w:t>
        </w:r>
      </w:hyperlink>
      <w:r>
        <w:t xml:space="preserve"> - Zugegriffen: 21.05.2025. </w:t>
      </w:r>
    </w:p>
  </w:footnote>
  <w:footnote w:id="354">
    <w:p w14:paraId="6725BCB8" w14:textId="65D7F0B5" w:rsidR="00B81A2F" w:rsidRDefault="00B81A2F">
      <w:pPr>
        <w:pStyle w:val="Funotentext"/>
      </w:pPr>
      <w:r>
        <w:rPr>
          <w:rStyle w:val="Funotenzeichen"/>
        </w:rPr>
        <w:footnoteRef/>
      </w:r>
      <w:r>
        <w:t xml:space="preserve"> Siehe Kraftwerksliste, Excel-Datei, Stand: 14. Mai 2025, Bundesnetzagentur: </w:t>
      </w:r>
      <w:hyperlink r:id="rId294" w:history="1">
        <w:r w:rsidRPr="00083B1E">
          <w:rPr>
            <w:rStyle w:val="Hyperlink"/>
          </w:rPr>
          <w:t>https://www.bundesnetzagentur.de/DE/Fachthemen/ElektrizitaetundGas/Versorgungssicherheit/Erzeugungskapazitaeten/Kraftwerksliste/start.html</w:t>
        </w:r>
      </w:hyperlink>
      <w:r>
        <w:t xml:space="preserve"> - Zugegriffen: 18.05.2025. </w:t>
      </w:r>
    </w:p>
  </w:footnote>
  <w:footnote w:id="355">
    <w:p w14:paraId="6B873903" w14:textId="77777777" w:rsidR="00112190" w:rsidRDefault="00112190" w:rsidP="00112190">
      <w:pPr>
        <w:pStyle w:val="Funotentext"/>
      </w:pPr>
      <w:r>
        <w:rPr>
          <w:rStyle w:val="Funotenzeichen"/>
        </w:rPr>
        <w:footnoteRef/>
      </w:r>
      <w:r>
        <w:t xml:space="preserve"> Siehe: </w:t>
      </w:r>
      <w:hyperlink r:id="rId295" w:history="1">
        <w:r w:rsidRPr="00DB6AF3">
          <w:rPr>
            <w:rStyle w:val="Hyperlink"/>
          </w:rPr>
          <w:t>https://www.bundestag.de/dokumente/textarchiv/2022/kw45-de-atomgesetz-freitag-917474</w:t>
        </w:r>
      </w:hyperlink>
      <w:r>
        <w:t xml:space="preserve"> - Zugegriffen: 22.12.2023. </w:t>
      </w:r>
    </w:p>
  </w:footnote>
  <w:footnote w:id="356">
    <w:p w14:paraId="3DA31C61" w14:textId="79618D29" w:rsidR="00112190" w:rsidRDefault="00112190" w:rsidP="00112190">
      <w:pPr>
        <w:pStyle w:val="Funotentext"/>
      </w:pPr>
      <w:r>
        <w:rPr>
          <w:rStyle w:val="Funotenzeichen"/>
        </w:rPr>
        <w:footnoteRef/>
      </w:r>
      <w:r>
        <w:t xml:space="preserve"> </w:t>
      </w:r>
      <w:r w:rsidR="005F3652">
        <w:t xml:space="preserve">Siehe den juristischen Kommentar zum EnWG Assmann/Pfeiffer 2024. </w:t>
      </w:r>
      <w:r>
        <w:t xml:space="preserve">Siehe etwa die Infoseite des BMWK: </w:t>
      </w:r>
      <w:hyperlink r:id="rId296" w:history="1">
        <w:r w:rsidRPr="00DB6AF3">
          <w:rPr>
            <w:rStyle w:val="Hyperlink"/>
          </w:rPr>
          <w:t>https://www.erneuerbare-energien.de/EE/Redaktion/DE/Standardartikel/energiewirtschaftsgesetz.html</w:t>
        </w:r>
      </w:hyperlink>
      <w:r>
        <w:t xml:space="preserve"> - Zugegriffen: 22.12.2023. </w:t>
      </w:r>
    </w:p>
  </w:footnote>
  <w:footnote w:id="357">
    <w:p w14:paraId="671A06DC" w14:textId="2F2B37E1" w:rsidR="000076B7" w:rsidRPr="000076B7" w:rsidRDefault="000076B7">
      <w:pPr>
        <w:pStyle w:val="Funotentext"/>
      </w:pPr>
      <w:r>
        <w:rPr>
          <w:rStyle w:val="Funotenzeichen"/>
        </w:rPr>
        <w:footnoteRef/>
      </w:r>
      <w:r w:rsidRPr="000076B7">
        <w:t xml:space="preserve"> </w:t>
      </w:r>
      <w:r>
        <w:t xml:space="preserve">Dies können dieselben Anlagen sein. Näher geregelt wird dies in der </w:t>
      </w:r>
      <w:proofErr w:type="spellStart"/>
      <w:r>
        <w:t>NetzResV</w:t>
      </w:r>
      <w:proofErr w:type="spellEnd"/>
      <w:r>
        <w:t xml:space="preserve"> und der </w:t>
      </w:r>
      <w:proofErr w:type="spellStart"/>
      <w:r>
        <w:t>KapResV</w:t>
      </w:r>
      <w:proofErr w:type="spellEnd"/>
      <w:r>
        <w:t xml:space="preserve">. </w:t>
      </w:r>
      <w:r w:rsidRPr="000076B7">
        <w:t xml:space="preserve">Pompl, S. </w:t>
      </w:r>
      <w:r>
        <w:t xml:space="preserve">564, </w:t>
      </w:r>
      <w:r w:rsidRPr="000076B7">
        <w:t>570, i</w:t>
      </w:r>
      <w:r w:rsidR="00194AA0">
        <w:t>m Kommentar zum Energiewirtschaftsgesetz von</w:t>
      </w:r>
      <w:r w:rsidRPr="000076B7">
        <w:t xml:space="preserve"> Assmann/Peiffe</w:t>
      </w:r>
      <w:r>
        <w:t>r 2024.</w:t>
      </w:r>
    </w:p>
  </w:footnote>
  <w:footnote w:id="358">
    <w:p w14:paraId="54219D0E" w14:textId="3C4DC5AC" w:rsidR="00DD3E8F" w:rsidRDefault="00DD3E8F">
      <w:pPr>
        <w:pStyle w:val="Funotentext"/>
      </w:pPr>
      <w:r>
        <w:rPr>
          <w:rStyle w:val="Funotenzeichen"/>
        </w:rPr>
        <w:footnoteRef/>
      </w:r>
      <w:r>
        <w:t xml:space="preserve"> In diesem Gesetz kam auch die nicht umgesetzte Gasumlage vor. Siehe: </w:t>
      </w:r>
      <w:hyperlink r:id="rId297" w:history="1">
        <w:r w:rsidRPr="00E2084F">
          <w:rPr>
            <w:rStyle w:val="Hyperlink"/>
          </w:rPr>
          <w:t>https://de.wikipedia.org/wiki/Energiesicherungsgesetz</w:t>
        </w:r>
      </w:hyperlink>
      <w:r>
        <w:t xml:space="preserve"> - Zugegriffen: 02.06.2025. </w:t>
      </w:r>
    </w:p>
  </w:footnote>
  <w:footnote w:id="359">
    <w:p w14:paraId="5BDD2862" w14:textId="77777777" w:rsidR="003D0790" w:rsidRDefault="003D0790" w:rsidP="003D0790">
      <w:pPr>
        <w:pStyle w:val="Funotentext"/>
      </w:pPr>
      <w:r>
        <w:rPr>
          <w:rStyle w:val="Funotenzeichen"/>
        </w:rPr>
        <w:footnoteRef/>
      </w:r>
      <w:r>
        <w:t xml:space="preserve"> Genau genommen schon mit dem </w:t>
      </w:r>
      <w:proofErr w:type="spellStart"/>
      <w:r>
        <w:t>Stromeinspeisegesetz</w:t>
      </w:r>
      <w:proofErr w:type="spellEnd"/>
      <w:r>
        <w:t xml:space="preserve"> von 1991, spätestens aber mit dem EEG 2000. Siehe: Wikipedia Erneuerbare-Energien-Gesetz: </w:t>
      </w:r>
      <w:hyperlink r:id="rId298" w:history="1">
        <w:r w:rsidRPr="00DB7530">
          <w:rPr>
            <w:rStyle w:val="Hyperlink"/>
          </w:rPr>
          <w:t>https://de.wikipedia.org/wiki/Erneuerbare-Energien-Gesetz</w:t>
        </w:r>
      </w:hyperlink>
      <w:r>
        <w:t xml:space="preserve"> - Zugegriffen: 30.11.2023. </w:t>
      </w:r>
    </w:p>
  </w:footnote>
  <w:footnote w:id="360">
    <w:p w14:paraId="6795C8B7" w14:textId="77777777" w:rsidR="00BA1C73" w:rsidRDefault="00BA1C73" w:rsidP="00BA1C73">
      <w:pPr>
        <w:pStyle w:val="Funotentext"/>
      </w:pPr>
      <w:r>
        <w:rPr>
          <w:rStyle w:val="Funotenzeichen"/>
        </w:rPr>
        <w:footnoteRef/>
      </w:r>
      <w:r>
        <w:t xml:space="preserve"> Siehe hier: </w:t>
      </w:r>
      <w:hyperlink r:id="rId299" w:history="1">
        <w:r w:rsidRPr="005F0F5C">
          <w:rPr>
            <w:rStyle w:val="Hyperlink"/>
          </w:rPr>
          <w:t>https://www.bmel.de/SharedDocs/Downloads/DE/_Landwirtschaft/Klimaschutz/Klimaschutzprogramm2030.html</w:t>
        </w:r>
      </w:hyperlink>
      <w:r>
        <w:t xml:space="preserve"> – Zugegriffen: 10.12.2023.</w:t>
      </w:r>
    </w:p>
  </w:footnote>
  <w:footnote w:id="361">
    <w:p w14:paraId="4B1F3C86" w14:textId="62F9AABE" w:rsidR="003D0790" w:rsidRDefault="003D0790" w:rsidP="003D0790">
      <w:pPr>
        <w:pStyle w:val="Funotentext"/>
      </w:pPr>
      <w:r>
        <w:rPr>
          <w:rStyle w:val="Funotenzeichen"/>
        </w:rPr>
        <w:footnoteRef/>
      </w:r>
      <w:r>
        <w:t xml:space="preserve"> Aktuell ist: BMWK, Die Energie der Zukunft, 8. Monitoring Bericht zur Energiewende, Berichtsjahre 2018 bis 2019, Stand 2021. Dieser Bericht wird alle 3 Jahre angefertigt, </w:t>
      </w:r>
      <w:r w:rsidR="001926E2">
        <w:t xml:space="preserve">der neue Bericht ist im Juli 2024 erscheinen, siehe BMWK Monitoringbericht 2024. Siehe alle Berichte hier: </w:t>
      </w:r>
      <w:hyperlink r:id="rId300" w:history="1">
        <w:r w:rsidR="001926E2" w:rsidRPr="00A0302A">
          <w:rPr>
            <w:rStyle w:val="Hyperlink"/>
          </w:rPr>
          <w:t>https://www.bmwk.de/Redaktion/DE/Artikel/Energie/monitoring-prozess.html</w:t>
        </w:r>
      </w:hyperlink>
      <w:r w:rsidR="001926E2">
        <w:t xml:space="preserve"> - Zugegriffen: 19.07.2024. </w:t>
      </w:r>
    </w:p>
  </w:footnote>
  <w:footnote w:id="362">
    <w:p w14:paraId="35848B7B" w14:textId="77777777" w:rsidR="00112190" w:rsidRDefault="00112190" w:rsidP="00112190">
      <w:pPr>
        <w:pStyle w:val="Funotentext"/>
      </w:pPr>
      <w:r>
        <w:rPr>
          <w:rStyle w:val="Funotenzeichen"/>
        </w:rPr>
        <w:footnoteRef/>
      </w:r>
      <w:r>
        <w:t xml:space="preserve"> Siehe Bundes Klimaschutzgesetz: </w:t>
      </w:r>
      <w:hyperlink r:id="rId301" w:history="1">
        <w:r w:rsidRPr="00221A19">
          <w:rPr>
            <w:rStyle w:val="Hyperlink"/>
          </w:rPr>
          <w:t>https://www.gesetze-im-internet.de/ksg/BJNR251310019.html</w:t>
        </w:r>
      </w:hyperlink>
      <w:r>
        <w:t xml:space="preserve"> - Zugegriffen: 16.10.2023.</w:t>
      </w:r>
    </w:p>
  </w:footnote>
  <w:footnote w:id="363">
    <w:p w14:paraId="38E7CA25" w14:textId="77777777" w:rsidR="00112190" w:rsidRDefault="00112190" w:rsidP="00112190">
      <w:pPr>
        <w:pStyle w:val="Funotentext"/>
      </w:pPr>
      <w:r>
        <w:rPr>
          <w:rStyle w:val="Funotenzeichen"/>
        </w:rPr>
        <w:footnoteRef/>
      </w:r>
      <w:r>
        <w:t xml:space="preserve"> Klimaschutzgesetz, Abschnitt 2, Klimaschutzziele und Jahresemissionsmengen, § 3 Nationale Klimaschutzziele, Abs. (1). u. Abs. (2) </w:t>
      </w:r>
    </w:p>
  </w:footnote>
  <w:footnote w:id="364">
    <w:p w14:paraId="2F42CCD4" w14:textId="77777777" w:rsidR="00112190" w:rsidRDefault="00112190" w:rsidP="00112190">
      <w:pPr>
        <w:pStyle w:val="Funotentext"/>
      </w:pPr>
      <w:r>
        <w:rPr>
          <w:rStyle w:val="Funotenzeichen"/>
        </w:rPr>
        <w:footnoteRef/>
      </w:r>
      <w:r>
        <w:t xml:space="preserve"> Klimaschutzgesetz, Abschnitt 2, Klimaschutzziele und Jahresemissionsmengen, § 3 (a) </w:t>
      </w:r>
    </w:p>
  </w:footnote>
  <w:footnote w:id="365">
    <w:p w14:paraId="30B89D42" w14:textId="77777777" w:rsidR="00112190" w:rsidRDefault="00112190" w:rsidP="00112190">
      <w:pPr>
        <w:pStyle w:val="Funotentext"/>
      </w:pPr>
      <w:r>
        <w:rPr>
          <w:rStyle w:val="Funotenzeichen"/>
        </w:rPr>
        <w:footnoteRef/>
      </w:r>
      <w:r>
        <w:t xml:space="preserve"> Klimaschutzgesetz, Abschnitt 2, Klimaschutzziele und Jahresemissionsmengen, § 4 Abs. (1)</w:t>
      </w:r>
    </w:p>
  </w:footnote>
  <w:footnote w:id="366">
    <w:p w14:paraId="3575C851" w14:textId="77777777" w:rsidR="00112190" w:rsidRDefault="00112190" w:rsidP="00112190">
      <w:pPr>
        <w:pStyle w:val="Funotentext"/>
      </w:pPr>
      <w:r>
        <w:rPr>
          <w:rStyle w:val="Funotenzeichen"/>
        </w:rPr>
        <w:footnoteRef/>
      </w:r>
      <w:r>
        <w:t xml:space="preserve"> </w:t>
      </w:r>
      <w:r w:rsidRPr="00635443">
        <w:t xml:space="preserve">Klimaschutzgesetz, Abschnitt 2, Klimaschutzziele und Jahresemissionsmengen, § </w:t>
      </w:r>
      <w:r>
        <w:t>4 Abs. (6)</w:t>
      </w:r>
    </w:p>
  </w:footnote>
  <w:footnote w:id="367">
    <w:p w14:paraId="02928F04" w14:textId="77777777" w:rsidR="00112190" w:rsidRPr="006C08F4" w:rsidRDefault="00112190" w:rsidP="00112190">
      <w:pPr>
        <w:pStyle w:val="Funotentext"/>
      </w:pPr>
      <w:r>
        <w:rPr>
          <w:rStyle w:val="Funotenzeichen"/>
        </w:rPr>
        <w:footnoteRef/>
      </w:r>
      <w:r w:rsidRPr="006C08F4">
        <w:t xml:space="preserve"> </w:t>
      </w:r>
      <w:r>
        <w:t xml:space="preserve">Siehe: </w:t>
      </w:r>
      <w:hyperlink r:id="rId302" w:history="1">
        <w:r w:rsidRPr="0039637B">
          <w:rPr>
            <w:rStyle w:val="Hyperlink"/>
          </w:rPr>
          <w:t>https://www.bundesregierung.de/breg-de/themen/tipps-fuer-verbraucher/klimaschutzgesetz-2197410</w:t>
        </w:r>
      </w:hyperlink>
      <w:r w:rsidRPr="006C08F4">
        <w:t xml:space="preserve"> - Zu</w:t>
      </w:r>
      <w:r>
        <w:t>gegriffen: 10.12.2023.</w:t>
      </w:r>
    </w:p>
  </w:footnote>
  <w:footnote w:id="368">
    <w:p w14:paraId="4B8539C9" w14:textId="77777777" w:rsidR="00112190" w:rsidRDefault="00112190" w:rsidP="00112190">
      <w:pPr>
        <w:pStyle w:val="Funotentext"/>
      </w:pPr>
      <w:r>
        <w:rPr>
          <w:rStyle w:val="Funotenzeichen"/>
        </w:rPr>
        <w:footnoteRef/>
      </w:r>
      <w:r>
        <w:t xml:space="preserve"> Dena Leitstudie Klimaneutralität 2021: 105.</w:t>
      </w:r>
    </w:p>
  </w:footnote>
  <w:footnote w:id="369">
    <w:p w14:paraId="19B1D368" w14:textId="77777777" w:rsidR="00D53D1F" w:rsidRDefault="00D53D1F" w:rsidP="00D53D1F">
      <w:pPr>
        <w:pStyle w:val="Funotentext"/>
      </w:pPr>
      <w:r>
        <w:rPr>
          <w:rStyle w:val="Funotenzeichen"/>
        </w:rPr>
        <w:footnoteRef/>
      </w:r>
      <w:r>
        <w:t xml:space="preserve"> Siehe: </w:t>
      </w:r>
      <w:hyperlink r:id="rId303" w:history="1">
        <w:r w:rsidRPr="002D373A">
          <w:rPr>
            <w:rStyle w:val="Hyperlink"/>
          </w:rPr>
          <w:t>https://www.consilium.europa.eu/de/meetings/european-council/2019/12/12-13/</w:t>
        </w:r>
      </w:hyperlink>
      <w:r>
        <w:t xml:space="preserve"> - Zugegriffen: 30.12.2023. Siehe das die Schlussfolgerungen des EU-Gipfels vom 12.12.2019, Para: 1: „Schlussfolgerungen – 12. Dezember 2019, I. KLIMAWANDEL, 1. Angesichts der neuesten wissenschaftlichen Erkenntnisse und der Notwendigkeit, den weltweiten Klimaschutz zu intensivieren, unterstützt der Europäische Rat das Ziel, bis 2050 im Einklang mit den Zielen des Übereinkommens von Paris eine klimaneutrale Union zu erreichen. Ein Mitgliedstaat kann sich zum gegenwärtigen Zeitpunkt nicht verpflichten, dieses Ziel für sich umzusetzen, und der Europäische Rat wird im Juni 2020 darauf zurückkommen.“ (…) siehe: </w:t>
      </w:r>
      <w:hyperlink r:id="rId304" w:history="1">
        <w:r w:rsidRPr="002D373A">
          <w:rPr>
            <w:rStyle w:val="Hyperlink"/>
          </w:rPr>
          <w:t>https://www.consilium.europa.eu/media/41779/12-euco-final-conclusions-de.pdf</w:t>
        </w:r>
      </w:hyperlink>
      <w:r>
        <w:t xml:space="preserve"> - Zugegriffen: 30.12.2023. Das Land, dass sich damals nicht verpflichten wollte, war Polen. </w:t>
      </w:r>
    </w:p>
  </w:footnote>
  <w:footnote w:id="370">
    <w:p w14:paraId="18416C95" w14:textId="4E638A83" w:rsidR="00D53D1F" w:rsidRDefault="00D53D1F">
      <w:pPr>
        <w:pStyle w:val="Funotentext"/>
      </w:pPr>
      <w:r>
        <w:rPr>
          <w:rStyle w:val="Funotenzeichen"/>
        </w:rPr>
        <w:footnoteRef/>
      </w:r>
      <w:r>
        <w:t xml:space="preserve"> Hendrick Kafsack, Johannes Pennekamp. Die Fallstricke des EU-Klimaziels. FAZ, 03.07.2025.</w:t>
      </w:r>
    </w:p>
  </w:footnote>
  <w:footnote w:id="371">
    <w:p w14:paraId="74E19963" w14:textId="77777777" w:rsidR="00194AA0" w:rsidRDefault="00194AA0" w:rsidP="00194AA0">
      <w:pPr>
        <w:pStyle w:val="Funotentext"/>
      </w:pPr>
      <w:r>
        <w:rPr>
          <w:rStyle w:val="Funotenzeichen"/>
        </w:rPr>
        <w:footnoteRef/>
      </w:r>
      <w:r>
        <w:t xml:space="preserve"> Siehe hier: </w:t>
      </w:r>
      <w:hyperlink r:id="rId305" w:history="1">
        <w:r w:rsidRPr="00FA0B4F">
          <w:rPr>
            <w:rStyle w:val="Hyperlink"/>
          </w:rPr>
          <w:t>https://www.bundesfinanzministerium.de/Content/DE/Downloads/Klimaschutz/klimaschutzprogramm-2030-der-bundesregierung-zur-umsetzung-des-klimaschutzplans-2050.pdf?__blob=publicationFile&amp;v=4</w:t>
        </w:r>
      </w:hyperlink>
      <w:r>
        <w:t xml:space="preserve"> – Zugegriffen: 10.12.2023.</w:t>
      </w:r>
    </w:p>
  </w:footnote>
  <w:footnote w:id="372">
    <w:p w14:paraId="0DC65597" w14:textId="77777777" w:rsidR="00194AA0" w:rsidRDefault="00194AA0" w:rsidP="00194AA0">
      <w:pPr>
        <w:pStyle w:val="Funotentext"/>
      </w:pPr>
      <w:r>
        <w:rPr>
          <w:rStyle w:val="Funotenzeichen"/>
        </w:rPr>
        <w:footnoteRef/>
      </w:r>
      <w:r>
        <w:t xml:space="preserve"> Siehe das Klimaschutzprogramm, 13.06.2023: </w:t>
      </w:r>
      <w:hyperlink r:id="rId306" w:history="1">
        <w:r w:rsidRPr="009F1C5E">
          <w:rPr>
            <w:rStyle w:val="Hyperlink"/>
          </w:rPr>
          <w:t>https://www.bmwk.de/Redaktion/DE/Downloads/klimaschutz/entwurf-eines-klimaschutzprogramms-2023-der-bundesregierung.pdf?__blob=publicationFile&amp;v=6</w:t>
        </w:r>
      </w:hyperlink>
      <w:r>
        <w:t xml:space="preserve"> – Zugegriffen: 10.12.2023. </w:t>
      </w:r>
    </w:p>
  </w:footnote>
  <w:footnote w:id="373">
    <w:p w14:paraId="0CCE479E" w14:textId="77777777" w:rsidR="00194AA0" w:rsidRDefault="00194AA0" w:rsidP="00194AA0">
      <w:pPr>
        <w:pStyle w:val="Funotentext"/>
      </w:pPr>
      <w:r>
        <w:rPr>
          <w:rStyle w:val="Funotenzeichen"/>
        </w:rPr>
        <w:footnoteRef/>
      </w:r>
      <w:r>
        <w:t xml:space="preserve"> Siehe das Klimaschutzprogramm, 04.10.2023: </w:t>
      </w:r>
      <w:hyperlink r:id="rId307" w:history="1">
        <w:r w:rsidRPr="00FA0B4F">
          <w:rPr>
            <w:rStyle w:val="Hyperlink"/>
          </w:rPr>
          <w:t>https://www.bmwk.de/Redaktion/DE/Downloads/klimaschutz/20231004-klimaschutzprogramm-der-bundesregierung.html</w:t>
        </w:r>
      </w:hyperlink>
      <w:r>
        <w:t xml:space="preserve"> - Zugegriffen: 14.05.2024.</w:t>
      </w:r>
    </w:p>
  </w:footnote>
  <w:footnote w:id="374">
    <w:p w14:paraId="71A37C37" w14:textId="3253421A" w:rsidR="00831EE5" w:rsidRDefault="00831EE5">
      <w:pPr>
        <w:pStyle w:val="Funotentext"/>
      </w:pPr>
      <w:r>
        <w:rPr>
          <w:rStyle w:val="Funotenzeichen"/>
        </w:rPr>
        <w:footnoteRef/>
      </w:r>
      <w:r>
        <w:t xml:space="preserve"> Siehe: </w:t>
      </w:r>
      <w:hyperlink r:id="rId308" w:history="1">
        <w:r w:rsidRPr="00831EE5">
          <w:rPr>
            <w:rStyle w:val="Hyperlink"/>
          </w:rPr>
          <w:t>https://expertenrat-klima.de</w:t>
        </w:r>
      </w:hyperlink>
    </w:p>
  </w:footnote>
  <w:footnote w:id="375">
    <w:p w14:paraId="63734D26" w14:textId="7A05BB06" w:rsidR="00433A37" w:rsidRDefault="00433A37">
      <w:pPr>
        <w:pStyle w:val="Funotentext"/>
      </w:pPr>
      <w:r>
        <w:rPr>
          <w:rStyle w:val="Funotenzeichen"/>
        </w:rPr>
        <w:footnoteRef/>
      </w:r>
      <w:r>
        <w:t xml:space="preserve"> Siehe: </w:t>
      </w:r>
      <w:hyperlink r:id="rId309" w:history="1">
        <w:r w:rsidRPr="00F203CA">
          <w:rPr>
            <w:rStyle w:val="Hyperlink"/>
          </w:rPr>
          <w:t>https://www.gesetze-im-internet.de/ksg/__8.html</w:t>
        </w:r>
      </w:hyperlink>
      <w:r>
        <w:t xml:space="preserve"> – Zugegriffen: 15.11.2024. </w:t>
      </w:r>
    </w:p>
  </w:footnote>
  <w:footnote w:id="376">
    <w:p w14:paraId="41CC3FB7" w14:textId="77BF7B24" w:rsidR="00433A37" w:rsidRDefault="00433A37">
      <w:pPr>
        <w:pStyle w:val="Funotentext"/>
      </w:pPr>
      <w:r>
        <w:rPr>
          <w:rStyle w:val="Funotenzeichen"/>
        </w:rPr>
        <w:footnoteRef/>
      </w:r>
      <w:r>
        <w:t xml:space="preserve"> Siehe: </w:t>
      </w:r>
      <w:hyperlink r:id="rId310" w:history="1">
        <w:r w:rsidRPr="00F203CA">
          <w:rPr>
            <w:rStyle w:val="Hyperlink"/>
          </w:rPr>
          <w:t>https://expertenrat-klima.de/news/pressemitteilung_erk2024_sondergutachten-pruefung-projektionsdaten-2024-2/</w:t>
        </w:r>
      </w:hyperlink>
      <w:r>
        <w:t xml:space="preserve"> - Zugegriffen: 15.11.2024. </w:t>
      </w:r>
    </w:p>
  </w:footnote>
  <w:footnote w:id="377">
    <w:p w14:paraId="5106A9BD" w14:textId="77777777" w:rsidR="00112190" w:rsidRDefault="00112190" w:rsidP="00112190">
      <w:pPr>
        <w:pStyle w:val="Funotentext"/>
      </w:pPr>
      <w:r>
        <w:rPr>
          <w:rStyle w:val="Funotenzeichen"/>
        </w:rPr>
        <w:footnoteRef/>
      </w:r>
      <w:r>
        <w:t xml:space="preserve"> Siehe Umweltbundesamt, Verkehr, 15.03.2023, siehe: </w:t>
      </w:r>
      <w:hyperlink r:id="rId311" w:anchor="rolle" w:history="1">
        <w:r w:rsidRPr="00EF012E">
          <w:rPr>
            <w:rStyle w:val="Hyperlink"/>
          </w:rPr>
          <w:t>https://www.umweltbundesamt.de/themen/verkehr/klimaschutz-im-verkehr#rolle</w:t>
        </w:r>
      </w:hyperlink>
      <w:r>
        <w:t xml:space="preserve"> – Zugegriffen: 16.12.2023.  </w:t>
      </w:r>
    </w:p>
  </w:footnote>
  <w:footnote w:id="378">
    <w:p w14:paraId="07AAA0B7" w14:textId="77777777" w:rsidR="00112190" w:rsidRDefault="00112190" w:rsidP="00112190">
      <w:pPr>
        <w:pStyle w:val="Funotentext"/>
      </w:pPr>
      <w:r>
        <w:rPr>
          <w:rStyle w:val="Funotenzeichen"/>
        </w:rPr>
        <w:footnoteRef/>
      </w:r>
      <w:r>
        <w:t xml:space="preserve"> Siehe: </w:t>
      </w:r>
      <w:hyperlink r:id="rId312" w:history="1">
        <w:r w:rsidRPr="00EF012E">
          <w:rPr>
            <w:rStyle w:val="Hyperlink"/>
          </w:rPr>
          <w:t>https://www.vcd.org/service/presse/pressemitteilungen/rechtsbruch-beim-klimaschutzgesetz-verkehrsminister-wissing-bleibt-sofortprogramm-voraussichtlich-schuldig</w:t>
        </w:r>
      </w:hyperlink>
      <w:r>
        <w:t xml:space="preserve"> - Zugegriffen: 16.12.2023. </w:t>
      </w:r>
    </w:p>
  </w:footnote>
  <w:footnote w:id="379">
    <w:p w14:paraId="37E432EB" w14:textId="77777777" w:rsidR="00112190" w:rsidRDefault="00112190" w:rsidP="00112190">
      <w:pPr>
        <w:pStyle w:val="Funotentext"/>
      </w:pPr>
      <w:r>
        <w:rPr>
          <w:rStyle w:val="Funotenzeichen"/>
        </w:rPr>
        <w:footnoteRef/>
      </w:r>
      <w:r>
        <w:t xml:space="preserve"> Siehe Referentenentwurf des Bundesministeriums für Wirtschaft und Klimaschutz, Entwurf eines Zweiten Gesetzes zur Änderung des Bundes-Klimaschutzgesetzes, 20.06.2023: </w:t>
      </w:r>
      <w:hyperlink r:id="rId313" w:history="1">
        <w:r w:rsidRPr="00EF012E">
          <w:rPr>
            <w:rStyle w:val="Hyperlink"/>
          </w:rPr>
          <w:t>https://www.bmwk.de/Redaktion/DE/Downloads/klimaschutz/entwurf-eines-zweiten-gesetzes-zur-aenderung-des-bundes-klimaschutzgesetzes-stand-juni-2023.pdf?__blob=publicationFile&amp;v=10</w:t>
        </w:r>
      </w:hyperlink>
      <w:r>
        <w:t xml:space="preserve"> – Zugegriffen: 16.12.2023. </w:t>
      </w:r>
    </w:p>
  </w:footnote>
  <w:footnote w:id="380">
    <w:p w14:paraId="4882422E" w14:textId="77777777" w:rsidR="00112190" w:rsidRDefault="00112190" w:rsidP="00112190">
      <w:pPr>
        <w:pStyle w:val="Funotentext"/>
      </w:pPr>
      <w:r>
        <w:rPr>
          <w:rStyle w:val="Funotenzeichen"/>
        </w:rPr>
        <w:footnoteRef/>
      </w:r>
      <w:r>
        <w:t xml:space="preserve"> Siehe hier: </w:t>
      </w:r>
      <w:hyperlink r:id="rId314" w:history="1">
        <w:r w:rsidRPr="00FA0B4F">
          <w:rPr>
            <w:rStyle w:val="Hyperlink"/>
          </w:rPr>
          <w:t>https://www.bundesregierung.de/breg-de/themen/tipps-fuer-verbraucher/klimaschutzgesetz-2197410</w:t>
        </w:r>
      </w:hyperlink>
      <w:r>
        <w:t xml:space="preserve"> - Zugegriffen: 14.05.2024. </w:t>
      </w:r>
    </w:p>
  </w:footnote>
  <w:footnote w:id="381">
    <w:p w14:paraId="6411FAF4" w14:textId="77777777" w:rsidR="00EF7BDF" w:rsidRDefault="00EF7BDF" w:rsidP="00EF7BDF">
      <w:pPr>
        <w:pStyle w:val="Funotentext"/>
      </w:pPr>
      <w:r>
        <w:rPr>
          <w:rStyle w:val="Funotenzeichen"/>
        </w:rPr>
        <w:footnoteRef/>
      </w:r>
      <w:r>
        <w:t xml:space="preserve"> Siehe: </w:t>
      </w:r>
      <w:hyperlink r:id="rId315" w:history="1">
        <w:r w:rsidRPr="008708CC">
          <w:rPr>
            <w:rStyle w:val="Hyperlink"/>
          </w:rPr>
          <w:t>https://www.umweltbundesamt.de/publikationen/verkehrssektor-auf-kurs-bringen-szenarien-zur</w:t>
        </w:r>
      </w:hyperlink>
      <w:r>
        <w:t xml:space="preserve"> - Zugegriffen: 20.05.2024. </w:t>
      </w:r>
      <w:bookmarkStart w:id="26" w:name="_Hlk167128621"/>
      <w:r>
        <w:t>Siehe: Tobias Piller. Kommentar. Innovationen statt Folterinstrumente für Autofahrer. FAZ, 13.05.2024.</w:t>
      </w:r>
    </w:p>
    <w:bookmarkEnd w:id="26"/>
  </w:footnote>
  <w:footnote w:id="382">
    <w:p w14:paraId="20D5568F" w14:textId="77777777" w:rsidR="00EF7BDF" w:rsidRPr="00C94072" w:rsidRDefault="00EF7BDF" w:rsidP="00EF7BDF">
      <w:pPr>
        <w:pStyle w:val="Funotentext"/>
      </w:pPr>
      <w:r>
        <w:rPr>
          <w:rStyle w:val="Funotenzeichen"/>
        </w:rPr>
        <w:footnoteRef/>
      </w:r>
      <w:r>
        <w:t xml:space="preserve"> </w:t>
      </w:r>
      <w:r w:rsidRPr="003D219F">
        <w:t xml:space="preserve">Siehe: Tobias Piller. Kommentar. Innovationen statt Folterinstrumente für Autofahrer. </w:t>
      </w:r>
      <w:r w:rsidRPr="00C94072">
        <w:t>FAZ, 13.05.2024.</w:t>
      </w:r>
    </w:p>
  </w:footnote>
  <w:footnote w:id="383">
    <w:p w14:paraId="33665F5A" w14:textId="77777777" w:rsidR="00EF7BDF" w:rsidRPr="009D4B50" w:rsidRDefault="00EF7BDF" w:rsidP="00EF7BDF">
      <w:pPr>
        <w:pStyle w:val="Funotentext"/>
      </w:pPr>
      <w:r>
        <w:rPr>
          <w:rStyle w:val="Funotenzeichen"/>
        </w:rPr>
        <w:footnoteRef/>
      </w:r>
      <w:r w:rsidRPr="009D4B50">
        <w:t xml:space="preserve"> Siehe: </w:t>
      </w:r>
      <w:hyperlink r:id="rId316" w:history="1">
        <w:r w:rsidRPr="008708CC">
          <w:rPr>
            <w:rStyle w:val="Hyperlink"/>
          </w:rPr>
          <w:t>https://www.agora-verkehrswende.de/veroeffentlichungen/verkehrswende-als-mehrwert/</w:t>
        </w:r>
      </w:hyperlink>
      <w:r>
        <w:t xml:space="preserve"> - Zugegriffen: 20.05.2024.</w:t>
      </w:r>
    </w:p>
  </w:footnote>
  <w:footnote w:id="384">
    <w:p w14:paraId="69E6639A" w14:textId="4DC99BB4" w:rsidR="00F201EB" w:rsidRDefault="00F201EB">
      <w:pPr>
        <w:pStyle w:val="Funotentext"/>
      </w:pPr>
      <w:r>
        <w:rPr>
          <w:rStyle w:val="Funotenzeichen"/>
        </w:rPr>
        <w:footnoteRef/>
      </w:r>
      <w:r>
        <w:t xml:space="preserve"> Nur der EuGH kann die Diesel-Sorgen von Wissing lösen. FAZ, 06.08.2024. </w:t>
      </w:r>
    </w:p>
  </w:footnote>
  <w:footnote w:id="385">
    <w:p w14:paraId="332AA27E" w14:textId="7606FE4D" w:rsidR="001F2BD5" w:rsidRDefault="001F2BD5">
      <w:pPr>
        <w:pStyle w:val="Funotentext"/>
      </w:pPr>
      <w:r>
        <w:rPr>
          <w:rStyle w:val="Funotenzeichen"/>
        </w:rPr>
        <w:footnoteRef/>
      </w:r>
      <w:r>
        <w:t xml:space="preserve"> Friederik Haupt, Reinhard Bingener. Die FDP beschließt Zehn-Punkt-Plan ‚für das Auto‘. In FAZ, 13.08.2024. </w:t>
      </w:r>
    </w:p>
  </w:footnote>
  <w:footnote w:id="386">
    <w:p w14:paraId="3743CDD1" w14:textId="77777777" w:rsidR="00323D82" w:rsidRDefault="00323D82" w:rsidP="00323D82">
      <w:pPr>
        <w:pStyle w:val="Funotentext"/>
      </w:pPr>
      <w:r>
        <w:rPr>
          <w:rStyle w:val="Funotenzeichen"/>
        </w:rPr>
        <w:footnoteRef/>
      </w:r>
      <w:r>
        <w:t xml:space="preserve"> Bayerisches Klimaschutzgesetz, 23. November 2020: </w:t>
      </w:r>
      <w:hyperlink r:id="rId317" w:history="1">
        <w:r w:rsidRPr="008C2B53">
          <w:rPr>
            <w:rStyle w:val="Hyperlink"/>
          </w:rPr>
          <w:t>https://www.gesetze-bayern.de/Content/Document/BayKlimaG</w:t>
        </w:r>
      </w:hyperlink>
      <w:r>
        <w:t xml:space="preserve"> - Zugegriffen: 01.02.2025.</w:t>
      </w:r>
    </w:p>
  </w:footnote>
  <w:footnote w:id="387">
    <w:p w14:paraId="6E29E500" w14:textId="384ED55F" w:rsidR="00323D82" w:rsidRDefault="00323D82">
      <w:pPr>
        <w:pStyle w:val="Funotentext"/>
      </w:pPr>
      <w:r>
        <w:rPr>
          <w:rStyle w:val="Funotenzeichen"/>
        </w:rPr>
        <w:footnoteRef/>
      </w:r>
      <w:r>
        <w:t xml:space="preserve"> Siehe z.B. Bayrisches Staatsministerium für Wirtschaft, Landesentwicklung und Energie: </w:t>
      </w:r>
      <w:hyperlink r:id="rId318" w:history="1">
        <w:r w:rsidRPr="008C2B53">
          <w:rPr>
            <w:rStyle w:val="Hyperlink"/>
          </w:rPr>
          <w:t>https://www.stmwi.bayern.de/energie/energiewende/energieplan-bayern-2040/</w:t>
        </w:r>
      </w:hyperlink>
      <w:r>
        <w:t xml:space="preserve"> - Zugegriffen: 01.02.2025. </w:t>
      </w:r>
    </w:p>
  </w:footnote>
  <w:footnote w:id="388">
    <w:p w14:paraId="195467B4" w14:textId="17AF471A" w:rsidR="00154CD9" w:rsidRDefault="00154CD9">
      <w:pPr>
        <w:pStyle w:val="Funotentext"/>
      </w:pPr>
      <w:r>
        <w:rPr>
          <w:rStyle w:val="Funotenzeichen"/>
        </w:rPr>
        <w:footnoteRef/>
      </w:r>
      <w:r>
        <w:t xml:space="preserve"> Siehe ‚Bayern Abkehr vom Klimaziel‘, z.B. hier: </w:t>
      </w:r>
      <w:hyperlink r:id="rId319" w:history="1">
        <w:r w:rsidRPr="008C2B53">
          <w:rPr>
            <w:rStyle w:val="Hyperlink"/>
          </w:rPr>
          <w:t>https://www.br.de/nachrichten/bayern/abkehr-von-klimaziel-scharfe-kritik-an-staatsregierung,UZT80QK</w:t>
        </w:r>
      </w:hyperlink>
      <w:r>
        <w:t xml:space="preserve"> – Zugegriffen: 01.02.2025. </w:t>
      </w:r>
    </w:p>
  </w:footnote>
  <w:footnote w:id="389">
    <w:p w14:paraId="7A950725" w14:textId="48D5C29A" w:rsidR="000D653E" w:rsidRDefault="000D653E">
      <w:pPr>
        <w:pStyle w:val="Funotentext"/>
      </w:pPr>
      <w:r>
        <w:rPr>
          <w:rStyle w:val="Funotenzeichen"/>
        </w:rPr>
        <w:footnoteRef/>
      </w:r>
      <w:r>
        <w:t xml:space="preserve"> Siehe: </w:t>
      </w:r>
      <w:hyperlink r:id="rId320" w:history="1">
        <w:r w:rsidRPr="00935F25">
          <w:rPr>
            <w:rStyle w:val="Hyperlink"/>
          </w:rPr>
          <w:t>https://www.ndr.de/nachrichten/niedersachsen/Klimaneutral-bis-2040-Land-beschliesst-Klimaschutz-Strategie,klimaschutz478.html</w:t>
        </w:r>
      </w:hyperlink>
      <w:r>
        <w:t xml:space="preserve"> – Zugegriffen: 31.05.2025. </w:t>
      </w:r>
    </w:p>
  </w:footnote>
  <w:footnote w:id="390">
    <w:p w14:paraId="6B339B18" w14:textId="7AEF8A60" w:rsidR="000D653E" w:rsidRDefault="000D653E">
      <w:pPr>
        <w:pStyle w:val="Funotentext"/>
      </w:pPr>
      <w:r>
        <w:rPr>
          <w:rStyle w:val="Funotenzeichen"/>
        </w:rPr>
        <w:footnoteRef/>
      </w:r>
      <w:r>
        <w:t xml:space="preserve"> Siehe: </w:t>
      </w:r>
      <w:hyperlink r:id="rId321" w:history="1">
        <w:r w:rsidRPr="00935F25">
          <w:rPr>
            <w:rStyle w:val="Hyperlink"/>
          </w:rPr>
          <w:t>https://www.umwelt.niedersachsen.de/startseite/themen/klima/klimaschutz_in_niedersachsen/klimaschutz-in-niedersachsen-200413.html</w:t>
        </w:r>
      </w:hyperlink>
      <w:r>
        <w:t xml:space="preserve"> - Zugegriffen: 31.05.2025. </w:t>
      </w:r>
    </w:p>
  </w:footnote>
  <w:footnote w:id="391">
    <w:p w14:paraId="77D6995C" w14:textId="0145AF5F" w:rsidR="000D653E" w:rsidRDefault="000D653E">
      <w:pPr>
        <w:pStyle w:val="Funotentext"/>
      </w:pPr>
      <w:r>
        <w:rPr>
          <w:rStyle w:val="Funotenzeichen"/>
        </w:rPr>
        <w:footnoteRef/>
      </w:r>
      <w:r>
        <w:t xml:space="preserve"> Siehe: </w:t>
      </w:r>
      <w:hyperlink r:id="rId322" w:history="1">
        <w:r w:rsidRPr="00935F25">
          <w:rPr>
            <w:rStyle w:val="Hyperlink"/>
          </w:rPr>
          <w:t>https://www.klimaschutz-niedersachsen.de/</w:t>
        </w:r>
      </w:hyperlink>
      <w:r>
        <w:t xml:space="preserve"> - Zugegriffen: 31.05.2025. </w:t>
      </w:r>
    </w:p>
  </w:footnote>
  <w:footnote w:id="392">
    <w:p w14:paraId="7A147FE5" w14:textId="7E879527" w:rsidR="000F0411" w:rsidRDefault="000F0411">
      <w:pPr>
        <w:pStyle w:val="Funotentext"/>
      </w:pPr>
      <w:r>
        <w:rPr>
          <w:rStyle w:val="Funotenzeichen"/>
        </w:rPr>
        <w:footnoteRef/>
      </w:r>
      <w:r>
        <w:t xml:space="preserve"> Neue niederländische Regierung kappt Klima-Pläne für Agrarpolitik. Tagesschau App, 06.09.2024. </w:t>
      </w:r>
    </w:p>
  </w:footnote>
  <w:footnote w:id="393">
    <w:p w14:paraId="1C4E0ED9" w14:textId="58304744" w:rsidR="00BE4E9C" w:rsidRDefault="00BE4E9C">
      <w:pPr>
        <w:pStyle w:val="Funotentext"/>
      </w:pPr>
      <w:r>
        <w:rPr>
          <w:rStyle w:val="Funotenzeichen"/>
        </w:rPr>
        <w:footnoteRef/>
      </w:r>
      <w:r>
        <w:t xml:space="preserve"> </w:t>
      </w:r>
      <w:r w:rsidR="00EB4BD6">
        <w:t>Art. 20 a GG: „</w:t>
      </w:r>
      <w:r w:rsidR="00EB4BD6" w:rsidRPr="00EB4BD6">
        <w:t>Der Staat schützt auch in Verantwortung für die künftigen Generationen die natürlichen Lebensgrundlagen und die Tiere im Rahmen der verfassungsmäßigen Ordnung durch die Gesetzgebung und nach Maßgabe von Gesetz und Recht durch die vollziehende Gewalt und die Rechtsprechung</w:t>
      </w:r>
      <w:r w:rsidR="00EB4BD6">
        <w:t>.</w:t>
      </w:r>
      <w:r w:rsidR="00EB4BD6" w:rsidRPr="00EB4BD6">
        <w:t>“</w:t>
      </w:r>
    </w:p>
  </w:footnote>
  <w:footnote w:id="394">
    <w:p w14:paraId="527D5D1D" w14:textId="68297A2F" w:rsidR="005525C5" w:rsidRDefault="005525C5">
      <w:pPr>
        <w:pStyle w:val="Funotentext"/>
      </w:pPr>
      <w:r>
        <w:rPr>
          <w:rStyle w:val="Funotenzeichen"/>
        </w:rPr>
        <w:footnoteRef/>
      </w:r>
      <w:r>
        <w:t xml:space="preserve"> Siehe: Umwelthilfe klagt gegen neues Klimaschutzgesetz, 16.07.2024. Siehe: </w:t>
      </w:r>
      <w:hyperlink r:id="rId323" w:history="1">
        <w:r w:rsidRPr="00181F3A">
          <w:rPr>
            <w:rStyle w:val="Hyperlink"/>
          </w:rPr>
          <w:t>https://www.tagesschau.de/inland/innenpolitik/klimaschutzgesetz-klage-100.html</w:t>
        </w:r>
      </w:hyperlink>
      <w:r>
        <w:t xml:space="preserve"> - Zugegriffen: 17.07.2024. </w:t>
      </w:r>
      <w:r w:rsidR="00DE0AA5">
        <w:t>Siehe auch: Verfassungsbeschwerde gegen neues Klimaschutzgesetz. FAZ, 17.07.2024.</w:t>
      </w:r>
    </w:p>
  </w:footnote>
  <w:footnote w:id="395">
    <w:p w14:paraId="73DC80E4" w14:textId="2784D0E7" w:rsidR="003804C7" w:rsidRDefault="003804C7">
      <w:pPr>
        <w:pStyle w:val="Funotentext"/>
      </w:pPr>
      <w:r>
        <w:rPr>
          <w:rStyle w:val="Funotenzeichen"/>
        </w:rPr>
        <w:footnoteRef/>
      </w:r>
      <w:r>
        <w:t xml:space="preserve"> Siehe Prof. Jens Kersten. Ökologie ins Grundgesetz. FAZ, 21.06.2024. </w:t>
      </w:r>
      <w:r w:rsidR="004E49E6">
        <w:t>Gefordert wird dort: „Das ökologische Verantwortungsprinzip kann in der Präambel des Grundgesetzes verankert werde. Das Recht auf ökologische Integrität, die Ökologiepflichtigkeit des Eigentums und die Rechte der Natur lassen sich in den Grundrechtsteil integrieren.“</w:t>
      </w:r>
    </w:p>
  </w:footnote>
  <w:footnote w:id="396">
    <w:p w14:paraId="32A79D1A" w14:textId="77777777" w:rsidR="00112190" w:rsidRDefault="00112190" w:rsidP="00112190">
      <w:pPr>
        <w:pStyle w:val="Funotentext"/>
      </w:pPr>
      <w:r>
        <w:rPr>
          <w:rStyle w:val="Funotenzeichen"/>
        </w:rPr>
        <w:footnoteRef/>
      </w:r>
      <w:r>
        <w:t xml:space="preserve"> Urteil nach Klima-Klagen. Bundesregierung muss Klimaschutzprogramm nachschärfen. FAZ, 16.05.2024.</w:t>
      </w:r>
    </w:p>
  </w:footnote>
  <w:footnote w:id="397">
    <w:p w14:paraId="6342BC4B" w14:textId="77777777" w:rsidR="00112190" w:rsidRDefault="00112190" w:rsidP="00112190">
      <w:pPr>
        <w:pStyle w:val="Funotentext"/>
      </w:pPr>
      <w:r>
        <w:rPr>
          <w:rStyle w:val="Funotenzeichen"/>
        </w:rPr>
        <w:footnoteRef/>
      </w:r>
      <w:r>
        <w:t xml:space="preserve"> Katja Gelinsky. Keine neuen Verbrenner vom Jahr 2030 an. FAZ, 06.05.2024. </w:t>
      </w:r>
    </w:p>
  </w:footnote>
  <w:footnote w:id="398">
    <w:p w14:paraId="24BD5C1C" w14:textId="74D209F9" w:rsidR="00576E18" w:rsidRDefault="00576E18">
      <w:pPr>
        <w:pStyle w:val="Funotentext"/>
      </w:pPr>
      <w:r>
        <w:rPr>
          <w:rStyle w:val="Funotenzeichen"/>
        </w:rPr>
        <w:footnoteRef/>
      </w:r>
      <w:r>
        <w:t xml:space="preserve"> Klimakläger unterliegen. FAZ, 29.06.2024. </w:t>
      </w:r>
    </w:p>
  </w:footnote>
  <w:footnote w:id="399">
    <w:p w14:paraId="0DD72ACD" w14:textId="77777777" w:rsidR="00D05D5C" w:rsidRDefault="00D05D5C" w:rsidP="00D05D5C">
      <w:pPr>
        <w:pStyle w:val="Funotentext"/>
      </w:pPr>
      <w:r>
        <w:rPr>
          <w:rStyle w:val="Funotenzeichen"/>
        </w:rPr>
        <w:footnoteRef/>
      </w:r>
      <w:r>
        <w:t xml:space="preserve"> Siehe: </w:t>
      </w:r>
      <w:hyperlink r:id="rId324" w:history="1">
        <w:r w:rsidRPr="003516DB">
          <w:rPr>
            <w:rStyle w:val="Hyperlink"/>
          </w:rPr>
          <w:t>https://www.germanwatch.org/de/13843</w:t>
        </w:r>
      </w:hyperlink>
      <w:r>
        <w:t xml:space="preserve"> - Zugegriffen: 11.04.2025. </w:t>
      </w:r>
    </w:p>
  </w:footnote>
  <w:footnote w:id="400">
    <w:p w14:paraId="1291BC90" w14:textId="77777777" w:rsidR="00D05D5C" w:rsidRDefault="00D05D5C" w:rsidP="00D05D5C">
      <w:pPr>
        <w:pStyle w:val="Funotentext"/>
      </w:pPr>
      <w:r>
        <w:rPr>
          <w:rStyle w:val="Funotenzeichen"/>
        </w:rPr>
        <w:footnoteRef/>
      </w:r>
      <w:r>
        <w:t xml:space="preserve"> Siehe: </w:t>
      </w:r>
      <w:hyperlink r:id="rId325" w:history="1">
        <w:r w:rsidRPr="00935F25">
          <w:rPr>
            <w:rStyle w:val="Hyperlink"/>
          </w:rPr>
          <w:t>https://www.tagesschau.de/wirtschaft/energie/rwe-klima-klage-peru-landwirt-100.html</w:t>
        </w:r>
      </w:hyperlink>
      <w:r>
        <w:t xml:space="preserve"> - Zugegriffen: 31.05.2025. </w:t>
      </w:r>
    </w:p>
  </w:footnote>
  <w:footnote w:id="401">
    <w:p w14:paraId="7BFB9BBA" w14:textId="77777777" w:rsidR="00D05D5C" w:rsidRDefault="00D05D5C" w:rsidP="00D05D5C">
      <w:pPr>
        <w:pStyle w:val="Funotentext"/>
      </w:pPr>
      <w:r>
        <w:rPr>
          <w:rStyle w:val="Funotenzeichen"/>
        </w:rPr>
        <w:footnoteRef/>
      </w:r>
      <w:r>
        <w:t xml:space="preserve"> Siehe: </w:t>
      </w:r>
      <w:hyperlink r:id="rId326" w:history="1">
        <w:r w:rsidRPr="00935F25">
          <w:rPr>
            <w:rStyle w:val="Hyperlink"/>
          </w:rPr>
          <w:t>https://www.olg-hamm.nrw.de/behoerde/presse/Pressemitteilungen/14_26_PE_OLG_VT-Lliuya_RWE/index.php</w:t>
        </w:r>
      </w:hyperlink>
      <w:r>
        <w:t xml:space="preserve"> - Zugegriffen: 31.05.2025. </w:t>
      </w:r>
    </w:p>
  </w:footnote>
  <w:footnote w:id="402">
    <w:p w14:paraId="7E923058" w14:textId="77777777" w:rsidR="00D05D5C" w:rsidRDefault="00D05D5C" w:rsidP="00D05D5C">
      <w:pPr>
        <w:pStyle w:val="Funotentext"/>
      </w:pPr>
      <w:r>
        <w:rPr>
          <w:rStyle w:val="Funotenzeichen"/>
        </w:rPr>
        <w:footnoteRef/>
      </w:r>
      <w:r>
        <w:t xml:space="preserve"> Siehe: </w:t>
      </w:r>
      <w:hyperlink r:id="rId327" w:history="1">
        <w:r w:rsidRPr="00935F25">
          <w:rPr>
            <w:rStyle w:val="Hyperlink"/>
          </w:rPr>
          <w:t>https://www.germanwatch.org/de/93093</w:t>
        </w:r>
      </w:hyperlink>
      <w:r>
        <w:t xml:space="preserve"> - Zugegriffen: 31.05.2025. </w:t>
      </w:r>
    </w:p>
  </w:footnote>
  <w:footnote w:id="403">
    <w:p w14:paraId="6BC9AC86" w14:textId="159C0A12" w:rsidR="00D05D5C" w:rsidRDefault="00D05D5C">
      <w:pPr>
        <w:pStyle w:val="Funotentext"/>
      </w:pPr>
      <w:r>
        <w:rPr>
          <w:rStyle w:val="Funotenzeichen"/>
        </w:rPr>
        <w:footnoteRef/>
      </w:r>
      <w:r>
        <w:t xml:space="preserve"> Naturschutz vor Gericht. FAZ, 24.10.2024. </w:t>
      </w:r>
    </w:p>
  </w:footnote>
  <w:footnote w:id="404">
    <w:p w14:paraId="5CC33590" w14:textId="2651BFE7" w:rsidR="00D61A17" w:rsidRDefault="00D61A17">
      <w:pPr>
        <w:pStyle w:val="Funotentext"/>
      </w:pPr>
      <w:r>
        <w:rPr>
          <w:rStyle w:val="Funotenzeichen"/>
        </w:rPr>
        <w:footnoteRef/>
      </w:r>
      <w:r>
        <w:t xml:space="preserve"> Mehr Umweltklagen? Kabinett schafft zusätzliche Klagegründe. FAZ, 23.08.2024. </w:t>
      </w:r>
    </w:p>
  </w:footnote>
  <w:footnote w:id="405">
    <w:p w14:paraId="4166B91A" w14:textId="53F052CC" w:rsidR="00222921" w:rsidRDefault="00222921">
      <w:pPr>
        <w:pStyle w:val="Funotentext"/>
      </w:pPr>
      <w:r>
        <w:rPr>
          <w:rStyle w:val="Funotenzeichen"/>
        </w:rPr>
        <w:footnoteRef/>
      </w:r>
      <w:r>
        <w:t xml:space="preserve"> Siehe: </w:t>
      </w:r>
      <w:hyperlink r:id="rId328" w:history="1">
        <w:r w:rsidRPr="00222921">
          <w:rPr>
            <w:rStyle w:val="Hyperlink"/>
          </w:rPr>
          <w:t>https://www.echr.coe.int</w:t>
        </w:r>
      </w:hyperlink>
    </w:p>
  </w:footnote>
  <w:footnote w:id="406">
    <w:p w14:paraId="1AFDC701" w14:textId="0804D6E3" w:rsidR="00252720" w:rsidRPr="00252720" w:rsidRDefault="00252720">
      <w:pPr>
        <w:pStyle w:val="Funotentext"/>
      </w:pPr>
      <w:r>
        <w:rPr>
          <w:rStyle w:val="Funotenzeichen"/>
        </w:rPr>
        <w:footnoteRef/>
      </w:r>
      <w:r w:rsidRPr="00252720">
        <w:t xml:space="preserve"> Siehe</w:t>
      </w:r>
      <w:r>
        <w:t xml:space="preserve"> die NDCs der Schweiz</w:t>
      </w:r>
      <w:r w:rsidRPr="00252720">
        <w:t xml:space="preserve">: </w:t>
      </w:r>
      <w:hyperlink r:id="rId329" w:history="1">
        <w:r w:rsidRPr="00A0302A">
          <w:rPr>
            <w:rStyle w:val="Hyperlink"/>
          </w:rPr>
          <w:t>https://unfccc.int/sites/default/files/NDC/2022-11/Swiss%20NDC%202021-2030%20incl%20ICTU_0.pdf</w:t>
        </w:r>
      </w:hyperlink>
      <w:r>
        <w:t xml:space="preserve"> – Zugegriffen: 19.07.2024.</w:t>
      </w:r>
    </w:p>
  </w:footnote>
  <w:footnote w:id="407">
    <w:p w14:paraId="35E024CD" w14:textId="0E70797A" w:rsidR="00374563" w:rsidRPr="00911D9E" w:rsidRDefault="00374563">
      <w:pPr>
        <w:pStyle w:val="Funotentext"/>
      </w:pPr>
      <w:r>
        <w:rPr>
          <w:rStyle w:val="Funotenzeichen"/>
        </w:rPr>
        <w:footnoteRef/>
      </w:r>
      <w:r w:rsidRPr="00252720">
        <w:t xml:space="preserve"> </w:t>
      </w:r>
      <w:r w:rsidR="00252720">
        <w:t xml:space="preserve">In diesem Fall wird sogar die Rechtsprechung der </w:t>
      </w:r>
      <w:proofErr w:type="spellStart"/>
      <w:r w:rsidR="00252720">
        <w:t>schweizer</w:t>
      </w:r>
      <w:proofErr w:type="spellEnd"/>
      <w:r w:rsidR="00252720">
        <w:t xml:space="preserve"> Gerichte direkt kritisiert. Die Kritik der Kläger wurde von allen Institutionen in der Schweiz immer wieder mit kurzen und knappen Argumenten abgelehnt oder gar nicht gehört. </w:t>
      </w:r>
      <w:r w:rsidRPr="002F21F1">
        <w:rPr>
          <w:lang w:val="en-US"/>
        </w:rPr>
        <w:t xml:space="preserve">Case of Verein </w:t>
      </w:r>
      <w:proofErr w:type="spellStart"/>
      <w:r w:rsidRPr="002F21F1">
        <w:rPr>
          <w:lang w:val="en-US"/>
        </w:rPr>
        <w:t>Klimaseniorinnen</w:t>
      </w:r>
      <w:proofErr w:type="spellEnd"/>
      <w:r w:rsidRPr="002F21F1">
        <w:rPr>
          <w:lang w:val="en-US"/>
        </w:rPr>
        <w:t xml:space="preserve"> Schweiz and Others v. Switzerland, Application no. 53600/20, Judgment, 09.04.2024. </w:t>
      </w:r>
      <w:r w:rsidRPr="00911D9E">
        <w:t xml:space="preserve">Siehe: </w:t>
      </w:r>
      <w:hyperlink r:id="rId330" w:history="1">
        <w:r w:rsidRPr="00911D9E">
          <w:rPr>
            <w:rStyle w:val="Hyperlink"/>
          </w:rPr>
          <w:t>https://hudoc.echr.coe.int/eng?i=001-233206</w:t>
        </w:r>
      </w:hyperlink>
      <w:r w:rsidRPr="00911D9E">
        <w:t xml:space="preserve"> – Zugegriffen: 17.07.2024. </w:t>
      </w:r>
    </w:p>
  </w:footnote>
  <w:footnote w:id="408">
    <w:p w14:paraId="3D304AB5" w14:textId="77777777" w:rsidR="00775E1E" w:rsidRDefault="00775E1E" w:rsidP="00775E1E">
      <w:pPr>
        <w:pStyle w:val="Funotentext"/>
      </w:pPr>
      <w:r>
        <w:rPr>
          <w:rStyle w:val="Funotenzeichen"/>
        </w:rPr>
        <w:footnoteRef/>
      </w:r>
      <w:r>
        <w:t xml:space="preserve"> Siehe die Webseite: </w:t>
      </w:r>
      <w:hyperlink r:id="rId331" w:history="1">
        <w:r w:rsidRPr="00464CE2">
          <w:rPr>
            <w:rStyle w:val="Hyperlink"/>
          </w:rPr>
          <w:t>https://www.klik.ch/en</w:t>
        </w:r>
      </w:hyperlink>
      <w:r>
        <w:t xml:space="preserve"> </w:t>
      </w:r>
    </w:p>
  </w:footnote>
  <w:footnote w:id="409">
    <w:p w14:paraId="00AECABE" w14:textId="77777777" w:rsidR="00775E1E" w:rsidRDefault="00775E1E" w:rsidP="00775E1E">
      <w:pPr>
        <w:pStyle w:val="Funotentext"/>
      </w:pPr>
      <w:r>
        <w:rPr>
          <w:rStyle w:val="Funotenzeichen"/>
        </w:rPr>
        <w:footnoteRef/>
      </w:r>
      <w:r>
        <w:t xml:space="preserve"> Hoch et al. 2023: 13-15.</w:t>
      </w:r>
    </w:p>
  </w:footnote>
  <w:footnote w:id="410">
    <w:p w14:paraId="6664094F" w14:textId="77777777" w:rsidR="00E85AAF" w:rsidRDefault="00E85AAF" w:rsidP="00E85AAF">
      <w:pPr>
        <w:pStyle w:val="Funotentext"/>
      </w:pPr>
      <w:r>
        <w:rPr>
          <w:rStyle w:val="Funotenzeichen"/>
        </w:rPr>
        <w:footnoteRef/>
      </w:r>
      <w:r>
        <w:t xml:space="preserve"> Siehe: </w:t>
      </w:r>
      <w:hyperlink r:id="rId332" w:history="1">
        <w:r w:rsidRPr="00136E16">
          <w:rPr>
            <w:rStyle w:val="Hyperlink"/>
          </w:rPr>
          <w:t>https://de.wikipedia.org/wiki/Milieudefensie_u.a._gegen_Royal_Dutch_Shell</w:t>
        </w:r>
      </w:hyperlink>
      <w:r>
        <w:t xml:space="preserve"> - Zugegriffen: 12.10.2024.</w:t>
      </w:r>
    </w:p>
  </w:footnote>
  <w:footnote w:id="411">
    <w:p w14:paraId="4A1E874F" w14:textId="67AA9B61" w:rsidR="001872B0" w:rsidRPr="001872B0" w:rsidRDefault="001872B0">
      <w:pPr>
        <w:pStyle w:val="Funotentext"/>
      </w:pPr>
      <w:r>
        <w:rPr>
          <w:rStyle w:val="Funotenzeichen"/>
        </w:rPr>
        <w:footnoteRef/>
      </w:r>
      <w:r w:rsidRPr="00E7185A">
        <w:t xml:space="preserve"> Klaus Max Smolka. </w:t>
      </w:r>
      <w:r w:rsidRPr="001872B0">
        <w:t>Shell si</w:t>
      </w:r>
      <w:r>
        <w:t xml:space="preserve">egt beim Klimaschutzprozess in Den Haag. FAZ.net, 12.11.2024. </w:t>
      </w:r>
    </w:p>
  </w:footnote>
  <w:footnote w:id="412">
    <w:p w14:paraId="37260620" w14:textId="07E8BE85" w:rsidR="005546FE" w:rsidRDefault="005546FE">
      <w:pPr>
        <w:pStyle w:val="Funotentext"/>
      </w:pPr>
      <w:r>
        <w:rPr>
          <w:rStyle w:val="Funotenzeichen"/>
        </w:rPr>
        <w:footnoteRef/>
      </w:r>
      <w:r>
        <w:t xml:space="preserve"> Siehe: </w:t>
      </w:r>
      <w:hyperlink r:id="rId333" w:history="1">
        <w:r w:rsidRPr="005546FE">
          <w:rPr>
            <w:rStyle w:val="Hyperlink"/>
          </w:rPr>
          <w:t>https://www.pisfcc.org/</w:t>
        </w:r>
      </w:hyperlink>
    </w:p>
  </w:footnote>
  <w:footnote w:id="413">
    <w:p w14:paraId="43EFAF61" w14:textId="0F816030" w:rsidR="005546FE" w:rsidRDefault="005546FE">
      <w:pPr>
        <w:pStyle w:val="Funotentext"/>
      </w:pPr>
      <w:r>
        <w:rPr>
          <w:rStyle w:val="Funotenzeichen"/>
        </w:rPr>
        <w:footnoteRef/>
      </w:r>
      <w:r>
        <w:t xml:space="preserve"> Siehe: </w:t>
      </w:r>
      <w:hyperlink r:id="rId334" w:history="1">
        <w:r w:rsidRPr="00C5110F">
          <w:rPr>
            <w:rStyle w:val="Hyperlink"/>
          </w:rPr>
          <w:t>https://www.tagesschau.de/ausland/europa/igh-gutachten-klima-analyse-100.html</w:t>
        </w:r>
      </w:hyperlink>
      <w:r>
        <w:t xml:space="preserve"> - Zugegriffen: 25.07.2025. </w:t>
      </w:r>
    </w:p>
  </w:footnote>
  <w:footnote w:id="414">
    <w:p w14:paraId="10DB4790" w14:textId="4AD5D229" w:rsidR="00551B7C" w:rsidRDefault="00551B7C">
      <w:pPr>
        <w:pStyle w:val="Funotentext"/>
      </w:pPr>
      <w:r>
        <w:rPr>
          <w:rStyle w:val="Funotenzeichen"/>
        </w:rPr>
        <w:footnoteRef/>
      </w:r>
      <w:r>
        <w:t xml:space="preserve"> Siehe: </w:t>
      </w:r>
      <w:hyperlink r:id="rId335" w:history="1">
        <w:r w:rsidRPr="003300E1">
          <w:rPr>
            <w:rStyle w:val="Hyperlink"/>
          </w:rPr>
          <w:t>https://www.dw.com/de/berichte-aus-98-staaten-vor-dem-igh-verpflichtet-das-v%C3%B6lkerrecht-gegen-klimawandel-vorzugehen/a-70940989</w:t>
        </w:r>
      </w:hyperlink>
      <w:r>
        <w:t xml:space="preserve"> - Zugegriffen: 01.12.2024. </w:t>
      </w:r>
      <w:r w:rsidR="00371138">
        <w:t xml:space="preserve"> </w:t>
      </w:r>
    </w:p>
  </w:footnote>
  <w:footnote w:id="415">
    <w:p w14:paraId="7FC7F843" w14:textId="3D8CDB72" w:rsidR="00504BC7" w:rsidRDefault="00504BC7">
      <w:pPr>
        <w:pStyle w:val="Funotentext"/>
      </w:pPr>
      <w:r>
        <w:rPr>
          <w:rStyle w:val="Funotenzeichen"/>
        </w:rPr>
        <w:footnoteRef/>
      </w:r>
      <w:r>
        <w:t xml:space="preserve"> Siehe hier die Pressemitteilung: </w:t>
      </w:r>
      <w:hyperlink r:id="rId336" w:history="1">
        <w:r w:rsidRPr="00C5110F">
          <w:rPr>
            <w:rStyle w:val="Hyperlink"/>
          </w:rPr>
          <w:t>https://www.icj-cij.org/sites/default/files/case-related/187/187-20250723-pre-01-00-en.pdf</w:t>
        </w:r>
      </w:hyperlink>
      <w:r>
        <w:t xml:space="preserve"> - und hier das</w:t>
      </w:r>
      <w:r w:rsidR="005546FE">
        <w:t xml:space="preserve"> gesamte</w:t>
      </w:r>
      <w:r>
        <w:t xml:space="preserve"> Gutachten: </w:t>
      </w:r>
      <w:hyperlink r:id="rId337" w:history="1">
        <w:r w:rsidRPr="00C5110F">
          <w:rPr>
            <w:rStyle w:val="Hyperlink"/>
          </w:rPr>
          <w:t>https://www.icj-cij.org/sites/default/files/case-related/187/187-20250723-adv-01-00-en.pdf</w:t>
        </w:r>
      </w:hyperlink>
      <w:r>
        <w:t xml:space="preserve"> - Zugegriffen: 25.07.2025.</w:t>
      </w:r>
    </w:p>
  </w:footnote>
  <w:footnote w:id="416">
    <w:p w14:paraId="123E7EE3" w14:textId="77777777" w:rsidR="00112190" w:rsidRDefault="00112190" w:rsidP="00112190">
      <w:pPr>
        <w:pStyle w:val="Funotentext"/>
      </w:pPr>
      <w:r>
        <w:rPr>
          <w:rStyle w:val="Funotenzeichen"/>
        </w:rPr>
        <w:footnoteRef/>
      </w:r>
      <w:r w:rsidRPr="00374563">
        <w:t xml:space="preserve"> Meiken von Levetzow. </w:t>
      </w:r>
      <w:r>
        <w:t xml:space="preserve">Droht der fossilen Industrie bald die Anklagebank? Zu den zivilrechtlichen Klimaklagen kommen nun auch noch Vorwürfe strafrechtlicher Verantwortung. FAZ, 22.05.2024. </w:t>
      </w:r>
    </w:p>
  </w:footnote>
  <w:footnote w:id="417">
    <w:p w14:paraId="06F48DCF" w14:textId="05EFE8EA" w:rsidR="00E67C3C" w:rsidRDefault="00E67C3C">
      <w:pPr>
        <w:pStyle w:val="Funotentext"/>
      </w:pPr>
      <w:r>
        <w:rPr>
          <w:rStyle w:val="Funotenzeichen"/>
        </w:rPr>
        <w:footnoteRef/>
      </w:r>
      <w:r>
        <w:t xml:space="preserve"> Katja Gelinsky. Hat die Natur eigene Rechte? FAZ, 20.08.2024. </w:t>
      </w:r>
    </w:p>
  </w:footnote>
  <w:footnote w:id="418">
    <w:p w14:paraId="20051636" w14:textId="57A3396B" w:rsidR="00B90BC9" w:rsidRDefault="00B90BC9">
      <w:pPr>
        <w:pStyle w:val="Funotentext"/>
      </w:pPr>
      <w:r>
        <w:rPr>
          <w:rStyle w:val="Funotenzeichen"/>
        </w:rPr>
        <w:footnoteRef/>
      </w:r>
      <w:r>
        <w:t xml:space="preserve"> Katja Gelinsky. Die Natur braucht keine Rechte. FAZ, 27.08.2024.</w:t>
      </w:r>
    </w:p>
  </w:footnote>
  <w:footnote w:id="419">
    <w:p w14:paraId="588DD54F" w14:textId="3EE3BFBF" w:rsidR="009D57AD" w:rsidRDefault="009D57AD">
      <w:pPr>
        <w:pStyle w:val="Funotentext"/>
      </w:pPr>
      <w:r>
        <w:rPr>
          <w:rStyle w:val="Funotenzeichen"/>
        </w:rPr>
        <w:footnoteRef/>
      </w:r>
      <w:r>
        <w:t xml:space="preserve"> Katja Gelinsky. Wie das Wirtschaftsrecht dem Klima dienen soll. FAZ, 27.09.2024.</w:t>
      </w:r>
    </w:p>
  </w:footnote>
  <w:footnote w:id="420">
    <w:p w14:paraId="0E599A0C" w14:textId="3B32ADEA" w:rsidR="00E21ED5" w:rsidRDefault="00E21ED5">
      <w:pPr>
        <w:pStyle w:val="Funotentext"/>
      </w:pPr>
      <w:r>
        <w:rPr>
          <w:rStyle w:val="Funotenzeichen"/>
        </w:rPr>
        <w:footnoteRef/>
      </w:r>
      <w:r>
        <w:t xml:space="preserve"> Siehe: </w:t>
      </w:r>
      <w:hyperlink r:id="rId338" w:history="1">
        <w:r w:rsidRPr="00E93A6A">
          <w:rPr>
            <w:rStyle w:val="Hyperlink"/>
          </w:rPr>
          <w:t>https://www.ipr.uni-heidelberg.de/md/jura/ipr/personen/weller/weller_klimatransformation_gesr_djt_empfehlungen_njw_2024.pdf</w:t>
        </w:r>
      </w:hyperlink>
      <w:r>
        <w:t xml:space="preserve"> - Zugegriffen: 03.10.2024.</w:t>
      </w:r>
    </w:p>
  </w:footnote>
  <w:footnote w:id="421">
    <w:p w14:paraId="63C744C7" w14:textId="109FC2C2" w:rsidR="009D57AD" w:rsidRDefault="009D57AD">
      <w:pPr>
        <w:pStyle w:val="Funotentext"/>
      </w:pPr>
      <w:r>
        <w:rPr>
          <w:rStyle w:val="Funotenzeichen"/>
        </w:rPr>
        <w:footnoteRef/>
      </w:r>
      <w:r>
        <w:t xml:space="preserve"> Siehe: </w:t>
      </w:r>
      <w:hyperlink r:id="rId339" w:history="1">
        <w:r w:rsidRPr="00E93A6A">
          <w:rPr>
            <w:rStyle w:val="Hyperlink"/>
          </w:rPr>
          <w:t>https://www.ipr.uni-heidelberg.de/personen/weller/</w:t>
        </w:r>
      </w:hyperlink>
      <w:r>
        <w:t xml:space="preserve"> - Zugegriffen: 03.10.2024. </w:t>
      </w:r>
    </w:p>
  </w:footnote>
  <w:footnote w:id="422">
    <w:p w14:paraId="34E027C4" w14:textId="77777777" w:rsidR="00FF55C3" w:rsidRDefault="00FF55C3" w:rsidP="00FF55C3">
      <w:pPr>
        <w:pStyle w:val="Funotentext"/>
      </w:pPr>
      <w:r>
        <w:rPr>
          <w:rStyle w:val="Funotenzeichen"/>
        </w:rPr>
        <w:footnoteRef/>
      </w:r>
      <w:r>
        <w:t xml:space="preserve"> Siehe: </w:t>
      </w:r>
      <w:hyperlink r:id="rId340" w:history="1">
        <w:r w:rsidRPr="00E93A6A">
          <w:rPr>
            <w:rStyle w:val="Hyperlink"/>
          </w:rPr>
          <w:t>https://www.ipr.uni-heidelberg.de/md/jura/ipr/personen/weller/weller_klimatransformation_gesr_djt_empfehlungen_njw_2024.pdf</w:t>
        </w:r>
      </w:hyperlink>
      <w:r>
        <w:t xml:space="preserve"> - Zugegriffen: 03.10.2024.</w:t>
      </w:r>
    </w:p>
  </w:footnote>
  <w:footnote w:id="423">
    <w:p w14:paraId="6F33C60E" w14:textId="77777777" w:rsidR="00FF55C3" w:rsidRDefault="00FF55C3" w:rsidP="00FF55C3">
      <w:pPr>
        <w:pStyle w:val="Funotentext"/>
      </w:pPr>
      <w:r>
        <w:rPr>
          <w:rStyle w:val="Funotenzeichen"/>
        </w:rPr>
        <w:footnoteRef/>
      </w:r>
      <w:r>
        <w:t xml:space="preserve"> Katja Gelinsky. Wie das Wirtschaftsrecht dem Klima dienen soll. FAZ, 27.09.2024.</w:t>
      </w:r>
    </w:p>
  </w:footnote>
  <w:footnote w:id="424">
    <w:p w14:paraId="5C69D9BB" w14:textId="77777777" w:rsidR="00FF55C3" w:rsidRDefault="00FF55C3" w:rsidP="00FF55C3">
      <w:pPr>
        <w:pStyle w:val="Funotentext"/>
      </w:pPr>
      <w:r>
        <w:rPr>
          <w:rStyle w:val="Funotenzeichen"/>
        </w:rPr>
        <w:footnoteRef/>
      </w:r>
      <w:r>
        <w:t xml:space="preserve"> Katja Gelinsky. Wie das Wirtschaftsrecht dem Klima dienen soll. FAZ, 27.09.2024.</w:t>
      </w:r>
    </w:p>
  </w:footnote>
  <w:footnote w:id="425">
    <w:p w14:paraId="7745B664" w14:textId="33187919" w:rsidR="00FF55C3" w:rsidRDefault="00FF55C3" w:rsidP="00FF55C3">
      <w:pPr>
        <w:pStyle w:val="Funotentext"/>
      </w:pPr>
      <w:r>
        <w:rPr>
          <w:rStyle w:val="Funotenzeichen"/>
        </w:rPr>
        <w:footnoteRef/>
      </w:r>
      <w:r>
        <w:t xml:space="preserve"> Siehe S. 62 in seinem Artikel: </w:t>
      </w:r>
      <w:hyperlink r:id="rId341" w:history="1">
        <w:r w:rsidRPr="00E93A6A">
          <w:rPr>
            <w:rStyle w:val="Hyperlink"/>
          </w:rPr>
          <w:t>https://www.ipr.uni-heidelberg.de/md/jura/ipr/personen/weller/weller_klimatransformation_gesr_djt_empfehlungen_njw_2024.pdf</w:t>
        </w:r>
      </w:hyperlink>
      <w:r>
        <w:t xml:space="preserve"> - Zugegriffen: 03.10.2024.</w:t>
      </w:r>
    </w:p>
  </w:footnote>
  <w:footnote w:id="426">
    <w:p w14:paraId="493B0492" w14:textId="0628AC76" w:rsidR="003957AB" w:rsidRDefault="003957AB">
      <w:pPr>
        <w:pStyle w:val="Funotentext"/>
      </w:pPr>
      <w:r>
        <w:rPr>
          <w:rStyle w:val="Funotenzeichen"/>
        </w:rPr>
        <w:footnoteRef/>
      </w:r>
      <w:r>
        <w:t xml:space="preserve"> Marco Buschmann. Klimaneutralität bis 2045: Sie wissen nicht, was sie tun. FAZ, 30.03.2025. </w:t>
      </w:r>
    </w:p>
  </w:footnote>
  <w:footnote w:id="427">
    <w:p w14:paraId="2AF454FA" w14:textId="4EF3A71A" w:rsidR="00AC724C" w:rsidRDefault="00AC724C">
      <w:pPr>
        <w:pStyle w:val="Funotentext"/>
      </w:pPr>
      <w:r>
        <w:rPr>
          <w:rStyle w:val="Funotenzeichen"/>
        </w:rPr>
        <w:footnoteRef/>
      </w:r>
      <w:r>
        <w:t xml:space="preserve"> Marcus Jung. Exxon Mobile verklagt Niederlande auf Schadenersatz wegen Groningen. FAZ, 14.10.2024.</w:t>
      </w:r>
    </w:p>
  </w:footnote>
  <w:footnote w:id="428">
    <w:p w14:paraId="01D0BB5B" w14:textId="26E8C341" w:rsidR="003D21AF" w:rsidRDefault="003D21AF">
      <w:pPr>
        <w:pStyle w:val="Funotentext"/>
      </w:pPr>
      <w:r>
        <w:rPr>
          <w:rStyle w:val="Funotenzeichen"/>
        </w:rPr>
        <w:footnoteRef/>
      </w:r>
      <w:r>
        <w:t xml:space="preserve"> Siehe die Arbeit von Pia Eberhard und des Corporate Europe Observatory: </w:t>
      </w:r>
      <w:hyperlink r:id="rId342" w:history="1">
        <w:r w:rsidRPr="00DC0190">
          <w:rPr>
            <w:rStyle w:val="Hyperlink"/>
          </w:rPr>
          <w:t>https://corporateeurope.org/en</w:t>
        </w:r>
      </w:hyperlink>
    </w:p>
  </w:footnote>
  <w:footnote w:id="429">
    <w:p w14:paraId="09D64AC6" w14:textId="7FB5E02D" w:rsidR="00FA1EE8" w:rsidRDefault="00FA1EE8">
      <w:pPr>
        <w:pStyle w:val="Funotentext"/>
      </w:pPr>
      <w:r>
        <w:rPr>
          <w:rStyle w:val="Funotenzeichen"/>
        </w:rPr>
        <w:footnoteRef/>
      </w:r>
      <w:r>
        <w:t xml:space="preserve"> </w:t>
      </w:r>
      <w:r w:rsidRPr="00FA1EE8">
        <w:t xml:space="preserve">DENA </w:t>
      </w:r>
      <w:proofErr w:type="spellStart"/>
      <w:r w:rsidRPr="00FA1EE8">
        <w:t>StiPE</w:t>
      </w:r>
      <w:proofErr w:type="spellEnd"/>
      <w:r w:rsidRPr="00FA1EE8">
        <w:t xml:space="preserve"> Berich</w:t>
      </w:r>
      <w:r w:rsidR="000D2AA3">
        <w:t>t</w:t>
      </w:r>
      <w:r w:rsidRPr="00FA1EE8">
        <w:t xml:space="preserve"> 2022: Dena. Entwurf einer industriepolitischen Strategie für erneuerbare Energien und Stromnetze, Stand: 12/2022. Siehe: </w:t>
      </w:r>
      <w:hyperlink r:id="rId343" w:history="1">
        <w:r w:rsidRPr="00E2084F">
          <w:rPr>
            <w:rStyle w:val="Hyperlink"/>
          </w:rPr>
          <w:t>https://www.bmwk.de/Redaktion/DE/Publikationen/Energie/stakeholderdialog-industrielle-produktionskapazitaten-fur-die-energiewende.html</w:t>
        </w:r>
      </w:hyperlink>
      <w:r>
        <w:t xml:space="preserve"> </w:t>
      </w:r>
      <w:r w:rsidRPr="00FA1EE8">
        <w:t xml:space="preserve">- Zugegriffen: 02.06.2025.  </w:t>
      </w:r>
    </w:p>
  </w:footnote>
  <w:footnote w:id="430">
    <w:p w14:paraId="167EAD87" w14:textId="53538464" w:rsidR="00DD3E8F" w:rsidRDefault="00DD3E8F">
      <w:pPr>
        <w:pStyle w:val="Funotentext"/>
      </w:pPr>
      <w:r>
        <w:rPr>
          <w:rStyle w:val="Funotenzeichen"/>
        </w:rPr>
        <w:footnoteRef/>
      </w:r>
      <w:r>
        <w:t xml:space="preserve"> </w:t>
      </w:r>
      <w:r w:rsidRPr="00DD3E8F">
        <w:t xml:space="preserve">BMWK. Industriepolitik in der Zeitenwende, Oktober 2023. URL: </w:t>
      </w:r>
      <w:hyperlink r:id="rId344" w:history="1">
        <w:r w:rsidRPr="00E2084F">
          <w:rPr>
            <w:rStyle w:val="Hyperlink"/>
          </w:rPr>
          <w:t>https://www.bmwk.de/Redaktion/DE/Publikationen/Industrie/industriepolitik-in-der-zeitenwende.html</w:t>
        </w:r>
      </w:hyperlink>
      <w:r>
        <w:t xml:space="preserve"> </w:t>
      </w:r>
      <w:r w:rsidRPr="00DD3E8F">
        <w:t>- Zugegriffen: 02.06.2025.</w:t>
      </w:r>
    </w:p>
  </w:footnote>
  <w:footnote w:id="431">
    <w:p w14:paraId="2F214A8B" w14:textId="21473173" w:rsidR="00DD3E8F" w:rsidRDefault="00DD3E8F">
      <w:pPr>
        <w:pStyle w:val="Funotentext"/>
      </w:pPr>
      <w:r>
        <w:rPr>
          <w:rStyle w:val="Funotenzeichen"/>
        </w:rPr>
        <w:footnoteRef/>
      </w:r>
      <w:r>
        <w:t xml:space="preserve"> </w:t>
      </w:r>
      <w:r w:rsidRPr="00DD3E8F">
        <w:t xml:space="preserve">BMWK Roadmap Systemstabilität, November 2023. URL: </w:t>
      </w:r>
      <w:hyperlink r:id="rId345" w:history="1">
        <w:r w:rsidRPr="00E2084F">
          <w:rPr>
            <w:rStyle w:val="Hyperlink"/>
          </w:rPr>
          <w:t>https://www.bmwk.de/Redaktion/DE/Dossier/roadmap-systemstabilitaet.html</w:t>
        </w:r>
      </w:hyperlink>
      <w:r>
        <w:t xml:space="preserve"> </w:t>
      </w:r>
      <w:r w:rsidRPr="00DD3E8F">
        <w:t>- Zugegriffen: 02.06.2025</w:t>
      </w:r>
      <w:r>
        <w:t>.</w:t>
      </w:r>
    </w:p>
  </w:footnote>
  <w:footnote w:id="432">
    <w:p w14:paraId="778EAEE3" w14:textId="1292F737" w:rsidR="00091B9F" w:rsidRDefault="00091B9F">
      <w:pPr>
        <w:pStyle w:val="Funotentext"/>
      </w:pPr>
      <w:r>
        <w:rPr>
          <w:rStyle w:val="Funotenzeichen"/>
        </w:rPr>
        <w:footnoteRef/>
      </w:r>
      <w:r>
        <w:t xml:space="preserve"> </w:t>
      </w:r>
      <w:proofErr w:type="gramStart"/>
      <w:r w:rsidRPr="00091B9F">
        <w:t>BMWK Leitmärkte</w:t>
      </w:r>
      <w:proofErr w:type="gramEnd"/>
      <w:r w:rsidRPr="00091B9F">
        <w:t xml:space="preserve"> für klimafreundliche Grundstoffe 2024: </w:t>
      </w:r>
      <w:proofErr w:type="gramStart"/>
      <w:r w:rsidRPr="00091B9F">
        <w:t>BMWK Leitmärkte</w:t>
      </w:r>
      <w:proofErr w:type="gramEnd"/>
      <w:r w:rsidRPr="00091B9F">
        <w:t xml:space="preserve"> für klimafreundliche Rohstoffe, BMWK Mai 2024, siehe: </w:t>
      </w:r>
      <w:hyperlink r:id="rId346" w:history="1">
        <w:r w:rsidRPr="00E2084F">
          <w:rPr>
            <w:rStyle w:val="Hyperlink"/>
          </w:rPr>
          <w:t>https://www.bmwk.de/Redaktion/DE/Publikationen/Klimaschutz/leitmaerkte-fuer-klimafreundliche-grundstoffe.html</w:t>
        </w:r>
      </w:hyperlink>
      <w:r>
        <w:t xml:space="preserve"> </w:t>
      </w:r>
      <w:r w:rsidRPr="00091B9F">
        <w:t>- Zugegriffen: 30.04.2025.</w:t>
      </w:r>
    </w:p>
  </w:footnote>
  <w:footnote w:id="433">
    <w:p w14:paraId="45A8CAD7" w14:textId="3DD8F25E" w:rsidR="00091B9F" w:rsidRDefault="00091B9F">
      <w:pPr>
        <w:pStyle w:val="Funotentext"/>
      </w:pPr>
      <w:r>
        <w:rPr>
          <w:rStyle w:val="Funotenzeichen"/>
        </w:rPr>
        <w:footnoteRef/>
      </w:r>
      <w:r>
        <w:t xml:space="preserve"> </w:t>
      </w:r>
      <w:proofErr w:type="gramStart"/>
      <w:r w:rsidRPr="00091B9F">
        <w:t>BMWK Strommarktdesign</w:t>
      </w:r>
      <w:proofErr w:type="gramEnd"/>
      <w:r w:rsidRPr="00091B9F">
        <w:t xml:space="preserve"> der Zukunft 2024: </w:t>
      </w:r>
      <w:proofErr w:type="gramStart"/>
      <w:r w:rsidRPr="00091B9F">
        <w:t>BMWK Strommarktdesign</w:t>
      </w:r>
      <w:proofErr w:type="gramEnd"/>
      <w:r w:rsidRPr="00091B9F">
        <w:t xml:space="preserve"> der Zukunft, August 2024. Siehe: </w:t>
      </w:r>
      <w:hyperlink r:id="rId347" w:history="1">
        <w:r w:rsidRPr="00E2084F">
          <w:rPr>
            <w:rStyle w:val="Hyperlink"/>
          </w:rPr>
          <w:t>https://www.bmwk.de/Redaktion/DE/Publikationen/Energie/20240801-strommarktdesign-der-zukunft.pdf?__blob=publicationFile&amp;v=10</w:t>
        </w:r>
      </w:hyperlink>
      <w:r>
        <w:t xml:space="preserve"> </w:t>
      </w:r>
      <w:r w:rsidRPr="00091B9F">
        <w:t>– Zugegriffen: 17.04.2025.</w:t>
      </w:r>
    </w:p>
  </w:footnote>
  <w:footnote w:id="434">
    <w:p w14:paraId="1B97A597" w14:textId="59D4173A" w:rsidR="00003FFF" w:rsidRDefault="00003FFF">
      <w:pPr>
        <w:pStyle w:val="Funotentext"/>
      </w:pPr>
      <w:r>
        <w:rPr>
          <w:rStyle w:val="Funotenzeichen"/>
        </w:rPr>
        <w:footnoteRef/>
      </w:r>
      <w:r>
        <w:t xml:space="preserve"> Siehe: </w:t>
      </w:r>
      <w:hyperlink r:id="rId348" w:history="1">
        <w:r w:rsidRPr="00935F25">
          <w:rPr>
            <w:rStyle w:val="Hyperlink"/>
          </w:rPr>
          <w:t>https://www.gesetze-im-internet.de/enwg_2005/</w:t>
        </w:r>
      </w:hyperlink>
      <w:r>
        <w:t xml:space="preserve"> </w:t>
      </w:r>
    </w:p>
  </w:footnote>
  <w:footnote w:id="435">
    <w:p w14:paraId="49D95E3E" w14:textId="4B413ED4" w:rsidR="003D151B" w:rsidRDefault="003D151B">
      <w:pPr>
        <w:pStyle w:val="Funotentext"/>
      </w:pPr>
      <w:r>
        <w:rPr>
          <w:rStyle w:val="Funotenzeichen"/>
        </w:rPr>
        <w:footnoteRef/>
      </w:r>
      <w:r>
        <w:t xml:space="preserve"> </w:t>
      </w:r>
      <w:r w:rsidR="00003FFF">
        <w:t xml:space="preserve">Obwohl es, siehe EnWG, § 12a, erst ab 2027, alle 4 Jahre, immer am 30. September, so erfolgen muss. </w:t>
      </w:r>
      <w:r>
        <w:t xml:space="preserve">Siehe: </w:t>
      </w:r>
      <w:hyperlink r:id="rId349" w:history="1">
        <w:r w:rsidRPr="00935F25">
          <w:rPr>
            <w:rStyle w:val="Hyperlink"/>
          </w:rPr>
          <w:t>https://www.bmwk.de/Redaktion/DE/Dossier/ses.html</w:t>
        </w:r>
      </w:hyperlink>
      <w:r>
        <w:t xml:space="preserve"> - Zugegriffen: 31.05.2025. </w:t>
      </w:r>
    </w:p>
  </w:footnote>
  <w:footnote w:id="436">
    <w:p w14:paraId="58850329" w14:textId="76AB460A" w:rsidR="003D151B" w:rsidRDefault="003D151B">
      <w:pPr>
        <w:pStyle w:val="Funotentext"/>
      </w:pPr>
      <w:r>
        <w:rPr>
          <w:rStyle w:val="Funotenzeichen"/>
        </w:rPr>
        <w:footnoteRef/>
      </w:r>
      <w:r>
        <w:t xml:space="preserve"> Siehe: </w:t>
      </w:r>
      <w:hyperlink r:id="rId350" w:history="1">
        <w:r w:rsidRPr="00935F25">
          <w:rPr>
            <w:rStyle w:val="Hyperlink"/>
          </w:rPr>
          <w:t>https://www.bundesnetzagentur.de/DE/Fachthemen/ElektrizitaetundGas/NEP/start.html</w:t>
        </w:r>
      </w:hyperlink>
      <w:r>
        <w:t xml:space="preserve"> - Zugegriffen: 31.05.2025. </w:t>
      </w:r>
    </w:p>
  </w:footnote>
  <w:footnote w:id="437">
    <w:p w14:paraId="603AE1A8" w14:textId="58079747" w:rsidR="00E01D77" w:rsidRDefault="00E01D77" w:rsidP="00E01D77">
      <w:pPr>
        <w:pStyle w:val="Funotentext"/>
      </w:pPr>
      <w:r>
        <w:rPr>
          <w:rStyle w:val="Funotenzeichen"/>
        </w:rPr>
        <w:footnoteRef/>
      </w:r>
      <w:r>
        <w:t xml:space="preserve"> </w:t>
      </w:r>
      <w:r w:rsidRPr="004A1F25">
        <w:t xml:space="preserve">Siehe die genaue Beschreibung </w:t>
      </w:r>
      <w:r>
        <w:t>durch die Kölner</w:t>
      </w:r>
      <w:r w:rsidRPr="004A1F25">
        <w:t xml:space="preserve"> Kanzlei Görg, </w:t>
      </w:r>
      <w:r w:rsidR="00522BB5">
        <w:t xml:space="preserve">im Literaturverzeichnis: </w:t>
      </w:r>
      <w:r w:rsidRPr="004A1F25">
        <w:t>von Kirch et al. 2022</w:t>
      </w:r>
      <w:r>
        <w:t>.</w:t>
      </w:r>
    </w:p>
  </w:footnote>
  <w:footnote w:id="438">
    <w:p w14:paraId="4DEFDD58" w14:textId="77777777" w:rsidR="00E01D77" w:rsidRDefault="00E01D77" w:rsidP="00E01D77">
      <w:pPr>
        <w:pStyle w:val="Funotentext"/>
      </w:pPr>
      <w:r>
        <w:rPr>
          <w:rStyle w:val="Funotenzeichen"/>
        </w:rPr>
        <w:footnoteRef/>
      </w:r>
      <w:r>
        <w:t xml:space="preserve"> Kirch et al. 2022: 1-8.</w:t>
      </w:r>
    </w:p>
  </w:footnote>
  <w:footnote w:id="439">
    <w:p w14:paraId="3C89EC0E" w14:textId="77777777" w:rsidR="00066B11" w:rsidRDefault="00066B11" w:rsidP="00066B11">
      <w:pPr>
        <w:pStyle w:val="Funotentext"/>
      </w:pPr>
      <w:r>
        <w:rPr>
          <w:rStyle w:val="Funotenzeichen"/>
        </w:rPr>
        <w:footnoteRef/>
      </w:r>
      <w:r>
        <w:t xml:space="preserve"> Balland 2023: 3. Siehe: </w:t>
      </w:r>
      <w:r w:rsidRPr="008052C8">
        <w:t xml:space="preserve">Balland, Emmanuelle. Bauplanungsrechtliche Grundlage für Freiflächen-Photovoltaik-Anlagen, April 2023. Siehe: </w:t>
      </w:r>
      <w:hyperlink r:id="rId351" w:history="1">
        <w:r w:rsidRPr="00C627DD">
          <w:rPr>
            <w:rStyle w:val="Hyperlink"/>
          </w:rPr>
          <w:t>https://www.wirtschaft.nrw/system/files/media/document/file/kurzleitfaden-bauplanungsrechtliche-grundlagen-fur-freiflachen-photovoltaik-anlagen-nrw.pdf</w:t>
        </w:r>
      </w:hyperlink>
      <w:r>
        <w:t xml:space="preserve"> </w:t>
      </w:r>
      <w:r w:rsidRPr="008052C8">
        <w:t>- Zugegriffen: 17.06.2025.</w:t>
      </w:r>
    </w:p>
  </w:footnote>
  <w:footnote w:id="440">
    <w:p w14:paraId="135D216B" w14:textId="174B12B6" w:rsidR="00066B11" w:rsidRDefault="00066B11">
      <w:pPr>
        <w:pStyle w:val="Funotentext"/>
      </w:pPr>
      <w:r>
        <w:rPr>
          <w:rStyle w:val="Funotenzeichen"/>
        </w:rPr>
        <w:footnoteRef/>
      </w:r>
      <w:r>
        <w:t xml:space="preserve"> Siehe: </w:t>
      </w:r>
      <w:hyperlink r:id="rId352" w:history="1">
        <w:r w:rsidRPr="001B23DF">
          <w:rPr>
            <w:rStyle w:val="Hyperlink"/>
          </w:rPr>
          <w:t>https://www.bundesregierung.de/breg-de/service/archiv-bundesregierung/novelle-eeg-gesetz-2023-2023972</w:t>
        </w:r>
      </w:hyperlink>
      <w:r>
        <w:t xml:space="preserve"> – Zugegriffen: 19.06.2025. </w:t>
      </w:r>
    </w:p>
  </w:footnote>
  <w:footnote w:id="441">
    <w:p w14:paraId="060B67B7" w14:textId="77777777" w:rsidR="00E01D77" w:rsidRDefault="00E01D77" w:rsidP="00E01D77">
      <w:pPr>
        <w:pStyle w:val="Funotentext"/>
      </w:pPr>
      <w:r>
        <w:rPr>
          <w:rStyle w:val="Funotenzeichen"/>
        </w:rPr>
        <w:footnoteRef/>
      </w:r>
      <w:r>
        <w:t xml:space="preserve"> Deutscher Bundestag, Drucksache 20/7502, 28.06.2023, siehe: </w:t>
      </w:r>
      <w:hyperlink r:id="rId353" w:history="1">
        <w:r w:rsidRPr="00DB5ECB">
          <w:rPr>
            <w:rStyle w:val="Hyperlink"/>
          </w:rPr>
          <w:t>https://dserver.bundestag.de/btd/20/075/2007502.pdf</w:t>
        </w:r>
      </w:hyperlink>
      <w:r>
        <w:t xml:space="preserve"> - Zugegriffen: 08.06.2024. </w:t>
      </w:r>
    </w:p>
  </w:footnote>
  <w:footnote w:id="442">
    <w:p w14:paraId="7E969CC9" w14:textId="77777777" w:rsidR="00E01D77" w:rsidRPr="00B33463" w:rsidRDefault="00E01D77" w:rsidP="00E01D77">
      <w:pPr>
        <w:pStyle w:val="Funotentext"/>
      </w:pPr>
      <w:r>
        <w:rPr>
          <w:rStyle w:val="Funotenzeichen"/>
        </w:rPr>
        <w:footnoteRef/>
      </w:r>
      <w:r w:rsidRPr="00BB76AC">
        <w:t xml:space="preserve"> Hanna Decker, Niklas Zaboji. </w:t>
      </w:r>
      <w:r w:rsidRPr="00B33463">
        <w:t>Kabine</w:t>
      </w:r>
      <w:r>
        <w:t xml:space="preserve">tt treibt Ausbau von Wasserstoff-Projekten voran. FAZ, 31.05.2024. </w:t>
      </w:r>
    </w:p>
  </w:footnote>
  <w:footnote w:id="443">
    <w:p w14:paraId="7309CBE5" w14:textId="77777777" w:rsidR="00E01D77" w:rsidRDefault="00E01D77" w:rsidP="00E01D77">
      <w:pPr>
        <w:pStyle w:val="Funotentext"/>
      </w:pPr>
      <w:r>
        <w:rPr>
          <w:rStyle w:val="Funotenzeichen"/>
        </w:rPr>
        <w:footnoteRef/>
      </w:r>
      <w:r>
        <w:t xml:space="preserve"> Siehe: </w:t>
      </w:r>
      <w:hyperlink r:id="rId354" w:history="1">
        <w:r w:rsidRPr="00EC1018">
          <w:rPr>
            <w:rStyle w:val="Hyperlink"/>
          </w:rPr>
          <w:t>https://www.bundesregierung.de/breg-de/schwerpunkte/klimaschutz/planungs-und-genehmigungsbeschleunigung/pakt-fuer-beschleunigung-2246290</w:t>
        </w:r>
      </w:hyperlink>
      <w:r>
        <w:t xml:space="preserve"> - Zugegriffen: 11.06.2024.</w:t>
      </w:r>
    </w:p>
  </w:footnote>
  <w:footnote w:id="444">
    <w:p w14:paraId="59DFFA37" w14:textId="77777777" w:rsidR="00E01D77" w:rsidRDefault="00E01D77" w:rsidP="00E01D77">
      <w:pPr>
        <w:pStyle w:val="Funotentext"/>
      </w:pPr>
      <w:r>
        <w:rPr>
          <w:rStyle w:val="Funotenzeichen"/>
        </w:rPr>
        <w:footnoteRef/>
      </w:r>
      <w:r>
        <w:t xml:space="preserve"> Christian Geinitz. Naturschützer tadeln Öko-Turbo. FAZ, 22.05.2024.</w:t>
      </w:r>
    </w:p>
  </w:footnote>
  <w:footnote w:id="445">
    <w:p w14:paraId="008EEAB9" w14:textId="77777777" w:rsidR="00E01D77" w:rsidRDefault="00E01D77" w:rsidP="00E01D77">
      <w:pPr>
        <w:pStyle w:val="Funotentext"/>
      </w:pPr>
      <w:r>
        <w:rPr>
          <w:rStyle w:val="Funotenzeichen"/>
        </w:rPr>
        <w:footnoteRef/>
      </w:r>
      <w:r>
        <w:t xml:space="preserve"> Tempo für die Geothermie. Habeck strebt Verdopplung der Erdwärmenutzung an. FAZ, 29.06.2024. </w:t>
      </w:r>
    </w:p>
  </w:footnote>
  <w:footnote w:id="446">
    <w:p w14:paraId="05CF6D6A" w14:textId="77777777" w:rsidR="00E01D77" w:rsidRDefault="00E01D77" w:rsidP="00E01D77">
      <w:pPr>
        <w:pStyle w:val="Funotentext"/>
      </w:pPr>
      <w:r>
        <w:rPr>
          <w:rStyle w:val="Funotenzeichen"/>
        </w:rPr>
        <w:footnoteRef/>
      </w:r>
      <w:r>
        <w:t xml:space="preserve"> Hanna Decker. Kein Kohleausstieg ohne Gaseinstieg. FAZ, 11.04.2024. </w:t>
      </w:r>
    </w:p>
  </w:footnote>
  <w:footnote w:id="447">
    <w:p w14:paraId="01A52373" w14:textId="22A93A69" w:rsidR="00E01D77" w:rsidRPr="00BE27F7" w:rsidRDefault="00E01D77" w:rsidP="00E01D77">
      <w:pPr>
        <w:pStyle w:val="Funotentext"/>
      </w:pPr>
      <w:r>
        <w:rPr>
          <w:rStyle w:val="Funotenzeichen"/>
        </w:rPr>
        <w:footnoteRef/>
      </w:r>
      <w:r w:rsidRPr="00BE27F7">
        <w:t xml:space="preserve"> Kirch et al. 2022: 5.</w:t>
      </w:r>
      <w:r w:rsidR="00BA6F1E">
        <w:t xml:space="preserve"> Siehe: </w:t>
      </w:r>
      <w:hyperlink r:id="rId355" w:history="1">
        <w:r w:rsidR="00BA6F1E" w:rsidRPr="00C627DD">
          <w:rPr>
            <w:rStyle w:val="Hyperlink"/>
          </w:rPr>
          <w:t>https://www.bmwsb.bund.de/SharedDocs/gesetzgebungsverfahren/Webs/BMWSB/DE/ExterneLinks/wind-an-land-gesetz.html</w:t>
        </w:r>
      </w:hyperlink>
      <w:r w:rsidR="00BA6F1E">
        <w:t xml:space="preserve"> - Zugegriffen: 17.06.2025. </w:t>
      </w:r>
    </w:p>
  </w:footnote>
  <w:footnote w:id="448">
    <w:p w14:paraId="07CD23A4" w14:textId="77777777" w:rsidR="00202202" w:rsidRDefault="00202202" w:rsidP="00202202">
      <w:pPr>
        <w:pStyle w:val="Funotentext"/>
      </w:pPr>
      <w:r>
        <w:rPr>
          <w:rStyle w:val="Funotenzeichen"/>
        </w:rPr>
        <w:footnoteRef/>
      </w:r>
      <w:r>
        <w:t xml:space="preserve"> U.a. durch nun einheitliche Regelungen beim Vogelschutz und der Festlegung, dass der Bau von Windenergieanlagen im öffentlichen Interesse liegt und der öffentlichen Sicherheit dient. Kirch et al. 2022: 6.</w:t>
      </w:r>
    </w:p>
  </w:footnote>
  <w:footnote w:id="449">
    <w:p w14:paraId="2D5F0EC4" w14:textId="619EDE64" w:rsidR="008052C8" w:rsidRDefault="008052C8">
      <w:pPr>
        <w:pStyle w:val="Funotentext"/>
      </w:pPr>
      <w:r>
        <w:rPr>
          <w:rStyle w:val="Funotenzeichen"/>
        </w:rPr>
        <w:footnoteRef/>
      </w:r>
      <w:r>
        <w:t xml:space="preserve"> Balland 2023: 3. Siehe: </w:t>
      </w:r>
      <w:r w:rsidRPr="008052C8">
        <w:t xml:space="preserve">Balland, Emmanuelle. Bauplanungsrechtliche Grundlage für Freiflächen-Photovoltaik-Anlagen, April 2023. Siehe: </w:t>
      </w:r>
      <w:hyperlink r:id="rId356" w:history="1">
        <w:r w:rsidRPr="00C627DD">
          <w:rPr>
            <w:rStyle w:val="Hyperlink"/>
          </w:rPr>
          <w:t>https://www.wirtschaft.nrw/system/files/media/document/file/kurzleitfaden-bauplanungsrechtliche-grundlagen-fur-freiflachen-photovoltaik-anlagen-nrw.pdf</w:t>
        </w:r>
      </w:hyperlink>
      <w:r>
        <w:t xml:space="preserve"> </w:t>
      </w:r>
      <w:r w:rsidRPr="008052C8">
        <w:t>- Zugegriffen: 17.06.2025.</w:t>
      </w:r>
    </w:p>
  </w:footnote>
  <w:footnote w:id="450">
    <w:p w14:paraId="63DD0D1D" w14:textId="77777777" w:rsidR="00202202" w:rsidRDefault="00202202" w:rsidP="00202202">
      <w:pPr>
        <w:pStyle w:val="Funotentext"/>
      </w:pPr>
      <w:r>
        <w:rPr>
          <w:rStyle w:val="Funotenzeichen"/>
        </w:rPr>
        <w:footnoteRef/>
      </w:r>
      <w:r>
        <w:t xml:space="preserve"> Siehe: </w:t>
      </w:r>
      <w:hyperlink r:id="rId357" w:history="1">
        <w:r w:rsidRPr="0040586F">
          <w:rPr>
            <w:rStyle w:val="Hyperlink"/>
          </w:rPr>
          <w:t>https://eur-lex.europa.eu/legal-content/DE/TXT/?uri=CELEX:32022R2577</w:t>
        </w:r>
      </w:hyperlink>
      <w:r>
        <w:t xml:space="preserve"> – Zugegriffen: 09.02.2014. </w:t>
      </w:r>
    </w:p>
  </w:footnote>
  <w:footnote w:id="451">
    <w:p w14:paraId="324CF6C4" w14:textId="77777777" w:rsidR="00202202" w:rsidRDefault="00202202" w:rsidP="00202202">
      <w:pPr>
        <w:pStyle w:val="Funotentext"/>
      </w:pPr>
      <w:r>
        <w:rPr>
          <w:rStyle w:val="Funotenzeichen"/>
        </w:rPr>
        <w:footnoteRef/>
      </w:r>
      <w:r>
        <w:t xml:space="preserve"> Etwa Klagen von NABU gegen den Windpark </w:t>
      </w:r>
      <w:proofErr w:type="spellStart"/>
      <w:r>
        <w:t>Butendiek</w:t>
      </w:r>
      <w:proofErr w:type="spellEnd"/>
      <w:r>
        <w:t xml:space="preserve">, siehe: </w:t>
      </w:r>
      <w:hyperlink r:id="rId358" w:history="1">
        <w:r w:rsidRPr="0040586F">
          <w:rPr>
            <w:rStyle w:val="Hyperlink"/>
          </w:rPr>
          <w:t>https://de.wikipedia.org/wiki/Offshore-Windpark_Butendiek</w:t>
        </w:r>
      </w:hyperlink>
      <w:r>
        <w:t xml:space="preserve"> - Zugegriffen: 09.02.2024. </w:t>
      </w:r>
    </w:p>
  </w:footnote>
  <w:footnote w:id="452">
    <w:p w14:paraId="6B41F4C7" w14:textId="77777777" w:rsidR="0046543A" w:rsidRDefault="0046543A" w:rsidP="0046543A">
      <w:pPr>
        <w:pStyle w:val="Funotentext"/>
      </w:pPr>
      <w:r>
        <w:rPr>
          <w:rStyle w:val="Funotenzeichen"/>
        </w:rPr>
        <w:footnoteRef/>
      </w:r>
      <w:r>
        <w:t xml:space="preserve"> </w:t>
      </w:r>
      <w:r w:rsidRPr="006D2FA3">
        <w:t>Der Bund ist zuständig für das Bauplanungsrecht, u.a. das Baugesetzbuch und die Baunutzungsverordnung. Das Bauordnungsrecht ist Ländersache, hier gibt es gebäudebezogene Regelungen wie Abstandsflächen und Brandschutz.</w:t>
      </w:r>
      <w:r>
        <w:t xml:space="preserve"> Balland 2023: 6. </w:t>
      </w:r>
    </w:p>
  </w:footnote>
  <w:footnote w:id="453">
    <w:p w14:paraId="5C585F44" w14:textId="77777777" w:rsidR="0046543A" w:rsidRDefault="0046543A" w:rsidP="0046543A">
      <w:pPr>
        <w:pStyle w:val="Funotentext"/>
      </w:pPr>
      <w:r>
        <w:rPr>
          <w:rStyle w:val="Funotenzeichen"/>
        </w:rPr>
        <w:footnoteRef/>
      </w:r>
      <w:r>
        <w:t xml:space="preserve"> Balland 2023: 6. </w:t>
      </w:r>
    </w:p>
  </w:footnote>
  <w:footnote w:id="454">
    <w:p w14:paraId="5E14E9A0" w14:textId="6CB40304" w:rsidR="00BA6F1E" w:rsidRDefault="00BA6F1E">
      <w:pPr>
        <w:pStyle w:val="Funotentext"/>
      </w:pPr>
      <w:r>
        <w:rPr>
          <w:rStyle w:val="Funotenzeichen"/>
        </w:rPr>
        <w:footnoteRef/>
      </w:r>
      <w:r>
        <w:t xml:space="preserve"> Siehe: </w:t>
      </w:r>
      <w:hyperlink r:id="rId359" w:history="1">
        <w:r w:rsidRPr="00C627DD">
          <w:rPr>
            <w:rStyle w:val="Hyperlink"/>
          </w:rPr>
          <w:t>https://www.mhkbd.nrw/themenportal/regelungen-zu-windkraftanlagen-nordrhein-westfalen</w:t>
        </w:r>
      </w:hyperlink>
      <w:r>
        <w:t xml:space="preserve"> - Zugegriffen: 17.06.2025. </w:t>
      </w:r>
    </w:p>
  </w:footnote>
  <w:footnote w:id="455">
    <w:p w14:paraId="0BF91E69" w14:textId="584CD946" w:rsidR="005F2F9C" w:rsidRDefault="005F2F9C">
      <w:pPr>
        <w:pStyle w:val="Funotentext"/>
      </w:pPr>
      <w:r>
        <w:rPr>
          <w:rStyle w:val="Funotenzeichen"/>
        </w:rPr>
        <w:footnoteRef/>
      </w:r>
      <w:r>
        <w:t xml:space="preserve"> Siehe: </w:t>
      </w:r>
      <w:hyperlink r:id="rId360" w:history="1">
        <w:r w:rsidRPr="00C627DD">
          <w:rPr>
            <w:rStyle w:val="Hyperlink"/>
          </w:rPr>
          <w:t>https://www.mhkbd.nrw/system/files/media/document/file/2024_08_19_mhkbd_mwike_munv_final_arbeitshilfe_wind-an-land_0.pdf</w:t>
        </w:r>
      </w:hyperlink>
      <w:r>
        <w:t xml:space="preserve"> - Zugegriffen: 17.06.2025. </w:t>
      </w:r>
    </w:p>
  </w:footnote>
  <w:footnote w:id="456">
    <w:p w14:paraId="49456D75" w14:textId="263D7C26" w:rsidR="007949FE" w:rsidRDefault="007949FE">
      <w:pPr>
        <w:pStyle w:val="Funotentext"/>
      </w:pPr>
      <w:r>
        <w:rPr>
          <w:rStyle w:val="Funotenzeichen"/>
        </w:rPr>
        <w:footnoteRef/>
      </w:r>
      <w:r>
        <w:t xml:space="preserve"> Siehe: </w:t>
      </w:r>
      <w:hyperlink r:id="rId361" w:history="1">
        <w:r w:rsidRPr="00C627DD">
          <w:rPr>
            <w:rStyle w:val="Hyperlink"/>
          </w:rPr>
          <w:t>https://www.wirtschaft.nrw/themen/energie/erneuerbare-energien/task-force-ausbaubeschleunigung-windenergie-nrw</w:t>
        </w:r>
      </w:hyperlink>
      <w:r>
        <w:t xml:space="preserve"> - Zugegriffen: 17.06.2025. (1000 mal 5 MW * 8760 * 0,25 = 10.950.000 MWh, das sind immerhin 10 TWh) </w:t>
      </w:r>
    </w:p>
  </w:footnote>
  <w:footnote w:id="457">
    <w:p w14:paraId="314A4CBC" w14:textId="3D60C447" w:rsidR="007949FE" w:rsidRDefault="007949FE">
      <w:pPr>
        <w:pStyle w:val="Funotentext"/>
      </w:pPr>
      <w:r>
        <w:rPr>
          <w:rStyle w:val="Funotenzeichen"/>
        </w:rPr>
        <w:footnoteRef/>
      </w:r>
      <w:r>
        <w:t xml:space="preserve"> 1000 mal 5 MW * 8760 * 0,25 Kapazitätsfaktor = 10.950.000 MWh, das sind immerhin 10 TWh. </w:t>
      </w:r>
    </w:p>
  </w:footnote>
  <w:footnote w:id="458">
    <w:p w14:paraId="5690CEB9" w14:textId="5E09001D" w:rsidR="007949FE" w:rsidRDefault="007949FE">
      <w:pPr>
        <w:pStyle w:val="Funotentext"/>
      </w:pPr>
      <w:r>
        <w:rPr>
          <w:rStyle w:val="Funotenzeichen"/>
        </w:rPr>
        <w:footnoteRef/>
      </w:r>
      <w:r>
        <w:t xml:space="preserve"> Siehe: </w:t>
      </w:r>
      <w:hyperlink r:id="rId362" w:history="1">
        <w:r w:rsidRPr="00C627DD">
          <w:rPr>
            <w:rStyle w:val="Hyperlink"/>
          </w:rPr>
          <w:t>https://landesplanung.nrw.de/system/files/media/document/file/flaechenanalyse_windenergie_zwischenbericht_nrw_-_stand_8.03.2023.pdf</w:t>
        </w:r>
      </w:hyperlink>
      <w:r>
        <w:t xml:space="preserve"> - Zugegriffen: 17.06.2025. </w:t>
      </w:r>
    </w:p>
  </w:footnote>
  <w:footnote w:id="459">
    <w:p w14:paraId="6FE2A418" w14:textId="0EE37426" w:rsidR="007949FE" w:rsidRDefault="007949FE">
      <w:pPr>
        <w:pStyle w:val="Funotentext"/>
      </w:pPr>
      <w:r>
        <w:rPr>
          <w:rStyle w:val="Funotenzeichen"/>
        </w:rPr>
        <w:footnoteRef/>
      </w:r>
      <w:r>
        <w:t xml:space="preserve"> Siehe: </w:t>
      </w:r>
      <w:hyperlink r:id="rId363" w:history="1">
        <w:r w:rsidRPr="00C627DD">
          <w:rPr>
            <w:rStyle w:val="Hyperlink"/>
          </w:rPr>
          <w:t>https://www.wirtschaft.nrw/themen/energie/erneuerbare-energien/task-force-ausbaubeschleunigung-windenergie-nrw</w:t>
        </w:r>
      </w:hyperlink>
      <w:r>
        <w:t xml:space="preserve"> - Zugegriffen: 17.06.2025. </w:t>
      </w:r>
    </w:p>
  </w:footnote>
  <w:footnote w:id="460">
    <w:p w14:paraId="1AC8AF5A" w14:textId="331F741B" w:rsidR="005F2F9C" w:rsidRDefault="005F2F9C">
      <w:pPr>
        <w:pStyle w:val="Funotentext"/>
      </w:pPr>
      <w:r>
        <w:rPr>
          <w:rStyle w:val="Funotenzeichen"/>
        </w:rPr>
        <w:footnoteRef/>
      </w:r>
      <w:r>
        <w:t xml:space="preserve"> Siehe: </w:t>
      </w:r>
      <w:hyperlink r:id="rId364" w:history="1">
        <w:r w:rsidRPr="00C627DD">
          <w:rPr>
            <w:rStyle w:val="Hyperlink"/>
          </w:rPr>
          <w:t>https://www.bezreg-koeln.nrw.de/themen/kommunales-planung-bauen-und-verkehr/regionalplanung/neuaufstellung-regionalplan-koeln-6</w:t>
        </w:r>
      </w:hyperlink>
      <w:r>
        <w:t xml:space="preserve"> - Zugegriffen: 17.06.2025. </w:t>
      </w:r>
    </w:p>
  </w:footnote>
  <w:footnote w:id="461">
    <w:p w14:paraId="5B47FDB2" w14:textId="6B9F605A" w:rsidR="005F2F9C" w:rsidRDefault="005F2F9C">
      <w:pPr>
        <w:pStyle w:val="Funotentext"/>
      </w:pPr>
      <w:r>
        <w:rPr>
          <w:rStyle w:val="Funotenzeichen"/>
        </w:rPr>
        <w:footnoteRef/>
      </w:r>
      <w:r>
        <w:t xml:space="preserve"> Siehe: </w:t>
      </w:r>
      <w:hyperlink r:id="rId365" w:history="1">
        <w:r w:rsidRPr="00C627DD">
          <w:rPr>
            <w:rStyle w:val="Hyperlink"/>
          </w:rPr>
          <w:t>https://www.giscloud.nrw.de/arcgis/apps/experiencebuilder/experience/?id=3fa3900e00c6485ebe5ae81fe639dd2b&amp;page=Home</w:t>
        </w:r>
      </w:hyperlink>
      <w:r>
        <w:t xml:space="preserve"> – Zugegriffen: 17.06.2025. </w:t>
      </w:r>
    </w:p>
  </w:footnote>
  <w:footnote w:id="462">
    <w:p w14:paraId="626CAF13" w14:textId="369034A7" w:rsidR="0046543A" w:rsidRDefault="0046543A">
      <w:pPr>
        <w:pStyle w:val="Funotentext"/>
      </w:pPr>
      <w:r>
        <w:rPr>
          <w:rStyle w:val="Funotenzeichen"/>
        </w:rPr>
        <w:footnoteRef/>
      </w:r>
      <w:r>
        <w:t xml:space="preserve"> </w:t>
      </w:r>
      <w:r w:rsidRPr="0046543A">
        <w:t>Erlass für die Planung und Genehmigung von Windenergieanlagen und Hinweise für die Zielsetzung und Anwendung (Windenergie-Erlass) Gemeinsamer Runderlass des Ministeriums für Wirtschaft, Innovation, Digitalisierung und Energie (Az. VI.A-3 – 77-30 Windenergieerlass), des Ministeriums für Umwelt, Landwirtschaft, Natur- und Verbraucherschutz (Az. VII.2-2 – 2017/01 – Windenergieerlass) und des Ministeriums für Heimat, Kommunales, Bau und Gleichstellung des Landes Nordrhein-Westfalen (Az. 611 – 901.3/202)</w:t>
      </w:r>
      <w:r>
        <w:t xml:space="preserve">, siehe:  </w:t>
      </w:r>
      <w:hyperlink r:id="rId366" w:history="1">
        <w:r w:rsidRPr="00B5376D">
          <w:rPr>
            <w:rStyle w:val="Hyperlink"/>
          </w:rPr>
          <w:t>https://recht.nrw.de/lmi/owa/br_bes_text?anw_nr=1&amp;gld_nr=2&amp;ugl_nr=2310&amp;bes_id=38805&amp;val=38805&amp;ver=7&amp;sg=0&amp;aufgehoben=N&amp;menu=1</w:t>
        </w:r>
      </w:hyperlink>
      <w:r>
        <w:t xml:space="preserve"> – Zugegriffen: 02.07.2025.</w:t>
      </w:r>
    </w:p>
  </w:footnote>
  <w:footnote w:id="463">
    <w:p w14:paraId="32095449" w14:textId="2D23F107" w:rsidR="001D5F0C" w:rsidRDefault="001D5F0C">
      <w:pPr>
        <w:pStyle w:val="Funotentext"/>
      </w:pPr>
      <w:r>
        <w:rPr>
          <w:rStyle w:val="Funotenzeichen"/>
        </w:rPr>
        <w:footnoteRef/>
      </w:r>
      <w:r>
        <w:t xml:space="preserve"> Siehe: </w:t>
      </w:r>
      <w:hyperlink r:id="rId367" w:history="1">
        <w:r w:rsidRPr="00C627DD">
          <w:rPr>
            <w:rStyle w:val="Hyperlink"/>
          </w:rPr>
          <w:t>https://dip.bundestag.de/vorgang/gesetz-zur-sofortigen-verbesserung-der-rahmenbedingungen-f%C3%BCr-die-erneuerbaren-energien/292332</w:t>
        </w:r>
      </w:hyperlink>
      <w:r>
        <w:t xml:space="preserve"> - Zugegriffen: 17.06.2025. </w:t>
      </w:r>
    </w:p>
  </w:footnote>
  <w:footnote w:id="464">
    <w:p w14:paraId="6133389C" w14:textId="7F7D94D6" w:rsidR="00ED18D0" w:rsidRDefault="00ED18D0" w:rsidP="00ED18D0">
      <w:pPr>
        <w:pStyle w:val="Funotentext"/>
      </w:pPr>
      <w:r>
        <w:rPr>
          <w:rStyle w:val="Funotenzeichen"/>
        </w:rPr>
        <w:footnoteRef/>
      </w:r>
      <w:r>
        <w:t xml:space="preserve"> </w:t>
      </w:r>
      <w:r w:rsidR="00B76C65">
        <w:t xml:space="preserve">Bis auf spezielle Umstände. </w:t>
      </w:r>
      <w:r>
        <w:t xml:space="preserve">Balland 2023: 6. </w:t>
      </w:r>
    </w:p>
  </w:footnote>
  <w:footnote w:id="465">
    <w:p w14:paraId="301B7E3C" w14:textId="0539E535" w:rsidR="00B76C65" w:rsidRDefault="00B76C65">
      <w:pPr>
        <w:pStyle w:val="Funotentext"/>
      </w:pPr>
      <w:r>
        <w:rPr>
          <w:rStyle w:val="Funotenzeichen"/>
        </w:rPr>
        <w:footnoteRef/>
      </w:r>
      <w:r>
        <w:t xml:space="preserve"> Balland 2023: 11.</w:t>
      </w:r>
    </w:p>
  </w:footnote>
  <w:footnote w:id="466">
    <w:p w14:paraId="130535C9" w14:textId="3B05B214" w:rsidR="00B76C65" w:rsidRDefault="00B76C65">
      <w:pPr>
        <w:pStyle w:val="Funotentext"/>
      </w:pPr>
      <w:r>
        <w:rPr>
          <w:rStyle w:val="Funotenzeichen"/>
        </w:rPr>
        <w:footnoteRef/>
      </w:r>
      <w:r>
        <w:t xml:space="preserve"> Balland 2023: 5.</w:t>
      </w:r>
    </w:p>
  </w:footnote>
  <w:footnote w:id="467">
    <w:p w14:paraId="6EF15AF0" w14:textId="24F14380" w:rsidR="00B76C65" w:rsidRDefault="00B76C65">
      <w:pPr>
        <w:pStyle w:val="Funotentext"/>
      </w:pPr>
      <w:r>
        <w:rPr>
          <w:rStyle w:val="Funotenzeichen"/>
        </w:rPr>
        <w:footnoteRef/>
      </w:r>
      <w:r>
        <w:t xml:space="preserve"> Balland 2023: 12. </w:t>
      </w:r>
    </w:p>
  </w:footnote>
  <w:footnote w:id="468">
    <w:p w14:paraId="232BFD2F" w14:textId="7D2EB3E8" w:rsidR="00B76C65" w:rsidRDefault="00B76C65">
      <w:pPr>
        <w:pStyle w:val="Funotentext"/>
      </w:pPr>
      <w:r>
        <w:rPr>
          <w:rStyle w:val="Funotenzeichen"/>
        </w:rPr>
        <w:footnoteRef/>
      </w:r>
      <w:r>
        <w:t xml:space="preserve"> Balland 2023: 12.</w:t>
      </w:r>
    </w:p>
  </w:footnote>
  <w:footnote w:id="469">
    <w:p w14:paraId="5E512FD1" w14:textId="39048509" w:rsidR="00CD2427" w:rsidRDefault="00CD2427">
      <w:pPr>
        <w:pStyle w:val="Funotentext"/>
      </w:pPr>
      <w:r>
        <w:rPr>
          <w:rStyle w:val="Funotenzeichen"/>
        </w:rPr>
        <w:footnoteRef/>
      </w:r>
      <w:r>
        <w:t xml:space="preserve"> Bis zum 30. Juni 2024 wurde auf die </w:t>
      </w:r>
      <w:proofErr w:type="spellStart"/>
      <w:r>
        <w:t>Umweltverträglichkeitprüfung</w:t>
      </w:r>
      <w:proofErr w:type="spellEnd"/>
      <w:r>
        <w:t xml:space="preserve"> verzichtet. Balland 2023: 23-24. </w:t>
      </w:r>
    </w:p>
  </w:footnote>
  <w:footnote w:id="470">
    <w:p w14:paraId="663BCF53" w14:textId="50D7D952" w:rsidR="004D16BB" w:rsidRDefault="004D16BB">
      <w:pPr>
        <w:pStyle w:val="Funotentext"/>
      </w:pPr>
      <w:r>
        <w:rPr>
          <w:rStyle w:val="Funotenzeichen"/>
        </w:rPr>
        <w:footnoteRef/>
      </w:r>
      <w:r>
        <w:t xml:space="preserve"> </w:t>
      </w:r>
      <w:r w:rsidR="00BA7E5B">
        <w:t xml:space="preserve">Siehe: </w:t>
      </w:r>
      <w:hyperlink r:id="rId368" w:history="1">
        <w:r w:rsidR="00BA7E5B" w:rsidRPr="001B23DF">
          <w:rPr>
            <w:rStyle w:val="Hyperlink"/>
          </w:rPr>
          <w:t>https://www.bundesnetzagentur.de/DE/Fachthemen/ElektrizitaetundGas/Ausschreibungen/start.html</w:t>
        </w:r>
      </w:hyperlink>
      <w:r w:rsidR="00BA7E5B">
        <w:t xml:space="preserve"> - Zugegriffen: 19.06.2025. </w:t>
      </w:r>
    </w:p>
  </w:footnote>
  <w:footnote w:id="471">
    <w:p w14:paraId="1B05D73A" w14:textId="37568146" w:rsidR="00A00671" w:rsidRDefault="00A00671">
      <w:pPr>
        <w:pStyle w:val="Funotentext"/>
      </w:pPr>
      <w:r>
        <w:rPr>
          <w:rStyle w:val="Funotenzeichen"/>
        </w:rPr>
        <w:footnoteRef/>
      </w:r>
      <w:r>
        <w:t xml:space="preserve"> Siehe: </w:t>
      </w:r>
      <w:hyperlink r:id="rId369" w:history="1">
        <w:r w:rsidRPr="00C627DD">
          <w:rPr>
            <w:rStyle w:val="Hyperlink"/>
          </w:rPr>
          <w:t>https://www.umweltbundesamt.de/themen/ausbau-der-windenergie-an-land-2-prozent-ziel</w:t>
        </w:r>
      </w:hyperlink>
      <w:r>
        <w:t xml:space="preserve"> - und: </w:t>
      </w:r>
      <w:hyperlink r:id="rId370" w:history="1">
        <w:r w:rsidR="00F046E9" w:rsidRPr="00C627DD">
          <w:rPr>
            <w:rStyle w:val="Hyperlink"/>
          </w:rPr>
          <w:t>https://www.umweltbundesamt.de/en/publikationen/flaechenverfuegbarkeit-flaechenbedarfe-fuer-den</w:t>
        </w:r>
      </w:hyperlink>
      <w:r>
        <w:t xml:space="preserve"> - Zugegriffen: 17.06.2025.</w:t>
      </w:r>
    </w:p>
  </w:footnote>
  <w:footnote w:id="472">
    <w:p w14:paraId="474824DA" w14:textId="77777777" w:rsidR="001945D4" w:rsidRDefault="001945D4" w:rsidP="001945D4">
      <w:pPr>
        <w:pStyle w:val="Funotentext"/>
      </w:pPr>
      <w:r>
        <w:rPr>
          <w:rStyle w:val="Funotenzeichen"/>
        </w:rPr>
        <w:footnoteRef/>
      </w:r>
      <w:r>
        <w:t xml:space="preserve"> Siehe diese Webseite: </w:t>
      </w:r>
      <w:hyperlink r:id="rId371" w:history="1">
        <w:r w:rsidRPr="00C627DD">
          <w:rPr>
            <w:rStyle w:val="Hyperlink"/>
          </w:rPr>
          <w:t>https://www.energiezukunft.eu/erneuerbare-energien/windenergie/windenergie-was-zwei-prozent-der-landesflaeche-bedeuten</w:t>
        </w:r>
      </w:hyperlink>
      <w:r>
        <w:t xml:space="preserve"> - Zugegriffen: 17.06.2025. </w:t>
      </w:r>
    </w:p>
  </w:footnote>
  <w:footnote w:id="473">
    <w:p w14:paraId="429ACBED" w14:textId="77777777" w:rsidR="00E01D77" w:rsidRDefault="00E01D77" w:rsidP="00E01D77">
      <w:pPr>
        <w:pStyle w:val="Funotentext"/>
      </w:pPr>
      <w:r>
        <w:rPr>
          <w:rStyle w:val="Funotenzeichen"/>
        </w:rPr>
        <w:footnoteRef/>
      </w:r>
      <w:r>
        <w:t xml:space="preserve"> Siehe: </w:t>
      </w:r>
      <w:hyperlink r:id="rId372" w:history="1">
        <w:r w:rsidRPr="00335629">
          <w:rPr>
            <w:rStyle w:val="Hyperlink"/>
          </w:rPr>
          <w:t>https://www.gesetze-im-internet.de/windseeg/</w:t>
        </w:r>
      </w:hyperlink>
      <w:r>
        <w:t xml:space="preserve"> - Zugegriffen: 16.10.2023. Sowie:  </w:t>
      </w:r>
      <w:hyperlink r:id="rId373" w:history="1">
        <w:r w:rsidRPr="007D5088">
          <w:rPr>
            <w:rStyle w:val="Hyperlink"/>
          </w:rPr>
          <w:t>https://de.wikipedia.org/wiki/Windenergie-auf-See-Gesetz</w:t>
        </w:r>
      </w:hyperlink>
      <w:r>
        <w:t xml:space="preserve"> - Zugegriffen: 16.10.2023. </w:t>
      </w:r>
    </w:p>
  </w:footnote>
  <w:footnote w:id="474">
    <w:p w14:paraId="478E0A48" w14:textId="77777777" w:rsidR="00E01D77" w:rsidRDefault="00E01D77" w:rsidP="00E01D77">
      <w:pPr>
        <w:pStyle w:val="Funotentext"/>
      </w:pPr>
      <w:r>
        <w:rPr>
          <w:rStyle w:val="Funotenzeichen"/>
        </w:rPr>
        <w:footnoteRef/>
      </w:r>
      <w:r>
        <w:t xml:space="preserve"> Kirch et al. 2022: 6.</w:t>
      </w:r>
    </w:p>
  </w:footnote>
  <w:footnote w:id="475">
    <w:p w14:paraId="2F2D3510" w14:textId="77777777" w:rsidR="00E01D77" w:rsidRDefault="00E01D77" w:rsidP="00E01D77">
      <w:pPr>
        <w:pStyle w:val="Funotentext"/>
      </w:pPr>
      <w:r>
        <w:rPr>
          <w:rStyle w:val="Funotenzeichen"/>
        </w:rPr>
        <w:footnoteRef/>
      </w:r>
      <w:r>
        <w:t xml:space="preserve"> Kirch et al. 2022: 7.</w:t>
      </w:r>
    </w:p>
  </w:footnote>
  <w:footnote w:id="476">
    <w:p w14:paraId="74597689" w14:textId="77777777" w:rsidR="00E01D77" w:rsidRDefault="00E01D77" w:rsidP="00E01D77">
      <w:pPr>
        <w:pStyle w:val="Funotentext"/>
      </w:pPr>
      <w:r>
        <w:rPr>
          <w:rStyle w:val="Funotenzeichen"/>
        </w:rPr>
        <w:footnoteRef/>
      </w:r>
      <w:r>
        <w:t xml:space="preserve"> Pressemitteilung: </w:t>
      </w:r>
      <w:hyperlink r:id="rId374" w:history="1">
        <w:r w:rsidRPr="00335629">
          <w:rPr>
            <w:rStyle w:val="Hyperlink"/>
          </w:rPr>
          <w:t>https://www.bmwk.de/Redaktion/DE/Pressemitteilungen/2022/11/20221103-mehr-windenergie-auf-see-habeck.html</w:t>
        </w:r>
      </w:hyperlink>
      <w:r>
        <w:t xml:space="preserve"> - Zugegriffen: 01.11.2023. </w:t>
      </w:r>
      <w:r w:rsidRPr="005D01C8">
        <w:t xml:space="preserve">Unklar </w:t>
      </w:r>
      <w:r>
        <w:t xml:space="preserve">muss </w:t>
      </w:r>
      <w:proofErr w:type="gramStart"/>
      <w:r>
        <w:t>hier bleiben</w:t>
      </w:r>
      <w:proofErr w:type="gramEnd"/>
      <w:r w:rsidRPr="005D01C8">
        <w:t xml:space="preserve">, ob im </w:t>
      </w:r>
      <w:proofErr w:type="spellStart"/>
      <w:r w:rsidRPr="005D01C8">
        <w:t>WindSeeG</w:t>
      </w:r>
      <w:proofErr w:type="spellEnd"/>
      <w:r w:rsidRPr="005D01C8">
        <w:t xml:space="preserve"> zuvor bis 2030 nur ein 20GW Ausbau vorgesehen war. </w:t>
      </w:r>
      <w:r>
        <w:t xml:space="preserve">Dies wird in der Pressemitteilung so dargelegt. </w:t>
      </w:r>
      <w:r w:rsidRPr="005D01C8">
        <w:t xml:space="preserve"> </w:t>
      </w:r>
    </w:p>
  </w:footnote>
  <w:footnote w:id="477">
    <w:p w14:paraId="272549CD" w14:textId="77777777" w:rsidR="00E01D77" w:rsidRDefault="00E01D77" w:rsidP="00E01D77">
      <w:pPr>
        <w:pStyle w:val="Funotentext"/>
      </w:pPr>
      <w:r>
        <w:rPr>
          <w:rStyle w:val="Funotenzeichen"/>
        </w:rPr>
        <w:footnoteRef/>
      </w:r>
      <w:r>
        <w:t xml:space="preserve"> Offshore Realisierungsvereinbarung als .</w:t>
      </w:r>
      <w:proofErr w:type="spellStart"/>
      <w:r>
        <w:t>pdf</w:t>
      </w:r>
      <w:proofErr w:type="spellEnd"/>
      <w:r>
        <w:t xml:space="preserve">-Datei: </w:t>
      </w:r>
      <w:hyperlink r:id="rId375" w:history="1">
        <w:r w:rsidRPr="00335629">
          <w:rPr>
            <w:rStyle w:val="Hyperlink"/>
          </w:rPr>
          <w:t>https://www.bmwk.de/Redaktion/DE/Downloads/neue-offshore-realisierungsvereinbarung-30-gw-bis-2030pdf.pdf?__blob=publicationFile&amp;v=1</w:t>
        </w:r>
      </w:hyperlink>
      <w:r>
        <w:t xml:space="preserve"> – Zugegriffen: 01.11.2023.  </w:t>
      </w:r>
    </w:p>
  </w:footnote>
  <w:footnote w:id="478">
    <w:p w14:paraId="5C8D03D4" w14:textId="77777777" w:rsidR="00E01D77" w:rsidRDefault="00E01D77" w:rsidP="00E01D77">
      <w:pPr>
        <w:pStyle w:val="Funotentext"/>
      </w:pPr>
      <w:r>
        <w:rPr>
          <w:rStyle w:val="Funotenzeichen"/>
        </w:rPr>
        <w:footnoteRef/>
      </w:r>
      <w:r>
        <w:t xml:space="preserve"> Die Offshore Vereinbarung, zwei Seiten nur mit der Aufzählung von den konkreten Projekten, findet sich in: </w:t>
      </w:r>
      <w:hyperlink r:id="rId376" w:history="1">
        <w:r w:rsidRPr="00335629">
          <w:rPr>
            <w:rStyle w:val="Hyperlink"/>
          </w:rPr>
          <w:t>https://www.bmwk.de/Redaktion/DE/Downloads/M-O/offshore-vereinbarung.pdf?__blob=publicationFile&amp;v=3</w:t>
        </w:r>
      </w:hyperlink>
      <w:r>
        <w:t xml:space="preserve"> – Zugegriffen: 01.11.2023. </w:t>
      </w:r>
    </w:p>
  </w:footnote>
  <w:footnote w:id="479">
    <w:p w14:paraId="28D8CB5C" w14:textId="21C6E12C" w:rsidR="00E01D77" w:rsidRDefault="00E01D77" w:rsidP="00E01D77">
      <w:pPr>
        <w:pStyle w:val="Funotentext"/>
      </w:pPr>
      <w:r>
        <w:rPr>
          <w:rStyle w:val="Funotenzeichen"/>
        </w:rPr>
        <w:footnoteRef/>
      </w:r>
      <w:r>
        <w:t xml:space="preserve"> </w:t>
      </w:r>
      <w:proofErr w:type="spellStart"/>
      <w:r w:rsidR="008511B5">
        <w:t>WindSeeG</w:t>
      </w:r>
      <w:proofErr w:type="spellEnd"/>
      <w:r w:rsidR="008511B5">
        <w:t xml:space="preserve"> </w:t>
      </w:r>
      <w:r>
        <w:t>§ 69 Abs. 7: „</w:t>
      </w:r>
      <w:r w:rsidRPr="00C41FC7">
        <w:t xml:space="preserve">Ein Planfeststellungsbeschluss oder eine Plangenehmigung für eine Windenergieanlage auf See oder für eine Anlage zur sonstigen Energiegewinnung, jeweils einschließlich der zur Errichtung und zum Betrieb der Anlagen erforderlichen technischen und baulichen Nebeneinrichtungen, werden befristet auf 25 Jahre erteilt. Der Lauf der Frist nach Satz 1 beginnt zwölf Monate nach dem Eingang des Nachweises nach § 81 Absatz 2 Nummer 3 dieses Gesetzes bei der Bundesnetzagentur oder des Nachweises nach § 14 Absatz 1 Nummer 4 der Sonstige-Energiegewinnungsbereiche-Verordnung beim Bundesamt für Seeschifffahrt und Hydrographie. Die Frist nach Satz 1 gilt einheitlich für sämtliche Einrichtungen nach Satz 1. Eine nachträgliche Verlängerung der Befristung um höchstens zehn Jahre ist einmalig möglich, wenn der Flächenentwicklungsplan keine unmittelbar anschließende Nachnutzung nach § 8 Absatz 3 vorsieht und die Betriebsdauer der zugehörigen Netzanbindung dies technisch und betrieblich ermöglicht. Bei der Entscheidung über eine nachträgliche Verlängerung der Befristung sind Aufwendungen des Vorhabenträgers zum </w:t>
      </w:r>
      <w:proofErr w:type="spellStart"/>
      <w:r w:rsidRPr="00C41FC7">
        <w:t>Repowering</w:t>
      </w:r>
      <w:proofErr w:type="spellEnd"/>
      <w:r w:rsidRPr="00C41FC7">
        <w:t xml:space="preserve"> nach § 89 zu berücksichtigen.</w:t>
      </w:r>
      <w:r>
        <w:t xml:space="preserve">“ Siehe: </w:t>
      </w:r>
      <w:hyperlink r:id="rId377" w:history="1">
        <w:r w:rsidRPr="003516DB">
          <w:rPr>
            <w:rStyle w:val="Hyperlink"/>
          </w:rPr>
          <w:t>https://www.gesetze-im-internet.de/windseeg/BJNR231000016.html</w:t>
        </w:r>
      </w:hyperlink>
      <w:r>
        <w:t xml:space="preserve"> - Zugegriffen: 17.04.2025. </w:t>
      </w:r>
    </w:p>
  </w:footnote>
  <w:footnote w:id="480">
    <w:p w14:paraId="1FFE5F1E" w14:textId="77777777" w:rsidR="00E01D77" w:rsidRDefault="00E01D77" w:rsidP="00E01D77">
      <w:pPr>
        <w:pStyle w:val="Funotentext"/>
      </w:pPr>
      <w:r>
        <w:rPr>
          <w:rStyle w:val="Funotenzeichen"/>
        </w:rPr>
        <w:footnoteRef/>
      </w:r>
      <w:r>
        <w:t xml:space="preserve"> Siehe: </w:t>
      </w:r>
      <w:hyperlink r:id="rId378" w:history="1">
        <w:r w:rsidRPr="003516DB">
          <w:rPr>
            <w:rStyle w:val="Hyperlink"/>
          </w:rPr>
          <w:t>https://www.alpha-ventus.de</w:t>
        </w:r>
      </w:hyperlink>
      <w:r>
        <w:t xml:space="preserve"> </w:t>
      </w:r>
    </w:p>
  </w:footnote>
  <w:footnote w:id="481">
    <w:p w14:paraId="7C93BB71" w14:textId="77777777" w:rsidR="00E01D77" w:rsidRDefault="00E01D77" w:rsidP="00E01D77">
      <w:pPr>
        <w:pStyle w:val="Funotentext"/>
      </w:pPr>
      <w:r>
        <w:rPr>
          <w:rStyle w:val="Funotenzeichen"/>
        </w:rPr>
        <w:footnoteRef/>
      </w:r>
      <w:r>
        <w:t xml:space="preserve"> Siehe NWZ Online, Christoph Kiefer, Betreiber bereiten Abbau von Alpha Ventus vor, 28.02.2025: </w:t>
      </w:r>
      <w:hyperlink r:id="rId379" w:history="1">
        <w:r w:rsidRPr="003516DB">
          <w:rPr>
            <w:rStyle w:val="Hyperlink"/>
          </w:rPr>
          <w:t>https://www.nwzonline.de/region/alpha-ventus-vor-borkum-ewe-eon-und-vattenfall-planen-rueckbau_a_4,1,4193435289.html#</w:t>
        </w:r>
      </w:hyperlink>
      <w:r>
        <w:t xml:space="preserve"> - Zugegriffen: 17.04.2025. </w:t>
      </w:r>
    </w:p>
  </w:footnote>
  <w:footnote w:id="482">
    <w:p w14:paraId="4A8ACB12" w14:textId="77777777" w:rsidR="00E01D77" w:rsidRDefault="00E01D77" w:rsidP="00E01D77">
      <w:pPr>
        <w:pStyle w:val="Funotentext"/>
      </w:pPr>
      <w:r>
        <w:rPr>
          <w:rStyle w:val="Funotenzeichen"/>
        </w:rPr>
        <w:footnoteRef/>
      </w:r>
      <w:r>
        <w:t xml:space="preserve"> „</w:t>
      </w:r>
      <w:r w:rsidRPr="00211FA3">
        <w:t xml:space="preserve">Der Windpark wird von der Deutschen Offshore Testfeld- und Infrastruktur GmbH &amp; Co. KG (DOTI) betrieben, einer Zweckgesellschaft der Unternehmen EWE (47,5 %), RWE </w:t>
      </w:r>
      <w:proofErr w:type="spellStart"/>
      <w:r w:rsidRPr="00211FA3">
        <w:t>Renewables</w:t>
      </w:r>
      <w:proofErr w:type="spellEnd"/>
      <w:r w:rsidRPr="00211FA3">
        <w:t xml:space="preserve"> und Vattenfall (je 26,25 %).</w:t>
      </w:r>
      <w:r>
        <w:t xml:space="preserve">“ Siehe: </w:t>
      </w:r>
      <w:hyperlink r:id="rId380" w:history="1">
        <w:r w:rsidRPr="003516DB">
          <w:rPr>
            <w:rStyle w:val="Hyperlink"/>
          </w:rPr>
          <w:t>https://de.wikipedia.org/wiki/Offshore-Windpark_alpha_ventus</w:t>
        </w:r>
      </w:hyperlink>
      <w:r>
        <w:t xml:space="preserve"> - Zugegriffen: 17.04.2025. </w:t>
      </w:r>
    </w:p>
  </w:footnote>
  <w:footnote w:id="483">
    <w:p w14:paraId="499D5678" w14:textId="77777777" w:rsidR="00E01D77" w:rsidRDefault="00E01D77" w:rsidP="00E01D77">
      <w:pPr>
        <w:pStyle w:val="Funotentext"/>
      </w:pPr>
      <w:r>
        <w:rPr>
          <w:rStyle w:val="Funotenzeichen"/>
        </w:rPr>
        <w:footnoteRef/>
      </w:r>
      <w:r>
        <w:t xml:space="preserve"> Siehe: </w:t>
      </w:r>
      <w:hyperlink r:id="rId381" w:history="1">
        <w:r w:rsidRPr="003516DB">
          <w:rPr>
            <w:rStyle w:val="Hyperlink"/>
          </w:rPr>
          <w:t>https://de.wikipedia.org/wiki/Offshore-Windpark_alpha_ventus</w:t>
        </w:r>
      </w:hyperlink>
      <w:r>
        <w:t xml:space="preserve"> - Zugegriffen: 17.04.2025. </w:t>
      </w:r>
    </w:p>
  </w:footnote>
  <w:footnote w:id="484">
    <w:p w14:paraId="340B06C5" w14:textId="77777777" w:rsidR="00E01D77" w:rsidRDefault="00E01D77" w:rsidP="00E01D77">
      <w:pPr>
        <w:pStyle w:val="Funotentext"/>
      </w:pPr>
      <w:r>
        <w:rPr>
          <w:rStyle w:val="Funotenzeichen"/>
        </w:rPr>
        <w:footnoteRef/>
      </w:r>
      <w:r>
        <w:t xml:space="preserve"> Die Anlagen haben alle 5 MW Leistung, sind aber unterschiedlich gebaut: „</w:t>
      </w:r>
      <w:r w:rsidRPr="00211FA3">
        <w:t xml:space="preserve">Sechs Anlagen (Typ M5000) lieferte die Firma Adwen (vormals AREVA Wind bzw. </w:t>
      </w:r>
      <w:proofErr w:type="spellStart"/>
      <w:r w:rsidRPr="00211FA3">
        <w:t>Multibrid</w:t>
      </w:r>
      <w:proofErr w:type="spellEnd"/>
      <w:r w:rsidRPr="00211FA3">
        <w:t xml:space="preserve">), sechs Anlagen (Typ 5M) kommen von Senvion (vormals </w:t>
      </w:r>
      <w:proofErr w:type="spellStart"/>
      <w:r w:rsidRPr="00211FA3">
        <w:t>REpower</w:t>
      </w:r>
      <w:proofErr w:type="spellEnd"/>
      <w:r w:rsidRPr="00211FA3">
        <w:t xml:space="preserve"> Systems). In den äußeren Maßen sind die Anlagen durchaus vergleichbar – das technische Innenleben weist jedoch große Unterschiede auf. Beide Anlagen begegnen auf ganz verschiedene Weise den Herausforderungen des Standortes: aggressiver Seeluft, hohen Windgeschwindigkeiten und eingeschränkter Erreichbarkeit. Und auch beim Fundament setzen die Hersteller auf verschiedene Konzepte: Die Anlagen von Adwen gründen auf </w:t>
      </w:r>
      <w:proofErr w:type="spellStart"/>
      <w:r w:rsidRPr="00211FA3">
        <w:t>Tripods</w:t>
      </w:r>
      <w:proofErr w:type="spellEnd"/>
      <w:r w:rsidRPr="00211FA3">
        <w:t xml:space="preserve"> (Dreibeinen), die von Senvion auf etwas leichteren, vierbeinigen Gittermasten, den sogenannten </w:t>
      </w:r>
      <w:proofErr w:type="spellStart"/>
      <w:r w:rsidRPr="00211FA3">
        <w:t>Jackets</w:t>
      </w:r>
      <w:proofErr w:type="spellEnd"/>
      <w:r w:rsidRPr="00211FA3">
        <w:t xml:space="preserve">. Die bei </w:t>
      </w:r>
      <w:proofErr w:type="spellStart"/>
      <w:r w:rsidRPr="00211FA3">
        <w:t>alpha</w:t>
      </w:r>
      <w:proofErr w:type="spellEnd"/>
      <w:r w:rsidRPr="00211FA3">
        <w:t xml:space="preserve"> </w:t>
      </w:r>
      <w:proofErr w:type="spellStart"/>
      <w:r w:rsidRPr="00211FA3">
        <w:t>ventus</w:t>
      </w:r>
      <w:proofErr w:type="spellEnd"/>
      <w:r w:rsidRPr="00211FA3">
        <w:t xml:space="preserve"> eingesetzte Variante der </w:t>
      </w:r>
      <w:proofErr w:type="spellStart"/>
      <w:r w:rsidRPr="00211FA3">
        <w:t>Tripods</w:t>
      </w:r>
      <w:proofErr w:type="spellEnd"/>
      <w:r w:rsidRPr="00211FA3">
        <w:t xml:space="preserve"> hat sich als anfällig für Kolk erwiesen. Dieses Problem konnte für </w:t>
      </w:r>
      <w:proofErr w:type="spellStart"/>
      <w:r w:rsidRPr="00211FA3">
        <w:t>alpha</w:t>
      </w:r>
      <w:proofErr w:type="spellEnd"/>
      <w:r w:rsidRPr="00211FA3">
        <w:t xml:space="preserve"> </w:t>
      </w:r>
      <w:proofErr w:type="spellStart"/>
      <w:r w:rsidRPr="00211FA3">
        <w:t>ventus</w:t>
      </w:r>
      <w:proofErr w:type="spellEnd"/>
      <w:r w:rsidRPr="00211FA3">
        <w:t xml:space="preserve"> durch einen nachträglich aufgeschütteten Kolkschutz behoben werden.</w:t>
      </w:r>
      <w:r>
        <w:t xml:space="preserve">“ Siehe: </w:t>
      </w:r>
      <w:hyperlink r:id="rId382" w:history="1">
        <w:r w:rsidRPr="003516DB">
          <w:rPr>
            <w:rStyle w:val="Hyperlink"/>
          </w:rPr>
          <w:t>https://www.alpha-ventus.de/technik</w:t>
        </w:r>
      </w:hyperlink>
      <w:r>
        <w:t xml:space="preserve"> - Zugegriffen: 17.04.2025. Siehe auch: </w:t>
      </w:r>
      <w:hyperlink r:id="rId383" w:history="1">
        <w:r w:rsidRPr="003516DB">
          <w:rPr>
            <w:rStyle w:val="Hyperlink"/>
          </w:rPr>
          <w:t>https://de.wikipedia.org/wiki/Offshore-Windpark_alpha_ventus</w:t>
        </w:r>
      </w:hyperlink>
      <w:r>
        <w:t xml:space="preserve"> - Zugegriffen: 17.04.2025. </w:t>
      </w:r>
    </w:p>
  </w:footnote>
  <w:footnote w:id="485">
    <w:p w14:paraId="4B9FE7D1" w14:textId="77777777" w:rsidR="00161F1B" w:rsidRPr="00760C50" w:rsidRDefault="00161F1B" w:rsidP="00161F1B">
      <w:pPr>
        <w:pStyle w:val="Funotentext"/>
      </w:pPr>
      <w:r>
        <w:rPr>
          <w:rStyle w:val="Funotenzeichen"/>
        </w:rPr>
        <w:footnoteRef/>
      </w:r>
      <w:r>
        <w:t xml:space="preserve"> „(5) Das Bundesamt für Seeschifffahrt und Hydrographie kann den Planfeststellungsbeschluss oder die Plangenehmigung ganz oder teilweise aufheben, wenn 1. Einrichtungen, die Gegenstand des Planfeststellungsbeschlusses oder der Plangenehmigung sind, während eines Zeitraums von mehr als einem Jahr nicht mehr betrieben worden sind oder … </w:t>
      </w:r>
      <w:r w:rsidRPr="00760C50">
        <w:t xml:space="preserve">(…)“, siehe: </w:t>
      </w:r>
      <w:hyperlink r:id="rId384" w:history="1">
        <w:r w:rsidRPr="003516DB">
          <w:rPr>
            <w:rStyle w:val="Hyperlink"/>
          </w:rPr>
          <w:t>https://www.gesetze-im-internet.de/windseeg/BJNR231000016.html</w:t>
        </w:r>
      </w:hyperlink>
      <w:r>
        <w:t xml:space="preserve"> - Zugegriffen: 17.04.2025. </w:t>
      </w:r>
    </w:p>
  </w:footnote>
  <w:footnote w:id="486">
    <w:p w14:paraId="260F90DB" w14:textId="77777777" w:rsidR="00E01D77" w:rsidRDefault="00E01D77" w:rsidP="00E01D77">
      <w:pPr>
        <w:pStyle w:val="Funotentext"/>
      </w:pPr>
      <w:r>
        <w:rPr>
          <w:rStyle w:val="Funotenzeichen"/>
        </w:rPr>
        <w:footnoteRef/>
      </w:r>
      <w:r>
        <w:t xml:space="preserve"> S. 2, hier war die Verlängerung nur auf 5 Jahre möglich (2020). Siehe: </w:t>
      </w:r>
      <w:hyperlink r:id="rId385" w:history="1">
        <w:r w:rsidRPr="003516DB">
          <w:rPr>
            <w:rStyle w:val="Hyperlink"/>
          </w:rPr>
          <w:t>https://media.suub.uni-bremen.de/handle/elib/5846</w:t>
        </w:r>
      </w:hyperlink>
      <w:r>
        <w:t xml:space="preserve"> - Zugegriffen: 11.04.2025. </w:t>
      </w:r>
    </w:p>
  </w:footnote>
  <w:footnote w:id="487">
    <w:p w14:paraId="3E34DA81" w14:textId="77777777" w:rsidR="00E01D77" w:rsidRDefault="00E01D77" w:rsidP="00E01D77">
      <w:pPr>
        <w:pStyle w:val="Funotentext"/>
      </w:pPr>
      <w:r>
        <w:rPr>
          <w:rStyle w:val="Funotenzeichen"/>
        </w:rPr>
        <w:footnoteRef/>
      </w:r>
      <w:r>
        <w:t xml:space="preserve"> Siehe: </w:t>
      </w:r>
      <w:hyperlink r:id="rId386" w:history="1">
        <w:r w:rsidRPr="003516DB">
          <w:rPr>
            <w:rStyle w:val="Hyperlink"/>
          </w:rPr>
          <w:t>https://www.seeoff.de/</w:t>
        </w:r>
      </w:hyperlink>
      <w:r>
        <w:t xml:space="preserve"> </w:t>
      </w:r>
    </w:p>
  </w:footnote>
  <w:footnote w:id="488">
    <w:p w14:paraId="40E99F06" w14:textId="68AB63C0" w:rsidR="00C834DB" w:rsidRDefault="00C834DB">
      <w:pPr>
        <w:pStyle w:val="Funotentext"/>
      </w:pPr>
      <w:r>
        <w:rPr>
          <w:rStyle w:val="Funotenzeichen"/>
        </w:rPr>
        <w:footnoteRef/>
      </w:r>
      <w:r>
        <w:t xml:space="preserve"> Sebstian Strauß. Wohin mit dem Müll der alten Windkraftanlagen. FAZ, 07.10.2024. </w:t>
      </w:r>
    </w:p>
  </w:footnote>
  <w:footnote w:id="489">
    <w:p w14:paraId="75F6D042" w14:textId="77777777" w:rsidR="00B5269F" w:rsidRDefault="00B5269F" w:rsidP="00B5269F">
      <w:pPr>
        <w:pStyle w:val="Funotentext"/>
      </w:pPr>
      <w:r>
        <w:rPr>
          <w:rStyle w:val="Funotenzeichen"/>
        </w:rPr>
        <w:footnoteRef/>
      </w:r>
      <w:r>
        <w:t xml:space="preserve"> Siehe: </w:t>
      </w:r>
      <w:hyperlink r:id="rId387" w:history="1">
        <w:r w:rsidRPr="00F77D64">
          <w:rPr>
            <w:rStyle w:val="Hyperlink"/>
          </w:rPr>
          <w:t>https://www.basf.com/global/de/who-we-are/organization/group-companies/BASF_Renewable-Energy-GmbH/projects</w:t>
        </w:r>
      </w:hyperlink>
      <w:r>
        <w:t xml:space="preserve"> - Zugegriffen: 10.06.2025. </w:t>
      </w:r>
    </w:p>
  </w:footnote>
  <w:footnote w:id="490">
    <w:p w14:paraId="3F62A7F6" w14:textId="77777777" w:rsidR="00E01D77" w:rsidRDefault="00E01D77" w:rsidP="00E01D77">
      <w:pPr>
        <w:pStyle w:val="Funotentext"/>
      </w:pPr>
      <w:r>
        <w:rPr>
          <w:rStyle w:val="Funotenzeichen"/>
        </w:rPr>
        <w:footnoteRef/>
      </w:r>
      <w:r>
        <w:t xml:space="preserve"> Siehe: Pressemitteilung, 07.06.2024. 60 Gigawatt Offshore-Windenergie bis 2037. In: </w:t>
      </w:r>
      <w:hyperlink r:id="rId388" w:history="1">
        <w:r w:rsidRPr="00367CDD">
          <w:rPr>
            <w:rStyle w:val="Hyperlink"/>
          </w:rPr>
          <w:t>https://www.bmwk.de/Redaktion/DE/Pressemitteilungen/2024/06/20240607-60-gigawatt-offshore-windenergie-bis-2037.html</w:t>
        </w:r>
      </w:hyperlink>
      <w:r>
        <w:t xml:space="preserve"> - Zugegriffen: 28.06.2024. </w:t>
      </w:r>
    </w:p>
  </w:footnote>
  <w:footnote w:id="491">
    <w:p w14:paraId="3A3A1EC8" w14:textId="75E27302" w:rsidR="00C834DB" w:rsidRPr="00C834DB" w:rsidRDefault="00C834DB">
      <w:pPr>
        <w:pStyle w:val="Funotentext"/>
      </w:pPr>
      <w:r>
        <w:rPr>
          <w:rStyle w:val="Funotenzeichen"/>
        </w:rPr>
        <w:footnoteRef/>
      </w:r>
      <w:r w:rsidRPr="00C834DB">
        <w:t xml:space="preserve"> </w:t>
      </w:r>
      <w:r>
        <w:t xml:space="preserve">Siehe: </w:t>
      </w:r>
      <w:hyperlink r:id="rId389" w:history="1">
        <w:r w:rsidR="00FB6AB3" w:rsidRPr="00E66575">
          <w:rPr>
            <w:rStyle w:val="Hyperlink"/>
          </w:rPr>
          <w:t>https://www.bundeswirtschaftsministerium.de/Redaktion/DE/Pressemitteilungen/2024/06/20240607-60-gigawatt-offshore-windenergie-bis-2037.html</w:t>
        </w:r>
      </w:hyperlink>
      <w:r w:rsidRPr="00C834DB">
        <w:t xml:space="preserve"> - Zu</w:t>
      </w:r>
      <w:r>
        <w:t>gegriffen: 06.07.2025.</w:t>
      </w:r>
    </w:p>
  </w:footnote>
  <w:footnote w:id="492">
    <w:p w14:paraId="46D24B94" w14:textId="77777777" w:rsidR="00E01D77" w:rsidRDefault="00E01D77" w:rsidP="00E01D77">
      <w:pPr>
        <w:pStyle w:val="Funotentext"/>
      </w:pPr>
      <w:r>
        <w:rPr>
          <w:rStyle w:val="Funotenzeichen"/>
        </w:rPr>
        <w:footnoteRef/>
      </w:r>
      <w:r>
        <w:t xml:space="preserve"> Kirch et al. 2022: 7.</w:t>
      </w:r>
    </w:p>
  </w:footnote>
  <w:footnote w:id="493">
    <w:p w14:paraId="0CAA43FC" w14:textId="77777777" w:rsidR="00E01D77" w:rsidRDefault="00E01D77" w:rsidP="00E01D77">
      <w:pPr>
        <w:pStyle w:val="Funotentext"/>
      </w:pPr>
      <w:r>
        <w:rPr>
          <w:rStyle w:val="Funotenzeichen"/>
        </w:rPr>
        <w:footnoteRef/>
      </w:r>
      <w:r>
        <w:t xml:space="preserve"> Kirch et al. 2022: 8.</w:t>
      </w:r>
    </w:p>
  </w:footnote>
  <w:footnote w:id="494">
    <w:p w14:paraId="7AFEDE81" w14:textId="77777777" w:rsidR="00E01D77" w:rsidRDefault="00E01D77" w:rsidP="00E01D77">
      <w:pPr>
        <w:pStyle w:val="Funotentext"/>
      </w:pPr>
      <w:r>
        <w:rPr>
          <w:rStyle w:val="Funotenzeichen"/>
        </w:rPr>
        <w:footnoteRef/>
      </w:r>
      <w:r>
        <w:t xml:space="preserve"> Siehe: </w:t>
      </w:r>
      <w:hyperlink r:id="rId390" w:history="1">
        <w:r w:rsidRPr="00724584">
          <w:rPr>
            <w:rStyle w:val="Hyperlink"/>
          </w:rPr>
          <w:t>https://de.wikipedia.org/wiki/Energiesicherungsgesetz</w:t>
        </w:r>
      </w:hyperlink>
      <w:r>
        <w:t xml:space="preserve"> - Zugegriffen: 05.12.2024. Siehe das Gesetz hier: </w:t>
      </w:r>
      <w:hyperlink r:id="rId391" w:history="1">
        <w:r w:rsidRPr="007B7E97">
          <w:rPr>
            <w:rStyle w:val="Hyperlink"/>
          </w:rPr>
          <w:t>https://www.gesetze-im-internet.de/ensig_1975/index.html</w:t>
        </w:r>
      </w:hyperlink>
      <w:r>
        <w:t xml:space="preserve"> - Zugegriffen: 05.12.2024. </w:t>
      </w:r>
    </w:p>
  </w:footnote>
  <w:footnote w:id="495">
    <w:p w14:paraId="1EAAF167" w14:textId="77777777" w:rsidR="00E01D77" w:rsidRDefault="00E01D77" w:rsidP="00E01D77">
      <w:pPr>
        <w:pStyle w:val="Funotentext"/>
      </w:pPr>
      <w:r>
        <w:rPr>
          <w:rStyle w:val="Funotenzeichen"/>
        </w:rPr>
        <w:footnoteRef/>
      </w:r>
      <w:r>
        <w:t xml:space="preserve"> Siehe: </w:t>
      </w:r>
      <w:hyperlink r:id="rId392" w:history="1">
        <w:r w:rsidRPr="00724584">
          <w:rPr>
            <w:rStyle w:val="Hyperlink"/>
          </w:rPr>
          <w:t>https://de.wikipedia.org/wiki/Energiesicherungsgesetz</w:t>
        </w:r>
      </w:hyperlink>
      <w:r>
        <w:t xml:space="preserve"> - Zugegriffen: 05.12.2024. Siehe das Gesetz hier: </w:t>
      </w:r>
      <w:hyperlink r:id="rId393" w:history="1">
        <w:r w:rsidRPr="007B7E97">
          <w:rPr>
            <w:rStyle w:val="Hyperlink"/>
          </w:rPr>
          <w:t>https://www.gesetze-im-internet.de/ensig_1975/index.html</w:t>
        </w:r>
      </w:hyperlink>
      <w:r>
        <w:t xml:space="preserve"> - Zugegriffen: 05.12.2024. </w:t>
      </w:r>
    </w:p>
  </w:footnote>
  <w:footnote w:id="496">
    <w:p w14:paraId="1EFBBDAF" w14:textId="77777777" w:rsidR="00E01D77" w:rsidRDefault="00E01D77" w:rsidP="00E01D77">
      <w:pPr>
        <w:pStyle w:val="Funotentext"/>
      </w:pPr>
      <w:r>
        <w:rPr>
          <w:rStyle w:val="Funotenzeichen"/>
        </w:rPr>
        <w:footnoteRef/>
      </w:r>
      <w:r>
        <w:t xml:space="preserve"> Siehe: </w:t>
      </w:r>
      <w:hyperlink r:id="rId394" w:history="1">
        <w:r w:rsidRPr="00724584">
          <w:rPr>
            <w:rStyle w:val="Hyperlink"/>
          </w:rPr>
          <w:t>https://www.bmwk.de/Redaktion/DE/Pressemitteilungen/2022/10/20221007-bundesrat-verabschiedet-ensig-30.html</w:t>
        </w:r>
      </w:hyperlink>
      <w:r>
        <w:t xml:space="preserve"> - Zugegriffen: 05.12.2024. </w:t>
      </w:r>
    </w:p>
  </w:footnote>
  <w:footnote w:id="497">
    <w:p w14:paraId="3AA89E11" w14:textId="510E22FB" w:rsidR="00E01D77" w:rsidRDefault="00E01D77" w:rsidP="00E01D77">
      <w:pPr>
        <w:pStyle w:val="Funotentext"/>
      </w:pPr>
      <w:r>
        <w:rPr>
          <w:rStyle w:val="Funotenzeichen"/>
        </w:rPr>
        <w:footnoteRef/>
      </w:r>
      <w:r>
        <w:t xml:space="preserve"> „Es werden zudem zwei Änderungen vorgenommen, um kurzfristig mehr Flächen für die Windenergie an Land verfügbar zu machen:</w:t>
      </w:r>
      <w:r w:rsidR="00B60E47">
        <w:t xml:space="preserve"> </w:t>
      </w:r>
      <w:r>
        <w:t xml:space="preserve">Eine gesetzliche Klarstellung zur sogenannten „isolierten Positivplanung“ schafft Anreize, mehr Rechtssicherheit und Flexibilität für die Kommunen, im Fall einer bestehenden Planung mit Ausschlusswirkung zusätzliche Flächen für die Windenergie an Land auszuweisen. Zudem wird der Ausweisung von Windenergiegebieten im Entwurfsstadium eine positive Vorwirkung verliehen, sodass bereits auf dieser Grundlage Windenergieanlagen zugelassen werden können.“ Siehe: </w:t>
      </w:r>
      <w:hyperlink r:id="rId395" w:history="1">
        <w:r w:rsidRPr="007B7E97">
          <w:rPr>
            <w:rStyle w:val="Hyperlink"/>
          </w:rPr>
          <w:t>https://www.bmwk.de/Redaktion/DE/Pressemitteilungen/2022/10/20221007-bundesrat-verabschiedet-ensig-30.html</w:t>
        </w:r>
      </w:hyperlink>
      <w:r>
        <w:t xml:space="preserve"> - Zugegriffen: 31.12.2024. </w:t>
      </w:r>
    </w:p>
  </w:footnote>
  <w:footnote w:id="498">
    <w:p w14:paraId="71C4D48E" w14:textId="77777777" w:rsidR="00E01D77" w:rsidRDefault="00E01D77" w:rsidP="00E01D77">
      <w:pPr>
        <w:pStyle w:val="Funotentext"/>
      </w:pPr>
      <w:r>
        <w:rPr>
          <w:rStyle w:val="Funotenzeichen"/>
        </w:rPr>
        <w:footnoteRef/>
      </w:r>
      <w:r>
        <w:t xml:space="preserve"> Eine Übersicht über die Monitoringberichte findet sich auf der folgenden Webseite: </w:t>
      </w:r>
      <w:hyperlink r:id="rId396" w:history="1">
        <w:r w:rsidRPr="00A0302A">
          <w:rPr>
            <w:rStyle w:val="Hyperlink"/>
          </w:rPr>
          <w:t>https://www.bmwk.de/Redaktion/DE/Artikel/Energie/monitoring-prozess.html</w:t>
        </w:r>
      </w:hyperlink>
      <w:r>
        <w:t xml:space="preserve"> - der BMWK Monitoringbericht 2024 befindet sich hier: </w:t>
      </w:r>
      <w:hyperlink r:id="rId397" w:history="1">
        <w:r w:rsidRPr="00A0302A">
          <w:rPr>
            <w:rStyle w:val="Hyperlink"/>
          </w:rPr>
          <w:t>https://www.bmwk.de/Redaktion/DE/Publikationen/Energie/monitoringbericht-expertenkommission-zum-energiewende-monitoring.pdf?__blob=publicationFile&amp;v=6</w:t>
        </w:r>
      </w:hyperlink>
      <w:r>
        <w:t xml:space="preserve"> – Zugegriffen: 19.07.2024. </w:t>
      </w:r>
    </w:p>
  </w:footnote>
  <w:footnote w:id="499">
    <w:p w14:paraId="271B3862" w14:textId="77777777" w:rsidR="00E01D77" w:rsidRDefault="00E01D77" w:rsidP="00E01D77">
      <w:pPr>
        <w:pStyle w:val="Funotentext"/>
      </w:pPr>
      <w:r>
        <w:rPr>
          <w:rStyle w:val="Funotenzeichen"/>
        </w:rPr>
        <w:footnoteRef/>
      </w:r>
      <w:r>
        <w:t xml:space="preserve"> BMWK Monitoringbericht 2024: 61.</w:t>
      </w:r>
    </w:p>
  </w:footnote>
  <w:footnote w:id="500">
    <w:p w14:paraId="5A4ED78C" w14:textId="77777777" w:rsidR="00E01D77" w:rsidRDefault="00E01D77" w:rsidP="00E01D77">
      <w:pPr>
        <w:pStyle w:val="Funotentext"/>
      </w:pPr>
      <w:r>
        <w:rPr>
          <w:rStyle w:val="Funotenzeichen"/>
        </w:rPr>
        <w:footnoteRef/>
      </w:r>
      <w:r>
        <w:t xml:space="preserve"> </w:t>
      </w:r>
      <w:r w:rsidRPr="00BF0246">
        <w:t>BMWK Monitoringbericht 2024: 6</w:t>
      </w:r>
      <w:r>
        <w:t>3</w:t>
      </w:r>
      <w:r w:rsidRPr="00BF0246">
        <w:t>.</w:t>
      </w:r>
    </w:p>
  </w:footnote>
  <w:footnote w:id="501">
    <w:p w14:paraId="1DB00ECC" w14:textId="77777777" w:rsidR="00E01D77" w:rsidRDefault="00E01D77" w:rsidP="00E01D77">
      <w:pPr>
        <w:pStyle w:val="Funotentext"/>
      </w:pPr>
      <w:r>
        <w:rPr>
          <w:rStyle w:val="Funotenzeichen"/>
        </w:rPr>
        <w:footnoteRef/>
      </w:r>
      <w:r>
        <w:t xml:space="preserve"> Windkraft verfehlt Ziel. FAZ, 19.07.2024.</w:t>
      </w:r>
    </w:p>
  </w:footnote>
  <w:footnote w:id="502">
    <w:p w14:paraId="2F6D0A90" w14:textId="61FFBA47" w:rsidR="00FA1537" w:rsidRDefault="00FA1537">
      <w:pPr>
        <w:pStyle w:val="Funotentext"/>
      </w:pPr>
      <w:r>
        <w:rPr>
          <w:rStyle w:val="Funotenzeichen"/>
        </w:rPr>
        <w:footnoteRef/>
      </w:r>
      <w:r>
        <w:t xml:space="preserve"> Siehe Pressemitteilung, </w:t>
      </w:r>
      <w:r w:rsidR="00AF407C">
        <w:t>Bundesnetzagentur</w:t>
      </w:r>
      <w:r>
        <w:t xml:space="preserve">: </w:t>
      </w:r>
      <w:hyperlink r:id="rId398" w:history="1">
        <w:r w:rsidRPr="00E2084F">
          <w:rPr>
            <w:rStyle w:val="Hyperlink"/>
          </w:rPr>
          <w:t>https://www.bundesnetzagentur.de/SharedDocs/Pressemitteilungen/DE/2025/20250108_EE.html</w:t>
        </w:r>
      </w:hyperlink>
      <w:r>
        <w:t xml:space="preserve"> - Zugegriffen: 02.06.2025. </w:t>
      </w:r>
    </w:p>
  </w:footnote>
  <w:footnote w:id="503">
    <w:p w14:paraId="06346208" w14:textId="77777777" w:rsidR="00E01D77" w:rsidRPr="00E978F9" w:rsidRDefault="00E01D77" w:rsidP="00E01D77">
      <w:pPr>
        <w:pStyle w:val="Funotentext"/>
      </w:pPr>
      <w:r>
        <w:rPr>
          <w:rStyle w:val="Funotenzeichen"/>
        </w:rPr>
        <w:footnoteRef/>
      </w:r>
      <w:r w:rsidRPr="00E978F9">
        <w:t xml:space="preserve"> BMWK Monitoringbericht 2024: 66.</w:t>
      </w:r>
    </w:p>
  </w:footnote>
  <w:footnote w:id="504">
    <w:p w14:paraId="22A1900B" w14:textId="77777777" w:rsidR="00E01D77" w:rsidRDefault="00E01D77" w:rsidP="00E01D77">
      <w:pPr>
        <w:pStyle w:val="Funotentext"/>
      </w:pPr>
      <w:r>
        <w:rPr>
          <w:rStyle w:val="Funotenzeichen"/>
        </w:rPr>
        <w:footnoteRef/>
      </w:r>
      <w:r>
        <w:t xml:space="preserve"> Habeck: Bieterrekord für neue Windräder an Land. FAZ, 17.08.2024.</w:t>
      </w:r>
    </w:p>
  </w:footnote>
  <w:footnote w:id="505">
    <w:p w14:paraId="464D8E9B" w14:textId="77777777" w:rsidR="00AF407C" w:rsidRDefault="00AF407C" w:rsidP="00AF407C">
      <w:pPr>
        <w:pStyle w:val="Funotentext"/>
      </w:pPr>
      <w:r>
        <w:rPr>
          <w:rStyle w:val="Funotenzeichen"/>
        </w:rPr>
        <w:footnoteRef/>
      </w:r>
      <w:r>
        <w:t xml:space="preserve"> Siehe Pressemitteilung, Bundesnetzagentur: </w:t>
      </w:r>
      <w:hyperlink r:id="rId399" w:history="1">
        <w:r w:rsidRPr="00E2084F">
          <w:rPr>
            <w:rStyle w:val="Hyperlink"/>
          </w:rPr>
          <w:t>https://www.bundesnetzagentur.de/SharedDocs/Pressemitteilungen/DE/2025/20250108_EE.html</w:t>
        </w:r>
      </w:hyperlink>
      <w:r>
        <w:t xml:space="preserve"> - Zugegriffen: 02.06.2025. </w:t>
      </w:r>
    </w:p>
  </w:footnote>
  <w:footnote w:id="506">
    <w:p w14:paraId="4D2BBBAE" w14:textId="08E9A07F" w:rsidR="0003109A" w:rsidRDefault="0003109A">
      <w:pPr>
        <w:pStyle w:val="Funotentext"/>
      </w:pPr>
      <w:r>
        <w:rPr>
          <w:rStyle w:val="Funotenzeichen"/>
        </w:rPr>
        <w:footnoteRef/>
      </w:r>
      <w:r>
        <w:t xml:space="preserve"> Siehe: </w:t>
      </w:r>
      <w:hyperlink r:id="rId400" w:history="1">
        <w:r w:rsidRPr="00E2084F">
          <w:rPr>
            <w:rStyle w:val="Hyperlink"/>
          </w:rPr>
          <w:t>https://de.wikipedia.org/wiki/Windpark_Werder/Kessin</w:t>
        </w:r>
      </w:hyperlink>
      <w:r>
        <w:t xml:space="preserve"> - Zugegriffen: 02.06.2025. </w:t>
      </w:r>
    </w:p>
  </w:footnote>
  <w:footnote w:id="507">
    <w:p w14:paraId="69B29A37" w14:textId="76582AC4" w:rsidR="0005099A" w:rsidRDefault="0005099A">
      <w:pPr>
        <w:pStyle w:val="Funotentext"/>
      </w:pPr>
      <w:r>
        <w:rPr>
          <w:rStyle w:val="Funotenzeichen"/>
        </w:rPr>
        <w:footnoteRef/>
      </w:r>
      <w:r>
        <w:t xml:space="preserve"> Dena </w:t>
      </w:r>
      <w:proofErr w:type="spellStart"/>
      <w:r>
        <w:t>StiPE</w:t>
      </w:r>
      <w:proofErr w:type="spellEnd"/>
      <w:r>
        <w:t xml:space="preserve"> </w:t>
      </w:r>
      <w:r w:rsidR="000D2AA3">
        <w:t xml:space="preserve">Bericht </w:t>
      </w:r>
      <w:r>
        <w:t xml:space="preserve">2022: 33. </w:t>
      </w:r>
    </w:p>
  </w:footnote>
  <w:footnote w:id="508">
    <w:p w14:paraId="2B1FC63F" w14:textId="77777777" w:rsidR="00E01D77" w:rsidRPr="00DC3A9A" w:rsidRDefault="00E01D77" w:rsidP="00E01D77">
      <w:pPr>
        <w:pStyle w:val="Funotentext"/>
      </w:pPr>
      <w:r>
        <w:rPr>
          <w:rStyle w:val="Funotenzeichen"/>
        </w:rPr>
        <w:footnoteRef/>
      </w:r>
      <w:r w:rsidRPr="00DC3A9A">
        <w:t xml:space="preserve"> Umweltbundesamt. Po</w:t>
      </w:r>
      <w:r>
        <w:t>t</w:t>
      </w:r>
      <w:r w:rsidRPr="00DC3A9A">
        <w:t xml:space="preserve">enzial der </w:t>
      </w:r>
      <w:r>
        <w:t xml:space="preserve">Windenergie an Land, September 2013, siehe: </w:t>
      </w:r>
      <w:hyperlink r:id="rId401" w:history="1">
        <w:r w:rsidRPr="00A0302A">
          <w:rPr>
            <w:rStyle w:val="Hyperlink"/>
          </w:rPr>
          <w:t>https://www.umweltbundesamt.de/publikationen/potenzial-windenergie-an-land</w:t>
        </w:r>
      </w:hyperlink>
      <w:r>
        <w:t xml:space="preserve"> - siehe Direktlink:  </w:t>
      </w:r>
      <w:hyperlink r:id="rId402" w:history="1">
        <w:r w:rsidRPr="00A0302A">
          <w:rPr>
            <w:rStyle w:val="Hyperlink"/>
          </w:rPr>
          <w:t>https://www.umweltbundesamt.de/sites/default/files/medien/378/publikationen/potenzial_der_windenergie.pdf</w:t>
        </w:r>
      </w:hyperlink>
      <w:r>
        <w:t xml:space="preserve"> - Zugegriffen: 19.07.2024. </w:t>
      </w:r>
    </w:p>
  </w:footnote>
  <w:footnote w:id="509">
    <w:p w14:paraId="7D0526F7" w14:textId="77777777" w:rsidR="00E01D77" w:rsidRPr="005F3652" w:rsidRDefault="00E01D77" w:rsidP="00E01D77">
      <w:pPr>
        <w:pStyle w:val="Funotentext"/>
      </w:pPr>
      <w:r>
        <w:rPr>
          <w:rStyle w:val="Funotenzeichen"/>
        </w:rPr>
        <w:footnoteRef/>
      </w:r>
      <w:r w:rsidRPr="005F3652">
        <w:t xml:space="preserve"> BMWK Monitoringbericht 2024: 69.</w:t>
      </w:r>
    </w:p>
  </w:footnote>
  <w:footnote w:id="510">
    <w:p w14:paraId="72B20202" w14:textId="77777777" w:rsidR="00AF407C" w:rsidRDefault="00AF407C" w:rsidP="00AF407C">
      <w:pPr>
        <w:pStyle w:val="Funotentext"/>
      </w:pPr>
      <w:r>
        <w:rPr>
          <w:rStyle w:val="Funotenzeichen"/>
        </w:rPr>
        <w:footnoteRef/>
      </w:r>
      <w:r>
        <w:t xml:space="preserve"> Siehe Pressemitteilung, Bundesnetzagentur: </w:t>
      </w:r>
      <w:hyperlink r:id="rId403" w:history="1">
        <w:r w:rsidRPr="00E2084F">
          <w:rPr>
            <w:rStyle w:val="Hyperlink"/>
          </w:rPr>
          <w:t>https://www.bundesnetzagentur.de/SharedDocs/Pressemitteilungen/DE/2025/20250108_EE.html</w:t>
        </w:r>
      </w:hyperlink>
      <w:r>
        <w:t xml:space="preserve"> - Zugegriffen: 02.06.2025. </w:t>
      </w:r>
    </w:p>
  </w:footnote>
  <w:footnote w:id="511">
    <w:p w14:paraId="49B4C7E4" w14:textId="77777777" w:rsidR="00E01D77" w:rsidRDefault="00E01D77" w:rsidP="00E01D77">
      <w:pPr>
        <w:pStyle w:val="Funotentext"/>
      </w:pPr>
      <w:r>
        <w:rPr>
          <w:rStyle w:val="Funotenzeichen"/>
        </w:rPr>
        <w:footnoteRef/>
      </w:r>
      <w:r>
        <w:t xml:space="preserve"> BMWK Monitoringbericht 2024: 70. </w:t>
      </w:r>
    </w:p>
  </w:footnote>
  <w:footnote w:id="512">
    <w:p w14:paraId="376560E7" w14:textId="77777777" w:rsidR="00E01D77" w:rsidRDefault="00E01D77" w:rsidP="00E01D77">
      <w:pPr>
        <w:pStyle w:val="Funotentext"/>
      </w:pPr>
      <w:r>
        <w:rPr>
          <w:rStyle w:val="Funotenzeichen"/>
        </w:rPr>
        <w:footnoteRef/>
      </w:r>
      <w:r>
        <w:t xml:space="preserve"> Christian Geinitz. Wer zahl die Milliarden für die Stromleitungen? FAZ, 12.04.2024.</w:t>
      </w:r>
    </w:p>
  </w:footnote>
  <w:footnote w:id="513">
    <w:p w14:paraId="4743470C" w14:textId="77777777" w:rsidR="00E01D77" w:rsidRDefault="00E01D77" w:rsidP="00E01D77">
      <w:pPr>
        <w:pStyle w:val="Funotentext"/>
      </w:pPr>
      <w:r>
        <w:rPr>
          <w:rStyle w:val="Funotenzeichen"/>
        </w:rPr>
        <w:footnoteRef/>
      </w:r>
      <w:r>
        <w:t xml:space="preserve"> Siehe: </w:t>
      </w:r>
      <w:r w:rsidRPr="001914CF">
        <w:t>https://www.smulders.com/de/offshore-wind</w:t>
      </w:r>
    </w:p>
  </w:footnote>
  <w:footnote w:id="514">
    <w:p w14:paraId="7B097BFC" w14:textId="77777777" w:rsidR="00E01D77" w:rsidRDefault="00E01D77" w:rsidP="00E01D77">
      <w:pPr>
        <w:pStyle w:val="Funotentext"/>
      </w:pPr>
      <w:r>
        <w:rPr>
          <w:rStyle w:val="Funotenzeichen"/>
        </w:rPr>
        <w:footnoteRef/>
      </w:r>
      <w:r>
        <w:t xml:space="preserve"> Nach zwei Jahren ist es gelungen eine Einigung zwischen Marine-Nutzung und Smulders und Neptun zu treffen, siehe: </w:t>
      </w:r>
      <w:hyperlink r:id="rId404" w:history="1">
        <w:r w:rsidRPr="00A0302A">
          <w:rPr>
            <w:rStyle w:val="Hyperlink"/>
          </w:rPr>
          <w:t>https://www.offshore-stiftung.de/pressestatement-dreiecksvereinbarung-f%C3%BCr-die-ko-nutzung-der-warnow-werft-mit-dem-marinearsenal-und-0</w:t>
        </w:r>
      </w:hyperlink>
      <w:r>
        <w:t xml:space="preserve"> – Zugegriffen: 19.07.2024.</w:t>
      </w:r>
    </w:p>
  </w:footnote>
  <w:footnote w:id="515">
    <w:p w14:paraId="35E67094" w14:textId="77777777" w:rsidR="00E01D77" w:rsidRDefault="00E01D77" w:rsidP="00E01D77">
      <w:pPr>
        <w:pStyle w:val="Funotentext"/>
      </w:pPr>
      <w:r>
        <w:rPr>
          <w:rStyle w:val="Funotenzeichen"/>
        </w:rPr>
        <w:footnoteRef/>
      </w:r>
      <w:r>
        <w:t xml:space="preserve"> Siehe: </w:t>
      </w:r>
      <w:hyperlink r:id="rId405" w:history="1">
        <w:r w:rsidRPr="00A0302A">
          <w:rPr>
            <w:rStyle w:val="Hyperlink"/>
          </w:rPr>
          <w:t>https://www.wind-energie.de/presse/pressemitteilungen/detail/ausbau-der-offshore-windenergie-jetzt-lieferketten-und-haefen-staerken/</w:t>
        </w:r>
      </w:hyperlink>
      <w:r>
        <w:t xml:space="preserve"> - Zugegriffen: 19.07.2024. </w:t>
      </w:r>
    </w:p>
  </w:footnote>
  <w:footnote w:id="516">
    <w:p w14:paraId="6479A552" w14:textId="77777777" w:rsidR="00E01D77" w:rsidRDefault="00E01D77" w:rsidP="00E01D77">
      <w:pPr>
        <w:pStyle w:val="Funotentext"/>
      </w:pPr>
      <w:r>
        <w:rPr>
          <w:rStyle w:val="Funotenzeichen"/>
        </w:rPr>
        <w:footnoteRef/>
      </w:r>
      <w:r>
        <w:t xml:space="preserve"> Windkraft verfehlt Ziel. FAZ, 19.07.2024.</w:t>
      </w:r>
    </w:p>
  </w:footnote>
  <w:footnote w:id="517">
    <w:p w14:paraId="29C8268A" w14:textId="77777777" w:rsidR="00E01D77" w:rsidRDefault="00E01D77" w:rsidP="00E01D77">
      <w:pPr>
        <w:pStyle w:val="Funotentext"/>
      </w:pPr>
      <w:r>
        <w:rPr>
          <w:rStyle w:val="Funotenzeichen"/>
        </w:rPr>
        <w:footnoteRef/>
      </w:r>
      <w:r>
        <w:t xml:space="preserve"> Siehe: </w:t>
      </w:r>
      <w:r w:rsidRPr="000246C3">
        <w:t>10.06.2022 · Position · Solarenergie</w:t>
      </w:r>
      <w:r>
        <w:t xml:space="preserve">. </w:t>
      </w:r>
      <w:r w:rsidRPr="000246C3">
        <w:t>Stellungnahme zur Photovoltaik-Freiflächenverordnung</w:t>
      </w:r>
      <w:r>
        <w:t xml:space="preserve">. Siehe: </w:t>
      </w:r>
      <w:hyperlink r:id="rId406" w:history="1">
        <w:r w:rsidRPr="00610882">
          <w:rPr>
            <w:rStyle w:val="Hyperlink"/>
          </w:rPr>
          <w:t>https://www.lee-nrw.de/positionen/stellungnahme-zur-photovoltaik-freiflaechenverordnung-1/</w:t>
        </w:r>
      </w:hyperlink>
      <w:r>
        <w:t xml:space="preserve"> - Zugegriffen: 07.02.2025. </w:t>
      </w:r>
    </w:p>
  </w:footnote>
  <w:footnote w:id="518">
    <w:p w14:paraId="7E7B373F" w14:textId="77777777" w:rsidR="00E01D77" w:rsidRDefault="00E01D77" w:rsidP="00E01D77">
      <w:pPr>
        <w:pStyle w:val="Funotentext"/>
      </w:pPr>
      <w:r>
        <w:rPr>
          <w:rStyle w:val="Funotenzeichen"/>
        </w:rPr>
        <w:footnoteRef/>
      </w:r>
      <w:r>
        <w:t xml:space="preserve"> Siehe: </w:t>
      </w:r>
      <w:hyperlink r:id="rId407" w:history="1">
        <w:r w:rsidRPr="00FE075F">
          <w:rPr>
            <w:rStyle w:val="Hyperlink"/>
          </w:rPr>
          <w:t>https://www.baywa-re.de/de/projekte-in-deutschland/barth-i-vi</w:t>
        </w:r>
      </w:hyperlink>
      <w:r>
        <w:t xml:space="preserve"> - Zugegriffen: 20.09.2024. </w:t>
      </w:r>
    </w:p>
  </w:footnote>
  <w:footnote w:id="519">
    <w:p w14:paraId="58037827" w14:textId="77777777" w:rsidR="00E01D77" w:rsidRDefault="00E01D77" w:rsidP="00E01D77">
      <w:pPr>
        <w:pStyle w:val="Funotentext"/>
      </w:pPr>
      <w:r>
        <w:rPr>
          <w:rStyle w:val="Funotenzeichen"/>
        </w:rPr>
        <w:footnoteRef/>
      </w:r>
      <w:r>
        <w:t xml:space="preserve"> Siehe: </w:t>
      </w:r>
      <w:r w:rsidRPr="000246C3">
        <w:t>10.06.2022 · Position · Solarenergie</w:t>
      </w:r>
      <w:r>
        <w:t xml:space="preserve">. </w:t>
      </w:r>
      <w:r w:rsidRPr="000246C3">
        <w:t>Stellungnahme zur Photovoltaik-Freiflächenverordnung</w:t>
      </w:r>
      <w:r>
        <w:t xml:space="preserve">. Siehe: </w:t>
      </w:r>
      <w:hyperlink r:id="rId408" w:history="1">
        <w:r w:rsidRPr="00610882">
          <w:rPr>
            <w:rStyle w:val="Hyperlink"/>
          </w:rPr>
          <w:t>https://www.lee-nrw.de/positionen/stellungnahme-zur-photovoltaik-freiflaechenverordnung-1/</w:t>
        </w:r>
      </w:hyperlink>
      <w:r>
        <w:t xml:space="preserve"> - Zugegriffen: 07.02.2025. Siehe auch: </w:t>
      </w:r>
      <w:hyperlink r:id="rId409" w:history="1">
        <w:r w:rsidRPr="00610882">
          <w:rPr>
            <w:rStyle w:val="Hyperlink"/>
          </w:rPr>
          <w:t>https://www.lee-nrw.de/data/documents/2022/06/10/118-62a33845049d7.pdf</w:t>
        </w:r>
      </w:hyperlink>
      <w:r>
        <w:t xml:space="preserve"> - Zugegriffen: 07.02.2025.</w:t>
      </w:r>
    </w:p>
  </w:footnote>
  <w:footnote w:id="520">
    <w:p w14:paraId="37F9428F" w14:textId="77777777" w:rsidR="00112190" w:rsidRDefault="00112190" w:rsidP="00112190">
      <w:pPr>
        <w:pStyle w:val="Funotentext"/>
      </w:pPr>
      <w:r>
        <w:rPr>
          <w:rStyle w:val="Funotenzeichen"/>
        </w:rPr>
        <w:footnoteRef/>
      </w:r>
      <w:r>
        <w:t xml:space="preserve"> Koalitionsvertrag, S. 27. Siehe: </w:t>
      </w:r>
      <w:hyperlink r:id="rId410" w:history="1">
        <w:r w:rsidRPr="009B6CAA">
          <w:rPr>
            <w:rStyle w:val="Hyperlink"/>
          </w:rPr>
          <w:t>https://www.bundesregierung.de/breg-de/aktuelles/koalitionsvertrag-2021-1990800</w:t>
        </w:r>
      </w:hyperlink>
      <w:r>
        <w:t xml:space="preserve"> - Zugegriffen: 28.11.2023. </w:t>
      </w:r>
    </w:p>
  </w:footnote>
  <w:footnote w:id="521">
    <w:p w14:paraId="707B46F5" w14:textId="5FF1D640" w:rsidR="00112190" w:rsidRDefault="00112190" w:rsidP="00112190">
      <w:pPr>
        <w:pStyle w:val="Funotentext"/>
      </w:pPr>
      <w:r>
        <w:rPr>
          <w:rStyle w:val="Funotenzeichen"/>
        </w:rPr>
        <w:footnoteRef/>
      </w:r>
      <w:r>
        <w:t xml:space="preserve"> Im Rahmen des Fit </w:t>
      </w:r>
      <w:proofErr w:type="spellStart"/>
      <w:r>
        <w:t>for</w:t>
      </w:r>
      <w:proofErr w:type="spellEnd"/>
      <w:r>
        <w:t xml:space="preserve"> 55 Pakets</w:t>
      </w:r>
      <w:r w:rsidR="00103DBB">
        <w:t xml:space="preserve">, siehe Entwurf einer Verordnung des Europäischen Parlaments und des </w:t>
      </w:r>
      <w:proofErr w:type="spellStart"/>
      <w:r w:rsidR="00103DBB">
        <w:t>rates</w:t>
      </w:r>
      <w:proofErr w:type="spellEnd"/>
      <w:r w:rsidR="00103DBB">
        <w:t xml:space="preserve"> zur Änderung der Verordnung (EU) 2019/631</w:t>
      </w:r>
      <w:r>
        <w:t xml:space="preserve">: </w:t>
      </w:r>
      <w:hyperlink r:id="rId411" w:history="1">
        <w:r w:rsidRPr="00E503C7">
          <w:rPr>
            <w:rStyle w:val="Hyperlink"/>
          </w:rPr>
          <w:t>https://www.consilium.europa.eu/en/press/press-releases/2023/03/28/fit-for-55-council-adopts-regulation-on-co2-emissions-for-new-cars-and-vans/</w:t>
        </w:r>
      </w:hyperlink>
      <w:r>
        <w:t xml:space="preserve"> - Zugegriffen: 02.12.2023. </w:t>
      </w:r>
      <w:r w:rsidR="00670C38">
        <w:t xml:space="preserve">Siehe </w:t>
      </w:r>
      <w:r w:rsidR="004E3BD4">
        <w:t xml:space="preserve">hier den konsolidierten Text der gesamten Verordnung: </w:t>
      </w:r>
      <w:hyperlink r:id="rId412" w:history="1">
        <w:r w:rsidR="004E3BD4" w:rsidRPr="00181F3A">
          <w:rPr>
            <w:rStyle w:val="Hyperlink"/>
          </w:rPr>
          <w:t>https://eur-lex.europa.eu/legal-content/EN/TXT/?uri=CELEX:02019R0631-20240101</w:t>
        </w:r>
      </w:hyperlink>
      <w:r w:rsidR="004E3BD4">
        <w:t xml:space="preserve"> – siehe die Originalverordnung in der 2019</w:t>
      </w:r>
      <w:r w:rsidR="00670C38">
        <w:t xml:space="preserve"> Fassung: </w:t>
      </w:r>
      <w:hyperlink r:id="rId413" w:history="1">
        <w:r w:rsidR="00670C38" w:rsidRPr="00181F3A">
          <w:rPr>
            <w:rStyle w:val="Hyperlink"/>
          </w:rPr>
          <w:t>https://eur-lex.europa.eu/legal-content/DE/TXT/?uri=celex:32019R0631</w:t>
        </w:r>
      </w:hyperlink>
      <w:r w:rsidR="00670C38">
        <w:t xml:space="preserve"> – Zugegriffen: 17.07.2024. </w:t>
      </w:r>
    </w:p>
  </w:footnote>
  <w:footnote w:id="522">
    <w:p w14:paraId="189CAD2A" w14:textId="367ADAA4" w:rsidR="00A95B6A" w:rsidRDefault="00A95B6A">
      <w:pPr>
        <w:pStyle w:val="Funotentext"/>
      </w:pPr>
      <w:r>
        <w:rPr>
          <w:rStyle w:val="Funotenzeichen"/>
        </w:rPr>
        <w:footnoteRef/>
      </w:r>
      <w:r>
        <w:t xml:space="preserve"> Siehe: </w:t>
      </w:r>
      <w:hyperlink r:id="rId414" w:history="1">
        <w:r w:rsidRPr="002B1437">
          <w:rPr>
            <w:rStyle w:val="Hyperlink"/>
          </w:rPr>
          <w:t>https://www.auto-motor-und-sport.de/verkehr/eu-klimaziel-plan-fit-for-55-kein-verbrenner-aus-e-fuel/</w:t>
        </w:r>
      </w:hyperlink>
      <w:r>
        <w:t xml:space="preserve"> - Zugegriffen: 27.06.2024. </w:t>
      </w:r>
    </w:p>
  </w:footnote>
  <w:footnote w:id="523">
    <w:p w14:paraId="1AB40D47" w14:textId="661F2F9C" w:rsidR="00103DBB" w:rsidRDefault="00103DBB" w:rsidP="00103DBB">
      <w:pPr>
        <w:pStyle w:val="Funotentext"/>
      </w:pPr>
      <w:r>
        <w:rPr>
          <w:rStyle w:val="Funotenzeichen"/>
        </w:rPr>
        <w:footnoteRef/>
      </w:r>
      <w:r>
        <w:t xml:space="preserve"> Siehe</w:t>
      </w:r>
      <w:r w:rsidR="00670C38">
        <w:t xml:space="preserve"> 2021/0197 (COD), PE-CONS 66/22, Brüssel 22. Februar 2023</w:t>
      </w:r>
      <w:r>
        <w:t xml:space="preserve">: </w:t>
      </w:r>
      <w:hyperlink r:id="rId415" w:history="1">
        <w:r w:rsidR="00670C38" w:rsidRPr="00181F3A">
          <w:rPr>
            <w:rStyle w:val="Hyperlink"/>
          </w:rPr>
          <w:t>https://data.consilium.europa.eu/doc/document/PE-66-2022-INIT/de/pdf</w:t>
        </w:r>
      </w:hyperlink>
      <w:r w:rsidR="00670C38">
        <w:t xml:space="preserve"> - Zugegriffen: 17.07.2024.</w:t>
      </w:r>
      <w:r w:rsidR="006E6250">
        <w:t xml:space="preserve"> Siehe die fertige Verordnung (EU) 2023/851 des Europäischen Parlaments und des Rates, 19. April 2023: </w:t>
      </w:r>
      <w:hyperlink r:id="rId416" w:history="1">
        <w:r w:rsidR="006E6250" w:rsidRPr="00181F3A">
          <w:rPr>
            <w:rStyle w:val="Hyperlink"/>
          </w:rPr>
          <w:t>https://eur-lex.europa.eu/legal-content/EN/TXT/?uri=celex:32023R0851</w:t>
        </w:r>
      </w:hyperlink>
      <w:r w:rsidR="006E6250">
        <w:t xml:space="preserve"> – Zugegriffen: 17.07.2023. </w:t>
      </w:r>
    </w:p>
  </w:footnote>
  <w:footnote w:id="524">
    <w:p w14:paraId="47114441" w14:textId="77777777" w:rsidR="00670C38" w:rsidRDefault="00670C38" w:rsidP="00670C38">
      <w:pPr>
        <w:pStyle w:val="Funotentext"/>
      </w:pPr>
      <w:r>
        <w:rPr>
          <w:rStyle w:val="Funotenzeichen"/>
        </w:rPr>
        <w:footnoteRef/>
      </w:r>
      <w:r>
        <w:t xml:space="preserve"> Siehe Interinstitutionelles Dossier:</w:t>
      </w:r>
    </w:p>
    <w:p w14:paraId="31421A77" w14:textId="03303593" w:rsidR="00670C38" w:rsidRDefault="00670C38" w:rsidP="00670C38">
      <w:pPr>
        <w:pStyle w:val="Funotentext"/>
      </w:pPr>
      <w:r>
        <w:t xml:space="preserve">2021/0197(COD), 6740/23 Add 1 Rev 2, Brüssel 27. März 2023: </w:t>
      </w:r>
      <w:hyperlink r:id="rId417" w:history="1">
        <w:r w:rsidRPr="00181F3A">
          <w:rPr>
            <w:rStyle w:val="Hyperlink"/>
          </w:rPr>
          <w:t>https://data.consilium.europa.eu/doc/document/ST-6740-2023-ADD-1-REV-2/de/pdf</w:t>
        </w:r>
      </w:hyperlink>
      <w:r>
        <w:t xml:space="preserve"> - Zugegriffen: 17.07.2024. </w:t>
      </w:r>
    </w:p>
  </w:footnote>
  <w:footnote w:id="525">
    <w:p w14:paraId="1088ECBB" w14:textId="35206E32" w:rsidR="00023EAD" w:rsidRPr="00023EAD" w:rsidRDefault="00023EAD">
      <w:pPr>
        <w:pStyle w:val="Funotentext"/>
      </w:pPr>
      <w:r>
        <w:rPr>
          <w:rStyle w:val="Funotenzeichen"/>
        </w:rPr>
        <w:footnoteRef/>
      </w:r>
      <w:r w:rsidRPr="00023EAD">
        <w:t xml:space="preserve"> Niklas Zaboji, Benjamin Wagner, Christian Mü</w:t>
      </w:r>
      <w:r>
        <w:t xml:space="preserve">ßgens, Hendrick Kafsack, Corinna Budras. Der Verbrenner ist nicht totzukriegen. FAZ, 12.06.2024. </w:t>
      </w:r>
      <w:r w:rsidR="00C23BEB">
        <w:t xml:space="preserve">Siehe auch ADAC 04.06.2024: </w:t>
      </w:r>
      <w:hyperlink r:id="rId418" w:history="1">
        <w:r w:rsidR="00C23BEB" w:rsidRPr="002B1437">
          <w:rPr>
            <w:rStyle w:val="Hyperlink"/>
          </w:rPr>
          <w:t>https://www.adac.de/news/aus-fuer-verbrenner-ab-2035/</w:t>
        </w:r>
      </w:hyperlink>
      <w:r w:rsidR="00C23BEB">
        <w:t xml:space="preserve"> - Zugegriffen: 27.06.2024. </w:t>
      </w:r>
    </w:p>
  </w:footnote>
  <w:footnote w:id="526">
    <w:p w14:paraId="60D5861E" w14:textId="77777777" w:rsidR="00023EAD" w:rsidRDefault="00023EAD" w:rsidP="00023EAD">
      <w:pPr>
        <w:pStyle w:val="Funotentext"/>
      </w:pPr>
      <w:r>
        <w:rPr>
          <w:rStyle w:val="Funotenzeichen"/>
        </w:rPr>
        <w:footnoteRef/>
      </w:r>
      <w:r>
        <w:t xml:space="preserve"> Siehe: </w:t>
      </w:r>
      <w:hyperlink r:id="rId419" w:history="1">
        <w:r w:rsidRPr="002B1437">
          <w:rPr>
            <w:rStyle w:val="Hyperlink"/>
          </w:rPr>
          <w:t>https://www.auto-motor-und-sport.de/verkehr/eu-klimaziel-plan-fit-for-55-kein-verbrenner-aus-e-fuel/</w:t>
        </w:r>
      </w:hyperlink>
      <w:r>
        <w:t xml:space="preserve"> - Zugegriffen: 27.06.2024.</w:t>
      </w:r>
    </w:p>
  </w:footnote>
  <w:footnote w:id="527">
    <w:p w14:paraId="7A8709A8" w14:textId="77777777" w:rsidR="00023EAD" w:rsidRDefault="00023EAD" w:rsidP="00023EAD">
      <w:pPr>
        <w:pStyle w:val="Funotentext"/>
      </w:pPr>
      <w:r>
        <w:rPr>
          <w:rStyle w:val="Funotenzeichen"/>
        </w:rPr>
        <w:footnoteRef/>
      </w:r>
      <w:r>
        <w:t xml:space="preserve"> Siehe: </w:t>
      </w:r>
      <w:hyperlink r:id="rId420" w:history="1">
        <w:r w:rsidRPr="002B1437">
          <w:rPr>
            <w:rStyle w:val="Hyperlink"/>
          </w:rPr>
          <w:t>https://www.adac.de/news/aus-fuer-verbrenner-ab-2035/</w:t>
        </w:r>
      </w:hyperlink>
      <w:r>
        <w:t xml:space="preserve"> - Zugegriffen: 27.06.2024.</w:t>
      </w:r>
    </w:p>
  </w:footnote>
  <w:footnote w:id="528">
    <w:p w14:paraId="1D24218B" w14:textId="77777777" w:rsidR="00023EAD" w:rsidRPr="00023EAD" w:rsidRDefault="00023EAD" w:rsidP="00023EAD">
      <w:pPr>
        <w:pStyle w:val="Funotentext"/>
      </w:pPr>
      <w:r>
        <w:rPr>
          <w:rStyle w:val="Funotenzeichen"/>
        </w:rPr>
        <w:footnoteRef/>
      </w:r>
      <w:r w:rsidRPr="00023EAD">
        <w:t xml:space="preserve"> Niklas Zaboji, Benjamin Wagner, Christian Mü</w:t>
      </w:r>
      <w:r>
        <w:t xml:space="preserve">ßgens, Hendrick Kafsack, Corinna Budras. Der Verbrenner ist nicht totzukriegen. FAZ, 12.06.2024. </w:t>
      </w:r>
    </w:p>
  </w:footnote>
  <w:footnote w:id="529">
    <w:p w14:paraId="0169E16E" w14:textId="77777777" w:rsidR="00C23BEB" w:rsidRDefault="00C23BEB" w:rsidP="00C23BEB">
      <w:pPr>
        <w:pStyle w:val="Funotentext"/>
      </w:pPr>
      <w:r>
        <w:rPr>
          <w:rStyle w:val="Funotenzeichen"/>
        </w:rPr>
        <w:footnoteRef/>
      </w:r>
      <w:r>
        <w:t xml:space="preserve"> Siehe: </w:t>
      </w:r>
      <w:hyperlink r:id="rId421" w:history="1">
        <w:r w:rsidRPr="002B1437">
          <w:rPr>
            <w:rStyle w:val="Hyperlink"/>
          </w:rPr>
          <w:t>https://www.adac.de/news/aus-fuer-verbrenner-ab-2035/</w:t>
        </w:r>
      </w:hyperlink>
      <w:r>
        <w:t xml:space="preserve"> - Zugegriffen: 27.06.2024.</w:t>
      </w:r>
    </w:p>
  </w:footnote>
  <w:footnote w:id="530">
    <w:p w14:paraId="019722AA" w14:textId="00D10DED" w:rsidR="007907C6" w:rsidRPr="007907C6" w:rsidRDefault="007907C6" w:rsidP="007907C6">
      <w:pPr>
        <w:pStyle w:val="Funotentext"/>
      </w:pPr>
      <w:r>
        <w:rPr>
          <w:rStyle w:val="Funotenzeichen"/>
        </w:rPr>
        <w:footnoteRef/>
      </w:r>
      <w:r w:rsidRPr="007907C6">
        <w:t xml:space="preserve"> </w:t>
      </w:r>
      <w:r>
        <w:t xml:space="preserve">Tobias Piller. </w:t>
      </w:r>
      <w:r w:rsidRPr="007907C6">
        <w:t>Wissing will Revision der CO2-Flottengrenzwert</w:t>
      </w:r>
      <w:r>
        <w:t xml:space="preserve">e. FAZ, 18.09.2024. </w:t>
      </w:r>
    </w:p>
  </w:footnote>
  <w:footnote w:id="531">
    <w:p w14:paraId="367389E3" w14:textId="5E2DA9A1" w:rsidR="00AF4035" w:rsidRDefault="00AF4035">
      <w:pPr>
        <w:pStyle w:val="Funotentext"/>
      </w:pPr>
      <w:r>
        <w:rPr>
          <w:rStyle w:val="Funotenzeichen"/>
        </w:rPr>
        <w:footnoteRef/>
      </w:r>
      <w:r>
        <w:t xml:space="preserve"> Steuerfreiheit für E-Fuels-Autos. FAZ, 09.10.2024. </w:t>
      </w:r>
    </w:p>
  </w:footnote>
  <w:footnote w:id="532">
    <w:p w14:paraId="4AE8DA3B" w14:textId="763DC2AE" w:rsidR="004850E7" w:rsidRPr="000C2AB7" w:rsidRDefault="004850E7">
      <w:pPr>
        <w:pStyle w:val="Funotentext"/>
      </w:pPr>
      <w:r>
        <w:rPr>
          <w:rStyle w:val="Funotenzeichen"/>
        </w:rPr>
        <w:footnoteRef/>
      </w:r>
      <w:r w:rsidRPr="004850E7">
        <w:t xml:space="preserve"> Paris will CO2-Ziele auf</w:t>
      </w:r>
      <w:r>
        <w:t xml:space="preserve">weichen. Streit um Flottengrenzwerte spitzt sich zu. </w:t>
      </w:r>
      <w:r w:rsidRPr="000C2AB7">
        <w:t xml:space="preserve">FAZ, 16.10.2024. </w:t>
      </w:r>
    </w:p>
  </w:footnote>
  <w:footnote w:id="533">
    <w:p w14:paraId="3A020D27" w14:textId="04437DF6" w:rsidR="00A35204" w:rsidRPr="00A35204" w:rsidRDefault="00A35204">
      <w:pPr>
        <w:pStyle w:val="Funotentext"/>
      </w:pPr>
      <w:r>
        <w:rPr>
          <w:rStyle w:val="Funotenzeichen"/>
        </w:rPr>
        <w:footnoteRef/>
      </w:r>
      <w:r w:rsidRPr="000C2AB7">
        <w:t xml:space="preserve"> Franziska Giffey, Martin Dulig, Olaf </w:t>
      </w:r>
      <w:proofErr w:type="spellStart"/>
      <w:r w:rsidRPr="000C2AB7">
        <w:t>Lies</w:t>
      </w:r>
      <w:proofErr w:type="spellEnd"/>
      <w:r w:rsidRPr="000C2AB7">
        <w:t xml:space="preserve">, </w:t>
      </w:r>
      <w:proofErr w:type="spellStart"/>
      <w:r w:rsidRPr="000C2AB7">
        <w:t>Kawed</w:t>
      </w:r>
      <w:proofErr w:type="spellEnd"/>
      <w:r w:rsidRPr="000C2AB7">
        <w:t xml:space="preserve"> Mansoori. </w:t>
      </w:r>
      <w:r w:rsidRPr="00A35204">
        <w:t>Ein klares Bekenntnis zur E</w:t>
      </w:r>
      <w:r>
        <w:t xml:space="preserve">-Mobilität und Erleichterungen bei den Emissionszielen. FAZ, 01.11.2024. </w:t>
      </w:r>
    </w:p>
  </w:footnote>
  <w:footnote w:id="534">
    <w:p w14:paraId="6A549668" w14:textId="77777777" w:rsidR="00F8402B" w:rsidRPr="00C85663" w:rsidRDefault="00F8402B" w:rsidP="00F8402B">
      <w:pPr>
        <w:pStyle w:val="Funotentext"/>
      </w:pPr>
      <w:r>
        <w:rPr>
          <w:rStyle w:val="Funotenzeichen"/>
        </w:rPr>
        <w:footnoteRef/>
      </w:r>
      <w:r w:rsidRPr="000C2AB7">
        <w:t xml:space="preserve"> Corinna Budras. </w:t>
      </w:r>
      <w:r w:rsidRPr="00C85663">
        <w:t>Wissing will Hochlauf von E</w:t>
      </w:r>
      <w:r>
        <w:t xml:space="preserve">-Fuels. FAZ, 05.06.2024. </w:t>
      </w:r>
    </w:p>
  </w:footnote>
  <w:footnote w:id="535">
    <w:p w14:paraId="4A1B0DEA" w14:textId="77777777" w:rsidR="00F8402B" w:rsidRDefault="00F8402B" w:rsidP="00F8402B">
      <w:pPr>
        <w:pStyle w:val="Funotentext"/>
      </w:pPr>
      <w:r>
        <w:rPr>
          <w:rStyle w:val="Funotenzeichen"/>
        </w:rPr>
        <w:footnoteRef/>
      </w:r>
      <w:r>
        <w:t xml:space="preserve"> Volkswagen pocht auf E-Fuels als Ergänzung zu Elektroautos. FAZ, 13.04.2024.</w:t>
      </w:r>
    </w:p>
  </w:footnote>
  <w:footnote w:id="536">
    <w:p w14:paraId="0AF1A6B3" w14:textId="77777777" w:rsidR="00F8402B" w:rsidRDefault="00F8402B" w:rsidP="00F8402B">
      <w:pPr>
        <w:pStyle w:val="Funotentext"/>
      </w:pPr>
      <w:r>
        <w:rPr>
          <w:rStyle w:val="Funotenzeichen"/>
        </w:rPr>
        <w:footnoteRef/>
      </w:r>
      <w:r>
        <w:t xml:space="preserve"> Wir müssen das vollständige Verbot für Fahrzeuge mit Verbrenner aufheben. FAZ, 12.03.2024.</w:t>
      </w:r>
    </w:p>
  </w:footnote>
  <w:footnote w:id="537">
    <w:p w14:paraId="1056BBD6" w14:textId="0F44B72A" w:rsidR="00B67F43" w:rsidRDefault="00B67F43">
      <w:pPr>
        <w:pStyle w:val="Funotentext"/>
      </w:pPr>
      <w:r>
        <w:rPr>
          <w:rStyle w:val="Funotenzeichen"/>
        </w:rPr>
        <w:footnoteRef/>
      </w:r>
      <w:r>
        <w:t xml:space="preserve"> Hendrik Kafsack. Atempause für Autohersteller. FAZ, 02.04.2025. </w:t>
      </w:r>
    </w:p>
  </w:footnote>
  <w:footnote w:id="538">
    <w:p w14:paraId="0F9EEA26" w14:textId="77777777" w:rsidR="00D434D4" w:rsidRDefault="00D434D4" w:rsidP="00D434D4">
      <w:pPr>
        <w:pStyle w:val="Funotentext"/>
      </w:pPr>
      <w:r>
        <w:rPr>
          <w:rStyle w:val="Funotenzeichen"/>
        </w:rPr>
        <w:footnoteRef/>
      </w:r>
      <w:r>
        <w:t xml:space="preserve"> Hendrik Kafsack. Atempause für Autohersteller. FAZ, 02.04.2025. </w:t>
      </w:r>
    </w:p>
  </w:footnote>
  <w:footnote w:id="539">
    <w:p w14:paraId="2D8DE92F" w14:textId="30E5A605" w:rsidR="002839D9" w:rsidRDefault="002839D9">
      <w:pPr>
        <w:pStyle w:val="Funotentext"/>
      </w:pPr>
      <w:r>
        <w:rPr>
          <w:rStyle w:val="Funotenzeichen"/>
        </w:rPr>
        <w:footnoteRef/>
      </w:r>
      <w:r>
        <w:t xml:space="preserve"> Siehe: </w:t>
      </w:r>
      <w:hyperlink r:id="rId422" w:history="1">
        <w:r w:rsidRPr="002839D9">
          <w:rPr>
            <w:rStyle w:val="Hyperlink"/>
          </w:rPr>
          <w:t>https://www.tagesschau.de/wirtschaft/energie/verbrenneraus-folgen-100.html</w:t>
        </w:r>
      </w:hyperlink>
      <w:r>
        <w:t xml:space="preserve"> - Zugegriffen: 24.02.2026.</w:t>
      </w:r>
    </w:p>
  </w:footnote>
  <w:footnote w:id="540">
    <w:p w14:paraId="6AE1118C" w14:textId="3620B27E" w:rsidR="00CD7F86" w:rsidRDefault="00CD7F86">
      <w:pPr>
        <w:pStyle w:val="Funotentext"/>
      </w:pPr>
      <w:r>
        <w:rPr>
          <w:rStyle w:val="Funotenzeichen"/>
        </w:rPr>
        <w:footnoteRef/>
      </w:r>
      <w:r>
        <w:t xml:space="preserve"> Unruhe wegen Elektroquoten in England. FAZ, 19.11.2025. Stellantis schließt Werk in England, FAZ, 27.11.2024.</w:t>
      </w:r>
    </w:p>
  </w:footnote>
  <w:footnote w:id="541">
    <w:p w14:paraId="45BC5858" w14:textId="53314315" w:rsidR="00CD7F86" w:rsidRDefault="00CD7F86">
      <w:pPr>
        <w:pStyle w:val="Funotentext"/>
      </w:pPr>
      <w:r>
        <w:rPr>
          <w:rStyle w:val="Funotenzeichen"/>
        </w:rPr>
        <w:footnoteRef/>
      </w:r>
      <w:r>
        <w:t xml:space="preserve"> Siehe: </w:t>
      </w:r>
      <w:hyperlink r:id="rId423" w:history="1">
        <w:r w:rsidRPr="00D06719">
          <w:rPr>
            <w:rStyle w:val="Hyperlink"/>
          </w:rPr>
          <w:t>https://www.automobil-industrie.vogel.de/vauxhall-luton-werk-schliessung-stellantis-ellesmere-port-a-f6773ea11d64f13f25236843d1d00918/</w:t>
        </w:r>
      </w:hyperlink>
      <w:r>
        <w:t xml:space="preserve"> - Zugegriffen: 01.07.2025. </w:t>
      </w:r>
    </w:p>
  </w:footnote>
  <w:footnote w:id="542">
    <w:p w14:paraId="2B528836" w14:textId="4615E38A" w:rsidR="004C2A40" w:rsidRDefault="004C2A40">
      <w:pPr>
        <w:pStyle w:val="Funotentext"/>
      </w:pPr>
      <w:r>
        <w:rPr>
          <w:rStyle w:val="Funotenzeichen"/>
        </w:rPr>
        <w:footnoteRef/>
      </w:r>
      <w:r>
        <w:t xml:space="preserve"> Siehe die Webseite von Prof. Roland Dittmeyer: </w:t>
      </w:r>
      <w:hyperlink r:id="rId424" w:history="1">
        <w:r w:rsidRPr="00BB293A">
          <w:rPr>
            <w:rStyle w:val="Hyperlink"/>
          </w:rPr>
          <w:t>https://www.elab2.kit.edu/power2liquid.php</w:t>
        </w:r>
      </w:hyperlink>
      <w:r>
        <w:t xml:space="preserve"> - Zugegriffen: 23.10.2024.</w:t>
      </w:r>
    </w:p>
  </w:footnote>
  <w:footnote w:id="543">
    <w:p w14:paraId="0840CDE1" w14:textId="66FA5747" w:rsidR="007E19F4" w:rsidRDefault="007E19F4">
      <w:pPr>
        <w:pStyle w:val="Funotentext"/>
      </w:pPr>
      <w:r>
        <w:rPr>
          <w:rStyle w:val="Funotenzeichen"/>
        </w:rPr>
        <w:footnoteRef/>
      </w:r>
      <w:r>
        <w:t xml:space="preserve"> Siehe: </w:t>
      </w:r>
      <w:hyperlink r:id="rId425" w:history="1">
        <w:r w:rsidRPr="00EF6BFF">
          <w:rPr>
            <w:rStyle w:val="Hyperlink"/>
          </w:rPr>
          <w:t>https://bmdv.bund.de/SharedDocs/DE/Artikel/K/15000-liter-gruenes-benzin.html</w:t>
        </w:r>
      </w:hyperlink>
      <w:r>
        <w:t xml:space="preserve"> - Zugegriffen: 01.11.2024.</w:t>
      </w:r>
    </w:p>
  </w:footnote>
  <w:footnote w:id="544">
    <w:p w14:paraId="00597982" w14:textId="037F4DED" w:rsidR="007E19F4" w:rsidRDefault="007E19F4">
      <w:pPr>
        <w:pStyle w:val="Funotentext"/>
      </w:pPr>
      <w:r>
        <w:rPr>
          <w:rStyle w:val="Funotenzeichen"/>
        </w:rPr>
        <w:footnoteRef/>
      </w:r>
      <w:r>
        <w:t xml:space="preserve"> Siehe: </w:t>
      </w:r>
      <w:hyperlink r:id="rId426" w:history="1">
        <w:r w:rsidRPr="00EF6BFF">
          <w:rPr>
            <w:rStyle w:val="Hyperlink"/>
          </w:rPr>
          <w:t>https://erneuerbarekraftstoffe.de/</w:t>
        </w:r>
      </w:hyperlink>
    </w:p>
  </w:footnote>
  <w:footnote w:id="545">
    <w:p w14:paraId="198065BC" w14:textId="7C8811BF" w:rsidR="00C62CF0" w:rsidRDefault="00C62CF0">
      <w:pPr>
        <w:pStyle w:val="Funotentext"/>
      </w:pPr>
      <w:r>
        <w:rPr>
          <w:rStyle w:val="Funotenzeichen"/>
        </w:rPr>
        <w:footnoteRef/>
      </w:r>
      <w:r>
        <w:t xml:space="preserve"> </w:t>
      </w:r>
      <w:r w:rsidR="00DF7FA5">
        <w:t xml:space="preserve">Siehe auch Teil 2: </w:t>
      </w:r>
      <w:r w:rsidR="00DF7FA5" w:rsidRPr="00DF7FA5">
        <w:t xml:space="preserve">Folgende Abfolge ergibt sich: 1. Grüner Wasserstoff wird durch Elektrolyse hergestellt. 2. Danach muss man Synthesegas herstellen, ein Gemisch aus Wasserstoff und reaktivem Kohlenmonoxid (CO). Das reaktive Kohlenmonoxid entsteht allerdings erst durch die sog. umgekehrte Wassergasverschiebereaktion (RWGS), hierbei reagiert Kohlendioxid mit Wasserstoff zu Kohlenmonoxid und Wasser. Hierbei werden gewisse Mengen des Wasserstoffs benötigt bzw. verbraucht. Synthesegas kann auch direkt in einem Hochtemperatur Elektrolyseprozess aus CO2 und Wasserdampf in einem Schritt hergestellt werden (siehe die Firma </w:t>
      </w:r>
      <w:proofErr w:type="spellStart"/>
      <w:r w:rsidR="00DF7FA5" w:rsidRPr="00DF7FA5">
        <w:t>Sunfire</w:t>
      </w:r>
      <w:proofErr w:type="spellEnd"/>
      <w:r w:rsidR="00DF7FA5" w:rsidRPr="00DF7FA5">
        <w:t xml:space="preserve">, </w:t>
      </w:r>
      <w:proofErr w:type="spellStart"/>
      <w:r w:rsidR="00DF7FA5" w:rsidRPr="00DF7FA5">
        <w:t>Synlink</w:t>
      </w:r>
      <w:proofErr w:type="spellEnd"/>
      <w:r w:rsidR="00DF7FA5" w:rsidRPr="00DF7FA5">
        <w:t xml:space="preserve">). Ebenso kann Synthesegas auch aus Biomasseresten hergestellt werden. 3. Sodann erfolgt der Fischer-Tropsch-Prozess bei dem Synthesegas in langkettige Kohlenstoffmoleküle umgewandelt wird, sog. Alkane, wobei es hier eine breite Verteilung der Molekülkettenlängen gibt. Dabei entsteht weiterhin Wärme. Kurze Molekülketten sind gasförmig und kommen wieder in den Synthesegasprozess, sehr lange Molekülketten werden fast, wie ‚Wachs‘. Moleküle mittlerer Kettenlängen können ideal für E-Treibstoffe verwendet werden. 4. In einem letzten Schritt werden die langen Moleküle durch hydrierende Spaltung bzw. sog. Hydrocracken verkürzt und gleichzeitig verzweigte Moleküle mit gleicher Anzahl von Kohlenstoffatome gebildet, die sog. Isomere, man sagt dazu auch </w:t>
      </w:r>
      <w:proofErr w:type="spellStart"/>
      <w:r w:rsidR="00DF7FA5" w:rsidRPr="00DF7FA5">
        <w:t>Isometrisierung</w:t>
      </w:r>
      <w:proofErr w:type="spellEnd"/>
      <w:r w:rsidR="00DF7FA5" w:rsidRPr="00DF7FA5">
        <w:t xml:space="preserve">. Dazu werden Katalysatoren eingesetzt. </w:t>
      </w:r>
      <w:r>
        <w:t xml:space="preserve">Siehe die Webseite von Prof. Roland Dittmeyer: </w:t>
      </w:r>
      <w:hyperlink r:id="rId427" w:history="1">
        <w:r w:rsidRPr="00BB293A">
          <w:rPr>
            <w:rStyle w:val="Hyperlink"/>
          </w:rPr>
          <w:t>https://www.elab2.kit.edu/power2liquid.php</w:t>
        </w:r>
      </w:hyperlink>
      <w:r>
        <w:t xml:space="preserve"> - Zugegriffen: 23.10.2024. </w:t>
      </w:r>
      <w:r w:rsidR="0015581F">
        <w:t>Einige Infos sind entnommen aus dem:</w:t>
      </w:r>
      <w:r>
        <w:t xml:space="preserve"> </w:t>
      </w:r>
      <w:proofErr w:type="spellStart"/>
      <w:r w:rsidR="0015581F">
        <w:t>Youtube</w:t>
      </w:r>
      <w:proofErr w:type="spellEnd"/>
      <w:r w:rsidR="0015581F">
        <w:t xml:space="preserve"> Video, 10.06.2020, Karlsruher Institut für Technologie: </w:t>
      </w:r>
      <w:hyperlink r:id="rId428" w:history="1">
        <w:r w:rsidR="0015581F" w:rsidRPr="00BB293A">
          <w:rPr>
            <w:rStyle w:val="Hyperlink"/>
          </w:rPr>
          <w:t>https://www.youtube.com/watch?v=KOawGXRRJFY&amp;t=8s</w:t>
        </w:r>
      </w:hyperlink>
      <w:r w:rsidR="0015581F">
        <w:t xml:space="preserve"> – Zugegriffen: 23.10.2024. </w:t>
      </w:r>
    </w:p>
  </w:footnote>
  <w:footnote w:id="546">
    <w:p w14:paraId="283D6160" w14:textId="2FB5BF4D" w:rsidR="006F636F" w:rsidRPr="006F636F" w:rsidRDefault="006F636F">
      <w:pPr>
        <w:pStyle w:val="Funotentext"/>
      </w:pPr>
      <w:r>
        <w:rPr>
          <w:rStyle w:val="Funotenzeichen"/>
        </w:rPr>
        <w:footnoteRef/>
      </w:r>
      <w:r w:rsidRPr="006F636F">
        <w:t xml:space="preserve"> Siehe Wikipedia </w:t>
      </w:r>
      <w:proofErr w:type="spellStart"/>
      <w:r w:rsidRPr="006F636F">
        <w:t>Alcane</w:t>
      </w:r>
      <w:proofErr w:type="spellEnd"/>
      <w:r w:rsidRPr="006F636F">
        <w:t xml:space="preserve">: </w:t>
      </w:r>
      <w:hyperlink r:id="rId429" w:history="1">
        <w:r w:rsidRPr="006F636F">
          <w:rPr>
            <w:rStyle w:val="Hyperlink"/>
          </w:rPr>
          <w:t>https://de.wikipedia.org/wiki/Alkane</w:t>
        </w:r>
      </w:hyperlink>
      <w:r w:rsidRPr="006F636F">
        <w:t xml:space="preserve"> - Zu</w:t>
      </w:r>
      <w:r>
        <w:t>gegriffen: 23.10.2024.</w:t>
      </w:r>
    </w:p>
  </w:footnote>
  <w:footnote w:id="547">
    <w:p w14:paraId="3487C52C" w14:textId="67405DDF" w:rsidR="00C62CF0" w:rsidRDefault="00C62CF0">
      <w:pPr>
        <w:pStyle w:val="Funotentext"/>
      </w:pPr>
      <w:r>
        <w:rPr>
          <w:rStyle w:val="Funotenzeichen"/>
        </w:rPr>
        <w:footnoteRef/>
      </w:r>
      <w:r>
        <w:t xml:space="preserve"> </w:t>
      </w:r>
      <w:r w:rsidR="00DF7FA5">
        <w:t xml:space="preserve">Siehe auch Teil 2. </w:t>
      </w:r>
      <w:r w:rsidR="00DF7FA5" w:rsidRPr="00DF7FA5">
        <w:t>Die Erforschung dieses Fischer-Tropsch-Prozesses wurde etwa gefördert vom Bundesministerium für Bildung und Forschung und es wurde im Kopernikus Projekt Power-</w:t>
      </w:r>
      <w:proofErr w:type="spellStart"/>
      <w:r w:rsidR="00DF7FA5" w:rsidRPr="00DF7FA5">
        <w:t>to</w:t>
      </w:r>
      <w:proofErr w:type="spellEnd"/>
      <w:r w:rsidR="00DF7FA5" w:rsidRPr="00DF7FA5">
        <w:t xml:space="preserve">-X eine solche Anlage entwickelt: Die Firma </w:t>
      </w:r>
      <w:proofErr w:type="spellStart"/>
      <w:r w:rsidR="00DF7FA5" w:rsidRPr="00DF7FA5">
        <w:t>Climeworks</w:t>
      </w:r>
      <w:proofErr w:type="spellEnd"/>
      <w:r w:rsidR="00DF7FA5" w:rsidRPr="00DF7FA5">
        <w:t xml:space="preserve"> hat die </w:t>
      </w:r>
      <w:proofErr w:type="spellStart"/>
      <w:r w:rsidR="00DF7FA5" w:rsidRPr="00DF7FA5">
        <w:t>Direct</w:t>
      </w:r>
      <w:proofErr w:type="spellEnd"/>
      <w:r w:rsidR="00DF7FA5" w:rsidRPr="00DF7FA5">
        <w:t xml:space="preserve"> Air Capture Technologie beigetragen, die ‚heiße‘ CO2 und Wasserdampf </w:t>
      </w:r>
      <w:proofErr w:type="spellStart"/>
      <w:r w:rsidR="00DF7FA5" w:rsidRPr="00DF7FA5">
        <w:t>Syngas</w:t>
      </w:r>
      <w:proofErr w:type="spellEnd"/>
      <w:r w:rsidR="00DF7FA5" w:rsidRPr="00DF7FA5">
        <w:t xml:space="preserve">-Herstellung die Firma </w:t>
      </w:r>
      <w:proofErr w:type="spellStart"/>
      <w:r w:rsidR="00DF7FA5" w:rsidRPr="00DF7FA5">
        <w:t>Sunfire</w:t>
      </w:r>
      <w:proofErr w:type="spellEnd"/>
      <w:r w:rsidR="00DF7FA5" w:rsidRPr="00DF7FA5">
        <w:t xml:space="preserve"> und weiterhin die Firma INERATEC, dies wurde vom Karlsruher Institut für Technologie, Abteilung Mikroverfahrenstechnik von Prof. Roland Dittmeyer betreut, durch die Nutzung der Abwärme wird 60 % des Strom im Kraftstoff gespeichert, siehe auch</w:t>
      </w:r>
      <w:r w:rsidR="00DF7FA5">
        <w:t>:</w:t>
      </w:r>
      <w:r w:rsidR="00DF7FA5" w:rsidRPr="00DF7FA5">
        <w:t xml:space="preserve"> </w:t>
      </w:r>
      <w:proofErr w:type="spellStart"/>
      <w:r w:rsidR="00E652A9">
        <w:t>Youtube</w:t>
      </w:r>
      <w:proofErr w:type="spellEnd"/>
      <w:r w:rsidR="00E652A9">
        <w:t xml:space="preserve"> Video, 10.06.2020, Karlsruher Institut für Technologie: </w:t>
      </w:r>
      <w:hyperlink r:id="rId430" w:history="1">
        <w:r w:rsidR="00E652A9" w:rsidRPr="00BB293A">
          <w:rPr>
            <w:rStyle w:val="Hyperlink"/>
          </w:rPr>
          <w:t>https://www.youtube.com/watch?v=KOawGXRRJFY&amp;t=8s</w:t>
        </w:r>
      </w:hyperlink>
      <w:r w:rsidR="00E652A9">
        <w:t xml:space="preserve"> – Zugegriffen: 23.10.2024. </w:t>
      </w:r>
    </w:p>
  </w:footnote>
  <w:footnote w:id="548">
    <w:p w14:paraId="182938E6" w14:textId="77777777" w:rsidR="009F0611" w:rsidRDefault="009F0611" w:rsidP="009F0611">
      <w:pPr>
        <w:pStyle w:val="Funotentext"/>
      </w:pPr>
      <w:r>
        <w:rPr>
          <w:rStyle w:val="Funotenzeichen"/>
        </w:rPr>
        <w:footnoteRef/>
      </w:r>
      <w:r>
        <w:t xml:space="preserve"> Siehe: </w:t>
      </w:r>
      <w:hyperlink r:id="rId431" w:history="1">
        <w:r w:rsidRPr="00DF74A5">
          <w:rPr>
            <w:rStyle w:val="Hyperlink"/>
          </w:rPr>
          <w:t>https://www.atmosfair.de/de/flugverkehr-und-klima-atmosfair-produziert-erste-mengen-an-co2-neutralem-kerosin/</w:t>
        </w:r>
      </w:hyperlink>
      <w:r>
        <w:t xml:space="preserve"> - Zugegriffen: 01.07.2024. </w:t>
      </w:r>
    </w:p>
  </w:footnote>
  <w:footnote w:id="549">
    <w:p w14:paraId="5599278C" w14:textId="77777777" w:rsidR="009F0611" w:rsidRDefault="009F0611" w:rsidP="009F0611">
      <w:pPr>
        <w:pStyle w:val="Funotentext"/>
      </w:pPr>
      <w:r>
        <w:rPr>
          <w:rStyle w:val="Funotenzeichen"/>
        </w:rPr>
        <w:footnoteRef/>
      </w:r>
      <w:r>
        <w:t xml:space="preserve"> Siehe: </w:t>
      </w:r>
      <w:hyperlink r:id="rId432" w:history="1">
        <w:r w:rsidRPr="00DF74A5">
          <w:rPr>
            <w:rStyle w:val="Hyperlink"/>
          </w:rPr>
          <w:t>https://www.atmosfair.de/de/klimaschutzprojekte/ptl-e-kerosin/ptl-anlage/</w:t>
        </w:r>
      </w:hyperlink>
      <w:r>
        <w:t xml:space="preserve"> - Zugegriffen: 01.07.2024. </w:t>
      </w:r>
    </w:p>
  </w:footnote>
  <w:footnote w:id="550">
    <w:p w14:paraId="6F8F0B89" w14:textId="77777777" w:rsidR="009F0611" w:rsidRDefault="009F0611" w:rsidP="009F0611">
      <w:pPr>
        <w:pStyle w:val="Funotentext"/>
      </w:pPr>
      <w:r>
        <w:rPr>
          <w:rStyle w:val="Funotenzeichen"/>
        </w:rPr>
        <w:footnoteRef/>
      </w:r>
      <w:r>
        <w:t xml:space="preserve"> Erstes E-Kerosin fliegt ohne Lufthansa. FAZ, 29.06.2024. </w:t>
      </w:r>
    </w:p>
  </w:footnote>
  <w:footnote w:id="551">
    <w:p w14:paraId="695E47DC" w14:textId="77777777" w:rsidR="009F0611" w:rsidRDefault="009F0611" w:rsidP="009F0611">
      <w:pPr>
        <w:pStyle w:val="Funotentext"/>
      </w:pPr>
      <w:r>
        <w:rPr>
          <w:rStyle w:val="Funotenzeichen"/>
        </w:rPr>
        <w:footnoteRef/>
      </w:r>
      <w:r>
        <w:t xml:space="preserve"> S. 27, Zeilen 856-857. Siehe: </w:t>
      </w:r>
      <w:hyperlink r:id="rId433" w:history="1">
        <w:r w:rsidRPr="00287D4C">
          <w:rPr>
            <w:rStyle w:val="Hyperlink"/>
          </w:rPr>
          <w:t>https://www.spd.de/fileadmin/Dokumente/Koalitionsvertrag_2025.pdf</w:t>
        </w:r>
      </w:hyperlink>
      <w:r>
        <w:t xml:space="preserve"> - Zugegriffen: 10.04.2025. </w:t>
      </w:r>
    </w:p>
  </w:footnote>
  <w:footnote w:id="552">
    <w:p w14:paraId="43D47FDE" w14:textId="77777777" w:rsidR="00D41AD6" w:rsidRDefault="00D41AD6" w:rsidP="00D41AD6">
      <w:pPr>
        <w:pStyle w:val="Funotentext"/>
      </w:pPr>
      <w:r>
        <w:rPr>
          <w:rStyle w:val="Funotenzeichen"/>
        </w:rPr>
        <w:footnoteRef/>
      </w:r>
      <w:r>
        <w:t xml:space="preserve"> S. 27, Zeilen 858-860. Siehe: </w:t>
      </w:r>
      <w:hyperlink r:id="rId434" w:history="1">
        <w:r w:rsidRPr="00287D4C">
          <w:rPr>
            <w:rStyle w:val="Hyperlink"/>
          </w:rPr>
          <w:t>https://www.spd.de/fileadmin/Dokumente/Koalitionsvertrag_2025.pdf</w:t>
        </w:r>
      </w:hyperlink>
      <w:r>
        <w:t xml:space="preserve"> - Zugegriffen: 10.04.2025. </w:t>
      </w:r>
    </w:p>
  </w:footnote>
  <w:footnote w:id="553">
    <w:p w14:paraId="365B5966" w14:textId="77777777" w:rsidR="009F0611" w:rsidRDefault="009F0611" w:rsidP="009F0611">
      <w:pPr>
        <w:pStyle w:val="Funotentext"/>
      </w:pPr>
      <w:r>
        <w:rPr>
          <w:rStyle w:val="Funotenzeichen"/>
        </w:rPr>
        <w:footnoteRef/>
      </w:r>
      <w:r>
        <w:t xml:space="preserve"> Luftfahrt fordert Aus für deutsche E-Kerosin-Quote. FAZ, 26.09.2024.</w:t>
      </w:r>
    </w:p>
  </w:footnote>
  <w:footnote w:id="554">
    <w:p w14:paraId="6981714C" w14:textId="77777777" w:rsidR="009F0611" w:rsidRDefault="009F0611" w:rsidP="009F0611">
      <w:pPr>
        <w:pStyle w:val="Funotentext"/>
      </w:pPr>
      <w:r>
        <w:rPr>
          <w:rStyle w:val="Funotenzeichen"/>
        </w:rPr>
        <w:footnoteRef/>
      </w:r>
      <w:r>
        <w:t xml:space="preserve"> Siehe: </w:t>
      </w:r>
      <w:hyperlink r:id="rId435" w:history="1">
        <w:r w:rsidRPr="002E7D44">
          <w:rPr>
            <w:rStyle w:val="Hyperlink"/>
          </w:rPr>
          <w:t>https://www.consilium.europa.eu/en/press/press-releases/2023/10/09/refueleu-aviation-initiative-council-adopts-new-law-to-decarbonise-the-aviation-sector/</w:t>
        </w:r>
      </w:hyperlink>
      <w:r>
        <w:t xml:space="preserve"> - Zugegriffen: </w:t>
      </w:r>
    </w:p>
  </w:footnote>
  <w:footnote w:id="555">
    <w:p w14:paraId="25E4693F" w14:textId="77777777" w:rsidR="009F0611" w:rsidRDefault="009F0611" w:rsidP="009F0611">
      <w:pPr>
        <w:pStyle w:val="Funotentext"/>
      </w:pPr>
      <w:r>
        <w:rPr>
          <w:rStyle w:val="Funotenzeichen"/>
        </w:rPr>
        <w:footnoteRef/>
      </w:r>
      <w:r>
        <w:t xml:space="preserve"> Siehe: </w:t>
      </w:r>
      <w:hyperlink r:id="rId436" w:history="1">
        <w:r w:rsidRPr="00B65263">
          <w:rPr>
            <w:rStyle w:val="Hyperlink"/>
          </w:rPr>
          <w:t>https://eur-lex.europa.eu/legal-content/EN/TXT/?uri=CELEX:02023R2405-20231031</w:t>
        </w:r>
      </w:hyperlink>
      <w:r>
        <w:t xml:space="preserve"> – Zugegriffen: 26.11.2024. </w:t>
      </w:r>
    </w:p>
  </w:footnote>
  <w:footnote w:id="556">
    <w:p w14:paraId="46A65A4C" w14:textId="77777777" w:rsidR="009F0611" w:rsidRDefault="009F0611" w:rsidP="009F0611">
      <w:pPr>
        <w:pStyle w:val="Funotentext"/>
      </w:pPr>
      <w:r>
        <w:rPr>
          <w:rStyle w:val="Funotenzeichen"/>
        </w:rPr>
        <w:footnoteRef/>
      </w:r>
      <w:r>
        <w:t xml:space="preserve"> Siehe: </w:t>
      </w:r>
      <w:hyperlink r:id="rId437" w:history="1">
        <w:r w:rsidRPr="00B65263">
          <w:rPr>
            <w:rStyle w:val="Hyperlink"/>
          </w:rPr>
          <w:t>https://transport.ec.europa.eu/transport-modes/air/environment/refueleu-aviation_en</w:t>
        </w:r>
      </w:hyperlink>
      <w:r>
        <w:t xml:space="preserve"> - Zugegriffen: 26.11.2024. </w:t>
      </w:r>
    </w:p>
  </w:footnote>
  <w:footnote w:id="557">
    <w:p w14:paraId="166AA140" w14:textId="77777777" w:rsidR="009F0611" w:rsidRDefault="009F0611" w:rsidP="009F0611">
      <w:pPr>
        <w:pStyle w:val="Funotentext"/>
      </w:pPr>
      <w:r>
        <w:rPr>
          <w:rStyle w:val="Funotenzeichen"/>
        </w:rPr>
        <w:footnoteRef/>
      </w:r>
      <w:r>
        <w:t xml:space="preserve"> Siehe: </w:t>
      </w:r>
      <w:hyperlink r:id="rId438" w:history="1">
        <w:r w:rsidRPr="00932F3C">
          <w:rPr>
            <w:rStyle w:val="Hyperlink"/>
          </w:rPr>
          <w:t>https://www.icao.int/environmental-protection/CORSIA/Pages/default.aspx</w:t>
        </w:r>
      </w:hyperlink>
      <w:r>
        <w:t xml:space="preserve"> - Zugegriffen: 11.04.2025. </w:t>
      </w:r>
    </w:p>
  </w:footnote>
  <w:footnote w:id="558">
    <w:p w14:paraId="24C93C7C" w14:textId="7C85DBAE" w:rsidR="006A1359" w:rsidRDefault="006A1359">
      <w:pPr>
        <w:pStyle w:val="Funotentext"/>
      </w:pPr>
      <w:r>
        <w:rPr>
          <w:rStyle w:val="Funotenzeichen"/>
        </w:rPr>
        <w:footnoteRef/>
      </w:r>
      <w:r>
        <w:t xml:space="preserve"> Siehe: </w:t>
      </w:r>
      <w:hyperlink r:id="rId439" w:history="1">
        <w:r w:rsidRPr="009C6F34">
          <w:rPr>
            <w:rStyle w:val="Hyperlink"/>
          </w:rPr>
          <w:t>https://de.wikipedia.org/wiki/Wasserstoffflugzeug</w:t>
        </w:r>
      </w:hyperlink>
      <w:r>
        <w:t xml:space="preserve">  </w:t>
      </w:r>
    </w:p>
  </w:footnote>
  <w:footnote w:id="559">
    <w:p w14:paraId="4C352A80" w14:textId="77777777" w:rsidR="00700AFC" w:rsidRDefault="00700AFC" w:rsidP="00700AFC">
      <w:pPr>
        <w:pStyle w:val="Funotentext"/>
      </w:pPr>
      <w:r>
        <w:rPr>
          <w:rStyle w:val="Funotenzeichen"/>
        </w:rPr>
        <w:footnoteRef/>
      </w:r>
      <w:r>
        <w:t xml:space="preserve"> Siehe: </w:t>
      </w:r>
      <w:hyperlink r:id="rId440" w:history="1">
        <w:r w:rsidRPr="002B1437">
          <w:rPr>
            <w:rStyle w:val="Hyperlink"/>
          </w:rPr>
          <w:t>https://science.orf.at/stories/3217976/</w:t>
        </w:r>
      </w:hyperlink>
      <w:r>
        <w:t xml:space="preserve"> - Zugegriffen: 27.06.2024.</w:t>
      </w:r>
    </w:p>
  </w:footnote>
  <w:footnote w:id="560">
    <w:p w14:paraId="2EAC4D90" w14:textId="77777777" w:rsidR="00700AFC" w:rsidRDefault="00700AFC" w:rsidP="00700AFC">
      <w:pPr>
        <w:pStyle w:val="Funotentext"/>
      </w:pPr>
      <w:r>
        <w:rPr>
          <w:rStyle w:val="Funotenzeichen"/>
        </w:rPr>
        <w:footnoteRef/>
      </w:r>
      <w:r>
        <w:t xml:space="preserve"> Siehe: </w:t>
      </w:r>
      <w:hyperlink r:id="rId441" w:history="1">
        <w:r w:rsidRPr="002B1437">
          <w:rPr>
            <w:rStyle w:val="Hyperlink"/>
          </w:rPr>
          <w:t>https://mediathek.fnr.de/kraftstoffverbrauch-in-deutschland.html</w:t>
        </w:r>
      </w:hyperlink>
      <w:r>
        <w:t xml:space="preserve"> - Zugegriffen: 27.06.2024. </w:t>
      </w:r>
    </w:p>
  </w:footnote>
  <w:footnote w:id="561">
    <w:p w14:paraId="232857B8" w14:textId="77777777" w:rsidR="00700AFC" w:rsidRDefault="00700AFC" w:rsidP="00700AFC">
      <w:pPr>
        <w:pStyle w:val="Funotentext"/>
      </w:pPr>
      <w:r>
        <w:rPr>
          <w:rStyle w:val="Funotenzeichen"/>
        </w:rPr>
        <w:footnoteRef/>
      </w:r>
      <w:r>
        <w:t xml:space="preserve"> Siehe: </w:t>
      </w:r>
      <w:hyperlink r:id="rId442" w:history="1">
        <w:r w:rsidRPr="002B1437">
          <w:rPr>
            <w:rStyle w:val="Hyperlink"/>
          </w:rPr>
          <w:t>https://www.bdbe.de/bioethanol/bioethanol-fakten</w:t>
        </w:r>
      </w:hyperlink>
      <w:r>
        <w:t xml:space="preserve"> - Zugegriffen: 27.06.2024. </w:t>
      </w:r>
    </w:p>
  </w:footnote>
  <w:footnote w:id="562">
    <w:p w14:paraId="5DB9EF7B" w14:textId="77777777" w:rsidR="00700AFC" w:rsidRDefault="00700AFC" w:rsidP="00700AFC">
      <w:pPr>
        <w:pStyle w:val="Funotentext"/>
      </w:pPr>
      <w:r>
        <w:rPr>
          <w:rStyle w:val="Funotenzeichen"/>
        </w:rPr>
        <w:footnoteRef/>
      </w:r>
      <w:r>
        <w:t xml:space="preserve"> Siehe die Zahlen des UBAs vom 02.04.2024: </w:t>
      </w:r>
      <w:hyperlink r:id="rId443" w:history="1">
        <w:r w:rsidRPr="002B1437">
          <w:rPr>
            <w:rStyle w:val="Hyperlink"/>
          </w:rPr>
          <w:t>https://www.umweltbundesamt.de/daten/energie/stromverbrauch</w:t>
        </w:r>
      </w:hyperlink>
      <w:r>
        <w:t xml:space="preserve"> - Zugegriffen: 27.06.2024. </w:t>
      </w:r>
    </w:p>
  </w:footnote>
  <w:footnote w:id="563">
    <w:p w14:paraId="7274C8A6" w14:textId="29B02071" w:rsidR="00A41310" w:rsidRDefault="00A41310">
      <w:pPr>
        <w:pStyle w:val="Funotentext"/>
      </w:pPr>
      <w:r>
        <w:rPr>
          <w:rStyle w:val="Funotenzeichen"/>
        </w:rPr>
        <w:footnoteRef/>
      </w:r>
      <w:r>
        <w:t xml:space="preserve"> Verschrotten schadet dem Klima. FAZ, 19.10.2024. </w:t>
      </w:r>
    </w:p>
  </w:footnote>
  <w:footnote w:id="564">
    <w:p w14:paraId="19A8A69C" w14:textId="798E7669" w:rsidR="00893675" w:rsidRDefault="00893675">
      <w:pPr>
        <w:pStyle w:val="Funotentext"/>
      </w:pPr>
      <w:r>
        <w:rPr>
          <w:rStyle w:val="Funotenzeichen"/>
        </w:rPr>
        <w:footnoteRef/>
      </w:r>
      <w:r>
        <w:t xml:space="preserve"> Siehe: </w:t>
      </w:r>
      <w:hyperlink r:id="rId444" w:history="1">
        <w:r w:rsidRPr="00E66575">
          <w:rPr>
            <w:rStyle w:val="Hyperlink"/>
          </w:rPr>
          <w:t>https://www.transportenvironment.org/te-deutschland/articles/europas-verkehrssektor-wird-2030-fast-die-halfte-der-emissionen-ausmachen</w:t>
        </w:r>
      </w:hyperlink>
      <w:r>
        <w:t xml:space="preserve"> - Zugegriffen: 06.07.2025.</w:t>
      </w:r>
    </w:p>
  </w:footnote>
  <w:footnote w:id="565">
    <w:p w14:paraId="271856F1" w14:textId="2C2E3E14" w:rsidR="00A41310" w:rsidRDefault="00A41310">
      <w:pPr>
        <w:pStyle w:val="Funotentext"/>
      </w:pPr>
      <w:r>
        <w:rPr>
          <w:rStyle w:val="Funotenzeichen"/>
        </w:rPr>
        <w:footnoteRef/>
      </w:r>
      <w:r>
        <w:t xml:space="preserve"> Siehe: </w:t>
      </w:r>
      <w:hyperlink r:id="rId445" w:history="1">
        <w:r w:rsidRPr="00E66575">
          <w:rPr>
            <w:rStyle w:val="Hyperlink"/>
          </w:rPr>
          <w:t>https://www-statista-com.translate.goog/statistics/1488741/eu-annual-gasoline-consumption-in-road-sector/? q</w:t>
        </w:r>
      </w:hyperlink>
      <w:r>
        <w:t xml:space="preserve"> – Zugegriffen: 06.07.2025. </w:t>
      </w:r>
    </w:p>
  </w:footnote>
  <w:footnote w:id="566">
    <w:p w14:paraId="445E0B22" w14:textId="77777777" w:rsidR="00112190" w:rsidRPr="00CC561C" w:rsidRDefault="00112190" w:rsidP="00112190">
      <w:pPr>
        <w:pStyle w:val="Funotentext"/>
      </w:pPr>
      <w:r>
        <w:rPr>
          <w:rStyle w:val="Funotenzeichen"/>
        </w:rPr>
        <w:footnoteRef/>
      </w:r>
      <w:r w:rsidRPr="00CC561C">
        <w:t xml:space="preserve"> EIB 2023: 3.</w:t>
      </w:r>
    </w:p>
  </w:footnote>
  <w:footnote w:id="567">
    <w:p w14:paraId="66DDE101" w14:textId="77777777" w:rsidR="00112190" w:rsidRPr="001E33AB" w:rsidRDefault="00112190" w:rsidP="00112190">
      <w:pPr>
        <w:pStyle w:val="Funotentext"/>
      </w:pPr>
      <w:r>
        <w:rPr>
          <w:rStyle w:val="Funotenzeichen"/>
        </w:rPr>
        <w:footnoteRef/>
      </w:r>
      <w:r w:rsidRPr="00CC561C">
        <w:t xml:space="preserve"> Christian Geinitz. </w:t>
      </w:r>
      <w:r>
        <w:t xml:space="preserve">Hohe CO2-Kosten könnten ins Leere laufen. </w:t>
      </w:r>
      <w:r w:rsidRPr="004C525C">
        <w:t xml:space="preserve">FAZ, 10.12.2020. </w:t>
      </w:r>
      <w:r w:rsidRPr="001E33AB">
        <w:t xml:space="preserve">URL: </w:t>
      </w:r>
      <w:hyperlink r:id="rId446" w:anchor="void-" w:history="1">
        <w:r w:rsidRPr="001E33AB">
          <w:rPr>
            <w:rStyle w:val="Hyperlink"/>
          </w:rPr>
          <w:t>https://www.faz.net/aktuell/wirtschaft/brennstoffgesetz-hohe-co2-kosten-koennten-ins-leere-laufen-17094218.html?printPagedArticle=true#void-</w:t>
        </w:r>
      </w:hyperlink>
      <w:r w:rsidRPr="001E33AB">
        <w:t xml:space="preserve"> Zu</w:t>
      </w:r>
      <w:r>
        <w:t xml:space="preserve">gegriffen: 12.11.2023. </w:t>
      </w:r>
    </w:p>
  </w:footnote>
  <w:footnote w:id="568">
    <w:p w14:paraId="797CBBCF" w14:textId="77777777" w:rsidR="00D46F09" w:rsidRDefault="00D46F09" w:rsidP="00D46F09">
      <w:pPr>
        <w:pStyle w:val="Funotentext"/>
      </w:pPr>
      <w:r>
        <w:rPr>
          <w:rStyle w:val="Funotenzeichen"/>
        </w:rPr>
        <w:footnoteRef/>
      </w:r>
      <w:r>
        <w:t xml:space="preserve"> Siehe die Webseite der Deutschen Emissionshandelsstelle (</w:t>
      </w:r>
      <w:proofErr w:type="spellStart"/>
      <w:r>
        <w:t>DEHSt</w:t>
      </w:r>
      <w:proofErr w:type="spellEnd"/>
      <w:r>
        <w:t xml:space="preserve">):  </w:t>
      </w:r>
      <w:hyperlink r:id="rId447" w:history="1">
        <w:r w:rsidRPr="00335629">
          <w:rPr>
            <w:rStyle w:val="Hyperlink"/>
          </w:rPr>
          <w:t>https://www.dehst.de/DE/Nationaler-Emissionshandel/nationaler-emissionshandel_node.html</w:t>
        </w:r>
      </w:hyperlink>
      <w:r>
        <w:t xml:space="preserve"> – siehe dort auch: </w:t>
      </w:r>
      <w:hyperlink r:id="rId448" w:history="1">
        <w:r w:rsidRPr="00DB1672">
          <w:rPr>
            <w:rStyle w:val="Hyperlink"/>
          </w:rPr>
          <w:t>https://www.dehst.de/DE/Nationaler-Emissionshandel/nEHS-verstehen/nehs-verstehen_node.html</w:t>
        </w:r>
      </w:hyperlink>
      <w:r>
        <w:t xml:space="preserve"> - Zugegriffen: 01.11.2023. Siehe zur Erklärung z.B. IHK Darmstadt: </w:t>
      </w:r>
      <w:hyperlink r:id="rId449" w:history="1">
        <w:r w:rsidRPr="0088482B">
          <w:rPr>
            <w:rStyle w:val="Hyperlink"/>
          </w:rPr>
          <w:t>https://www.ihk.de/darmstadt/produktmarken/beraten-und-informieren/umwelt-energie/energie/co2-4728298?print=true&amp;printsrc=button</w:t>
        </w:r>
      </w:hyperlink>
      <w:r>
        <w:t xml:space="preserve"> – Zugegriffen: 03.11.2023.</w:t>
      </w:r>
    </w:p>
  </w:footnote>
  <w:footnote w:id="569">
    <w:p w14:paraId="56CC51E9" w14:textId="77777777" w:rsidR="00D46F09" w:rsidRDefault="00D46F09" w:rsidP="00D46F09">
      <w:pPr>
        <w:pStyle w:val="Funotentext"/>
      </w:pPr>
      <w:r>
        <w:rPr>
          <w:rStyle w:val="Funotenzeichen"/>
        </w:rPr>
        <w:footnoteRef/>
      </w:r>
      <w:r>
        <w:t xml:space="preserve"> Siehe: </w:t>
      </w:r>
      <w:hyperlink r:id="rId450" w:history="1">
        <w:r w:rsidRPr="000B5FAA">
          <w:rPr>
            <w:rStyle w:val="Hyperlink"/>
          </w:rPr>
          <w:t>https://www.recht.bund.de/bgbl/1/2025/70/VO.html</w:t>
        </w:r>
      </w:hyperlink>
      <w:r>
        <w:t xml:space="preserve"> - Zugegriffen: 12.04.2025. </w:t>
      </w:r>
    </w:p>
  </w:footnote>
  <w:footnote w:id="570">
    <w:p w14:paraId="56B75580" w14:textId="77777777" w:rsidR="00DB1BF2" w:rsidRDefault="00DB1BF2" w:rsidP="00DB1BF2">
      <w:pPr>
        <w:pStyle w:val="Funotentext"/>
      </w:pPr>
      <w:r>
        <w:rPr>
          <w:rStyle w:val="Funotenzeichen"/>
        </w:rPr>
        <w:footnoteRef/>
      </w:r>
      <w:r>
        <w:t xml:space="preserve"> Siehe: </w:t>
      </w:r>
      <w:hyperlink r:id="rId451" w:history="1">
        <w:r w:rsidRPr="001A4D45">
          <w:rPr>
            <w:rStyle w:val="Hyperlink"/>
          </w:rPr>
          <w:t>https://www.next-kraftwerke.de/energie-blog/gewinnabschoepfung-strompreisdeckel</w:t>
        </w:r>
      </w:hyperlink>
      <w:r>
        <w:t xml:space="preserve"> - Zugegriffen: 13.04.2025. </w:t>
      </w:r>
    </w:p>
  </w:footnote>
  <w:footnote w:id="571">
    <w:p w14:paraId="690DD268" w14:textId="681B7B4C" w:rsidR="00112190" w:rsidRDefault="00112190" w:rsidP="00112190">
      <w:pPr>
        <w:pStyle w:val="Funotentext"/>
      </w:pPr>
      <w:r>
        <w:rPr>
          <w:rStyle w:val="Funotenzeichen"/>
        </w:rPr>
        <w:footnoteRef/>
      </w:r>
      <w:r>
        <w:t xml:space="preserve"> </w:t>
      </w:r>
      <w:r w:rsidR="00BA20C4" w:rsidRPr="00BA20C4">
        <w:t>für diese Schätzung wird in diesem Artikel der FAZ auf Agora Energiewende verwiesen</w:t>
      </w:r>
      <w:r w:rsidR="00BA20C4">
        <w:t>.</w:t>
      </w:r>
      <w:r w:rsidR="00BA20C4" w:rsidRPr="00BA20C4">
        <w:t xml:space="preserve"> </w:t>
      </w:r>
      <w:r>
        <w:t xml:space="preserve">Agora Energiewende fordert, die Kosten schon 2026 zu erhöhen, siehe: Hanna Decker. Warum Autofahren und Heizen teurer werden könnten. FAZ, 31.05.2024. </w:t>
      </w:r>
    </w:p>
  </w:footnote>
  <w:footnote w:id="572">
    <w:p w14:paraId="09FFA02B" w14:textId="7E9520DB" w:rsidR="00901534" w:rsidRDefault="00901534">
      <w:pPr>
        <w:pStyle w:val="Funotentext"/>
      </w:pPr>
      <w:r>
        <w:rPr>
          <w:rStyle w:val="Funotenzeichen"/>
        </w:rPr>
        <w:footnoteRef/>
      </w:r>
      <w:r>
        <w:t xml:space="preserve"> Siehe: </w:t>
      </w:r>
      <w:hyperlink r:id="rId452" w:history="1">
        <w:r w:rsidRPr="000E450C">
          <w:rPr>
            <w:rStyle w:val="Hyperlink"/>
          </w:rPr>
          <w:t>https://www.bundesregierung.de/breg-de/suche/lkw-maut-co2-2194574</w:t>
        </w:r>
      </w:hyperlink>
      <w:r>
        <w:t xml:space="preserve"> - Zugegriffen: 12.06.2024.</w:t>
      </w:r>
    </w:p>
  </w:footnote>
  <w:footnote w:id="573">
    <w:p w14:paraId="68316FB0" w14:textId="77777777" w:rsidR="00AB3781" w:rsidRDefault="00AB3781" w:rsidP="00AB3781">
      <w:pPr>
        <w:pStyle w:val="Funotentext"/>
      </w:pPr>
      <w:r>
        <w:rPr>
          <w:rStyle w:val="Funotenzeichen"/>
        </w:rPr>
        <w:footnoteRef/>
      </w:r>
      <w:r>
        <w:t xml:space="preserve"> Siehe Webseite der Bundesregierung: </w:t>
      </w:r>
      <w:hyperlink r:id="rId453" w:history="1">
        <w:r w:rsidRPr="000E450C">
          <w:rPr>
            <w:rStyle w:val="Hyperlink"/>
          </w:rPr>
          <w:t>https://www.bundesregierung.de/breg-de/suche/lkw-maut-co2-2194574</w:t>
        </w:r>
      </w:hyperlink>
      <w:r>
        <w:t xml:space="preserve"> - Zugegriffen: 12.06.2024. </w:t>
      </w:r>
    </w:p>
  </w:footnote>
  <w:footnote w:id="574">
    <w:p w14:paraId="5A2A4A01" w14:textId="0455847B" w:rsidR="00AB3781" w:rsidRDefault="00AB3781">
      <w:pPr>
        <w:pStyle w:val="Funotentext"/>
      </w:pPr>
      <w:r>
        <w:rPr>
          <w:rStyle w:val="Funotenzeichen"/>
        </w:rPr>
        <w:footnoteRef/>
      </w:r>
      <w:r>
        <w:t xml:space="preserve"> Siehe: </w:t>
      </w:r>
      <w:hyperlink r:id="rId454" w:history="1">
        <w:r w:rsidRPr="000E450C">
          <w:rPr>
            <w:rStyle w:val="Hyperlink"/>
          </w:rPr>
          <w:t>https://www.umweltbundesamt.at/fileadmin/site/themen/mobilitaet/daten/ekz_pkm_tkm_verkehrsmittel.pdf</w:t>
        </w:r>
      </w:hyperlink>
      <w:r>
        <w:t xml:space="preserve"> - Zugegriffen: 12.06.2024.</w:t>
      </w:r>
    </w:p>
  </w:footnote>
  <w:footnote w:id="575">
    <w:p w14:paraId="5820CAC2" w14:textId="1C531350" w:rsidR="00BE06C0" w:rsidRPr="001C4499" w:rsidRDefault="00BE06C0">
      <w:pPr>
        <w:pStyle w:val="Funotentext"/>
      </w:pPr>
      <w:r>
        <w:rPr>
          <w:rStyle w:val="Funotenzeichen"/>
        </w:rPr>
        <w:footnoteRef/>
      </w:r>
      <w:r w:rsidRPr="001C4499">
        <w:t xml:space="preserve"> Spediteure: CO2-Preis reinvestieren. FAZ, 27.05.2024. </w:t>
      </w:r>
    </w:p>
  </w:footnote>
  <w:footnote w:id="576">
    <w:p w14:paraId="79C5AFE5" w14:textId="3B2686D9" w:rsidR="00BB2662" w:rsidRDefault="00BB2662">
      <w:pPr>
        <w:pStyle w:val="Funotentext"/>
      </w:pPr>
      <w:r>
        <w:rPr>
          <w:rStyle w:val="Funotenzeichen"/>
        </w:rPr>
        <w:footnoteRef/>
      </w:r>
      <w:r>
        <w:t xml:space="preserve"> Siehe Geladen Batteriepodcast, 17.11.2024: </w:t>
      </w:r>
      <w:hyperlink r:id="rId455" w:history="1">
        <w:r w:rsidRPr="009B5CF7">
          <w:rPr>
            <w:rStyle w:val="Hyperlink"/>
          </w:rPr>
          <w:t>https://www.youtube.com/watch?v=oBhGXpQvBEw&amp;t=2093s</w:t>
        </w:r>
      </w:hyperlink>
      <w:r>
        <w:t xml:space="preserve"> – Zugegriffen: 19.11.2024.</w:t>
      </w:r>
    </w:p>
  </w:footnote>
  <w:footnote w:id="577">
    <w:p w14:paraId="4F30A941" w14:textId="6DD4D345" w:rsidR="00DE06C3" w:rsidRDefault="00DE06C3">
      <w:pPr>
        <w:pStyle w:val="Funotentext"/>
      </w:pPr>
      <w:r>
        <w:rPr>
          <w:rStyle w:val="Funotenzeichen"/>
        </w:rPr>
        <w:footnoteRef/>
      </w:r>
      <w:r>
        <w:t xml:space="preserve"> Siehe: </w:t>
      </w:r>
      <w:hyperlink r:id="rId456" w:history="1">
        <w:r w:rsidRPr="002A3412">
          <w:rPr>
            <w:rStyle w:val="Hyperlink"/>
          </w:rPr>
          <w:t>https://windrose.tech/about-us/</w:t>
        </w:r>
      </w:hyperlink>
      <w:r>
        <w:t xml:space="preserve"> - Zugegriffen: 16.04.2025. </w:t>
      </w:r>
    </w:p>
  </w:footnote>
  <w:footnote w:id="578">
    <w:p w14:paraId="5F1020D9" w14:textId="04BEC728" w:rsidR="00DE06C3" w:rsidRPr="00DE06C3" w:rsidRDefault="00DE06C3">
      <w:pPr>
        <w:pStyle w:val="Funotentext"/>
      </w:pPr>
      <w:r>
        <w:rPr>
          <w:rStyle w:val="Funotenzeichen"/>
        </w:rPr>
        <w:footnoteRef/>
      </w:r>
      <w:r w:rsidRPr="00DE06C3">
        <w:t xml:space="preserve"> Interview mit Wen </w:t>
      </w:r>
      <w:r>
        <w:t xml:space="preserve">Han, Gründer von Windrose. Die Leute haben Angst in die USA zu gehen. FAZ, 07.04.2025. </w:t>
      </w:r>
    </w:p>
  </w:footnote>
  <w:footnote w:id="579">
    <w:p w14:paraId="524DC0F6" w14:textId="77777777" w:rsidR="00112190" w:rsidRPr="001E33AB" w:rsidRDefault="00112190" w:rsidP="00112190">
      <w:pPr>
        <w:pStyle w:val="Funotentext"/>
      </w:pPr>
      <w:r>
        <w:rPr>
          <w:rStyle w:val="Funotenzeichen"/>
        </w:rPr>
        <w:footnoteRef/>
      </w:r>
      <w:r w:rsidRPr="00DE06C3">
        <w:t xml:space="preserve"> Christian Geinitz. </w:t>
      </w:r>
      <w:r>
        <w:t xml:space="preserve">Hohe CO2-Kosten könnten ins Leere laufen. </w:t>
      </w:r>
      <w:r w:rsidRPr="004C525C">
        <w:t xml:space="preserve">FAZ, 10.12.2020. </w:t>
      </w:r>
      <w:r w:rsidRPr="001E33AB">
        <w:t xml:space="preserve">URL: </w:t>
      </w:r>
      <w:hyperlink r:id="rId457" w:anchor="void-" w:history="1">
        <w:r w:rsidRPr="001E33AB">
          <w:rPr>
            <w:rStyle w:val="Hyperlink"/>
          </w:rPr>
          <w:t>https://www.faz.net/aktuell/wirtschaft/brennstoffgesetz-hohe-co2-kosten-koennten-ins-leere-laufen-17094218.html?printPagedArticle=true#void-</w:t>
        </w:r>
      </w:hyperlink>
      <w:r w:rsidRPr="001E33AB">
        <w:t xml:space="preserve"> Zu</w:t>
      </w:r>
      <w:r>
        <w:t xml:space="preserve">gegriffen: 12.11.2023. </w:t>
      </w:r>
    </w:p>
  </w:footnote>
  <w:footnote w:id="580">
    <w:p w14:paraId="0BF08DC3" w14:textId="77777777" w:rsidR="00112190" w:rsidRDefault="00112190" w:rsidP="00112190">
      <w:pPr>
        <w:pStyle w:val="Funotentext"/>
      </w:pPr>
      <w:r>
        <w:rPr>
          <w:rStyle w:val="Funotenzeichen"/>
        </w:rPr>
        <w:footnoteRef/>
      </w:r>
      <w:r>
        <w:t xml:space="preserve"> Siehe: </w:t>
      </w:r>
      <w:hyperlink r:id="rId458" w:history="1">
        <w:r w:rsidRPr="008D0F9C">
          <w:rPr>
            <w:rStyle w:val="Hyperlink"/>
          </w:rPr>
          <w:t>https://www.dehst.de/DE/Nationaler-Emissionshandel/Carbon-Leakage/carbon-leakage_node.html</w:t>
        </w:r>
      </w:hyperlink>
      <w:r>
        <w:t xml:space="preserve"> - Zugegriffen: 24.02.2024. </w:t>
      </w:r>
    </w:p>
  </w:footnote>
  <w:footnote w:id="581">
    <w:p w14:paraId="267B3700" w14:textId="77777777" w:rsidR="00112190" w:rsidRDefault="00112190" w:rsidP="00112190">
      <w:pPr>
        <w:pStyle w:val="Funotentext"/>
      </w:pPr>
      <w:r>
        <w:rPr>
          <w:rStyle w:val="Funotenzeichen"/>
        </w:rPr>
        <w:footnoteRef/>
      </w:r>
      <w:r>
        <w:t xml:space="preserve"> Siehe: </w:t>
      </w:r>
      <w:hyperlink r:id="rId459" w:history="1">
        <w:r w:rsidRPr="008D0F9C">
          <w:rPr>
            <w:rStyle w:val="Hyperlink"/>
          </w:rPr>
          <w:t>https://ec.europa.eu/commission/presscorner/detail/en/ip_23_4105</w:t>
        </w:r>
      </w:hyperlink>
      <w:r>
        <w:t xml:space="preserve"> - Zugegriffen: 24.02.2024. </w:t>
      </w:r>
    </w:p>
  </w:footnote>
  <w:footnote w:id="582">
    <w:p w14:paraId="5FF9C793" w14:textId="77777777" w:rsidR="00112190" w:rsidRDefault="00112190" w:rsidP="00112190">
      <w:pPr>
        <w:pStyle w:val="Funotentext"/>
      </w:pPr>
      <w:r>
        <w:rPr>
          <w:rStyle w:val="Funotenzeichen"/>
        </w:rPr>
        <w:footnoteRef/>
      </w:r>
      <w:r>
        <w:t xml:space="preserve"> Siehe: </w:t>
      </w:r>
      <w:hyperlink r:id="rId460" w:anchor="__bgbl__%2F%2F*%5B%40attr_id%3D%27bgbl121s3129.pdf%27%5D__1708778385511" w:history="1">
        <w:r w:rsidRPr="008D0F9C">
          <w:rPr>
            <w:rStyle w:val="Hyperlink"/>
          </w:rPr>
          <w:t>https://www.bgbl.de/xaver/bgbl/start.xav?startbk=Bundesanzeiger_BGBl&amp;jumpTo=bgbl121s3129.pdf#__bgbl__%2F%2F*%5B%40attr_id%3D%27bgbl121s3129.pdf%27%5D__1708778385511</w:t>
        </w:r>
      </w:hyperlink>
      <w:r>
        <w:t xml:space="preserve"> – Zugegriffen: 24.02.2024. </w:t>
      </w:r>
    </w:p>
  </w:footnote>
  <w:footnote w:id="583">
    <w:p w14:paraId="0C6A44AC" w14:textId="77777777" w:rsidR="00112190" w:rsidRDefault="00112190" w:rsidP="00112190">
      <w:pPr>
        <w:pStyle w:val="Funotentext"/>
      </w:pPr>
      <w:r>
        <w:rPr>
          <w:rStyle w:val="Funotenzeichen"/>
        </w:rPr>
        <w:footnoteRef/>
      </w:r>
      <w:r>
        <w:t xml:space="preserve"> Präsentation Katharina Bockisch, Einführung in die wesentlichen Regelungsinhalt der CL-Verordnung (BECV): </w:t>
      </w:r>
      <w:hyperlink r:id="rId461" w:history="1">
        <w:r w:rsidRPr="008D0F9C">
          <w:rPr>
            <w:rStyle w:val="Hyperlink"/>
          </w:rPr>
          <w:t>https://www.dehst.de/SharedDocs/downloads/DE/praesentationen/nehs-infoveranstaltung-2022-2-cl.pdf?__blob=publicationFile&amp;v=3</w:t>
        </w:r>
      </w:hyperlink>
      <w:r>
        <w:t xml:space="preserve"> – Zugegriffen: 24.02.2024.</w:t>
      </w:r>
    </w:p>
  </w:footnote>
  <w:footnote w:id="584">
    <w:p w14:paraId="63D92E08" w14:textId="77777777" w:rsidR="00112190" w:rsidRDefault="00112190" w:rsidP="00112190">
      <w:pPr>
        <w:pStyle w:val="Funotentext"/>
      </w:pPr>
      <w:r>
        <w:rPr>
          <w:rStyle w:val="Funotenzeichen"/>
        </w:rPr>
        <w:footnoteRef/>
      </w:r>
      <w:r>
        <w:t xml:space="preserve"> Siehe auf der Hauptwebseite unten die Excel-Datei BECV – Liste beihilfefähiger Produkte, 30.03.2023, siehe: </w:t>
      </w:r>
      <w:hyperlink r:id="rId462" w:history="1">
        <w:r w:rsidRPr="001D514D">
          <w:rPr>
            <w:rStyle w:val="Hyperlink"/>
          </w:rPr>
          <w:t>https://www.dehst.de/DE/Nationaler-Emissionshandel/Carbon-Leakage/carbon-leakage_node.html</w:t>
        </w:r>
      </w:hyperlink>
      <w:r>
        <w:t xml:space="preserve"> - Zugegriffen: 24.02.2024. Auch in Brennstoffemissionsgesetz (BEHG) findet sich unten eine solche Liste, ein Link dazu findet sich ebenfalls auf dieser </w:t>
      </w:r>
      <w:proofErr w:type="spellStart"/>
      <w:r>
        <w:t>DEHSt</w:t>
      </w:r>
      <w:proofErr w:type="spellEnd"/>
      <w:r>
        <w:t xml:space="preserve"> Webseite.  </w:t>
      </w:r>
    </w:p>
  </w:footnote>
  <w:footnote w:id="585">
    <w:p w14:paraId="30C2D441" w14:textId="5B74AB30" w:rsidR="0055219E" w:rsidRDefault="0055219E">
      <w:pPr>
        <w:pStyle w:val="Funotentext"/>
      </w:pPr>
      <w:r>
        <w:rPr>
          <w:rStyle w:val="Funotenzeichen"/>
        </w:rPr>
        <w:footnoteRef/>
      </w:r>
      <w:r>
        <w:t xml:space="preserve"> Siehe: </w:t>
      </w:r>
      <w:hyperlink r:id="rId463" w:history="1">
        <w:r w:rsidRPr="002B1437">
          <w:rPr>
            <w:rStyle w:val="Hyperlink"/>
          </w:rPr>
          <w:t>https://www.dehst.de/DE/Nationaler-Emissionshandel/Haertefaelle/haertefaelle_node.html</w:t>
        </w:r>
      </w:hyperlink>
      <w:r>
        <w:t xml:space="preserve"> - Zugegriffen: 27.06.2024. </w:t>
      </w:r>
    </w:p>
  </w:footnote>
  <w:footnote w:id="586">
    <w:p w14:paraId="1DC7E7EA" w14:textId="77777777" w:rsidR="00112190" w:rsidRDefault="00112190" w:rsidP="00112190">
      <w:pPr>
        <w:pStyle w:val="Funotentext"/>
      </w:pPr>
      <w:r>
        <w:rPr>
          <w:rStyle w:val="Funotenzeichen"/>
        </w:rPr>
        <w:footnoteRef/>
      </w:r>
      <w:r>
        <w:t xml:space="preserve"> Siehe: </w:t>
      </w:r>
      <w:hyperlink r:id="rId464" w:history="1">
        <w:r w:rsidRPr="00EF68D4">
          <w:rPr>
            <w:rStyle w:val="Hyperlink"/>
          </w:rPr>
          <w:t>https://www.dehst.de/DE/Strompreiskompensation/SPK_verstehen/spk-verstehen_node.html</w:t>
        </w:r>
      </w:hyperlink>
      <w:r>
        <w:t xml:space="preserve"> - Zugegriffen: 25.02.2024.</w:t>
      </w:r>
    </w:p>
  </w:footnote>
  <w:footnote w:id="587">
    <w:p w14:paraId="1918AAEA" w14:textId="77777777" w:rsidR="00112190" w:rsidRDefault="00112190" w:rsidP="00112190">
      <w:pPr>
        <w:pStyle w:val="Funotentext"/>
      </w:pPr>
      <w:r>
        <w:rPr>
          <w:rStyle w:val="Funotenzeichen"/>
        </w:rPr>
        <w:footnoteRef/>
      </w:r>
      <w:r>
        <w:t xml:space="preserve"> Siehe: </w:t>
      </w:r>
      <w:hyperlink r:id="rId465" w:history="1">
        <w:r w:rsidRPr="00EF68D4">
          <w:rPr>
            <w:rStyle w:val="Hyperlink"/>
          </w:rPr>
          <w:t>https://www.dehst.de/DE/Strompreiskompensation/SPK_verstehen/spk-verstehen_node.html</w:t>
        </w:r>
      </w:hyperlink>
      <w:r>
        <w:t xml:space="preserve"> - Zugegriffen: 25.02.2024.</w:t>
      </w:r>
    </w:p>
  </w:footnote>
  <w:footnote w:id="588">
    <w:p w14:paraId="6261A19B" w14:textId="77777777" w:rsidR="00112190" w:rsidRDefault="00112190" w:rsidP="00112190">
      <w:pPr>
        <w:pStyle w:val="Funotentext"/>
      </w:pPr>
      <w:r>
        <w:rPr>
          <w:rStyle w:val="Funotenzeichen"/>
        </w:rPr>
        <w:footnoteRef/>
      </w:r>
      <w:r>
        <w:t xml:space="preserve"> Leitlinien für bestimmte Beihilfemaßnahmen im Zusammenhang mit dem System für den Handel mit</w:t>
      </w:r>
    </w:p>
    <w:p w14:paraId="5681A5E7" w14:textId="77777777" w:rsidR="00112190" w:rsidRDefault="00112190" w:rsidP="00112190">
      <w:pPr>
        <w:pStyle w:val="Funotentext"/>
      </w:pPr>
      <w:r>
        <w:t>Treibhausgasemissionszertifikaten nach 2021</w:t>
      </w:r>
    </w:p>
    <w:p w14:paraId="46C66CA7" w14:textId="77777777" w:rsidR="00112190" w:rsidRDefault="00112190" w:rsidP="00112190">
      <w:pPr>
        <w:pStyle w:val="Funotentext"/>
      </w:pPr>
      <w:r>
        <w:t xml:space="preserve">(2020/C 317/04), siehe: </w:t>
      </w:r>
      <w:hyperlink r:id="rId466" w:history="1">
        <w:r w:rsidRPr="00EF68D4">
          <w:rPr>
            <w:rStyle w:val="Hyperlink"/>
          </w:rPr>
          <w:t>https://eur-lex.europa.eu/legal-content/DE/TXT/PDF/?uri=CELEX:52020XC0925(01)&amp;from=DE</w:t>
        </w:r>
      </w:hyperlink>
      <w:r>
        <w:t xml:space="preserve"> – Zugegriffen: 24.02.2024.</w:t>
      </w:r>
    </w:p>
  </w:footnote>
  <w:footnote w:id="589">
    <w:p w14:paraId="4543256C" w14:textId="77777777" w:rsidR="00112190" w:rsidRDefault="00112190" w:rsidP="00112190">
      <w:pPr>
        <w:pStyle w:val="Funotentext"/>
      </w:pPr>
      <w:r>
        <w:rPr>
          <w:rStyle w:val="Funotenzeichen"/>
        </w:rPr>
        <w:footnoteRef/>
      </w:r>
      <w:r>
        <w:t xml:space="preserve"> Siehe: </w:t>
      </w:r>
      <w:hyperlink r:id="rId467" w:history="1">
        <w:r w:rsidRPr="00EF68D4">
          <w:rPr>
            <w:rStyle w:val="Hyperlink"/>
          </w:rPr>
          <w:t>https://www.bundesanzeiger.de/pub/publication/pBGETer9tMfhgyQW8zK/content/pBGETer9tMfhgyQW8zK/BAnz%20AT%2001.09.2022%20B1.pdf?inline</w:t>
        </w:r>
      </w:hyperlink>
      <w:r>
        <w:t xml:space="preserve"> – Zugegriffen: 24.02.2024. </w:t>
      </w:r>
    </w:p>
  </w:footnote>
  <w:footnote w:id="590">
    <w:p w14:paraId="37F20B9F" w14:textId="6894E0D8" w:rsidR="00C1683D" w:rsidRDefault="00C1683D">
      <w:pPr>
        <w:pStyle w:val="Funotentext"/>
      </w:pPr>
      <w:r>
        <w:rPr>
          <w:rStyle w:val="Funotenzeichen"/>
        </w:rPr>
        <w:footnoteRef/>
      </w:r>
      <w:r>
        <w:t xml:space="preserve"> Siehe: </w:t>
      </w:r>
      <w:hyperlink r:id="rId468" w:history="1">
        <w:r w:rsidR="00757CF2" w:rsidRPr="000D50D6">
          <w:rPr>
            <w:rStyle w:val="Hyperlink"/>
          </w:rPr>
          <w:t>https://www.dehst.de/SharedDocs/Newsletter/DE/2025/07-04-2025-spk-lf-veranstaltung-antragsfrist.html?view=renderNewsletterHtml</w:t>
        </w:r>
      </w:hyperlink>
      <w:r w:rsidR="00757CF2">
        <w:t xml:space="preserve"> – siehe auch: </w:t>
      </w:r>
      <w:hyperlink r:id="rId469" w:history="1">
        <w:r w:rsidRPr="00C1683D">
          <w:rPr>
            <w:rStyle w:val="Hyperlink"/>
          </w:rPr>
          <w:t>https://www.dehst.de/DE/Themen/SPK/spk_node.html</w:t>
        </w:r>
      </w:hyperlink>
      <w:r w:rsidR="00757CF2">
        <w:t xml:space="preserve"> - Zugegriffen: 20.7.2025.</w:t>
      </w:r>
    </w:p>
  </w:footnote>
  <w:footnote w:id="591">
    <w:p w14:paraId="33AE340D" w14:textId="77777777" w:rsidR="00663268" w:rsidRDefault="00663268" w:rsidP="00663268">
      <w:pPr>
        <w:pStyle w:val="Funotentext"/>
      </w:pPr>
      <w:r>
        <w:rPr>
          <w:rStyle w:val="Funotenzeichen"/>
        </w:rPr>
        <w:footnoteRef/>
      </w:r>
      <w:r>
        <w:t xml:space="preserve"> Siehe </w:t>
      </w:r>
      <w:proofErr w:type="spellStart"/>
      <w:r>
        <w:t>DEHSt</w:t>
      </w:r>
      <w:proofErr w:type="spellEnd"/>
      <w:r>
        <w:t xml:space="preserve">. SPK-Bericht 2023: </w:t>
      </w:r>
      <w:hyperlink r:id="rId470" w:history="1">
        <w:r w:rsidRPr="000D50D6">
          <w:rPr>
            <w:rStyle w:val="Hyperlink"/>
          </w:rPr>
          <w:t>https://www.dehst.de/SharedDocs/downloads/DE/spk/Auswertungsbericht_2023.pdf?__blob=publicationFile&amp;v=3</w:t>
        </w:r>
      </w:hyperlink>
      <w:r>
        <w:t xml:space="preserve"> – Zugegriffen: 20.07.2025. </w:t>
      </w:r>
    </w:p>
  </w:footnote>
  <w:footnote w:id="592">
    <w:p w14:paraId="3BFF8982" w14:textId="77777777" w:rsidR="00112190" w:rsidRDefault="00112190" w:rsidP="00112190">
      <w:pPr>
        <w:pStyle w:val="Funotentext"/>
      </w:pPr>
      <w:r>
        <w:rPr>
          <w:rStyle w:val="Funotenzeichen"/>
        </w:rPr>
        <w:footnoteRef/>
      </w:r>
      <w:r>
        <w:t xml:space="preserve"> Siehe: </w:t>
      </w:r>
      <w:hyperlink r:id="rId471" w:history="1">
        <w:r w:rsidRPr="00EF68D4">
          <w:rPr>
            <w:rStyle w:val="Hyperlink"/>
          </w:rPr>
          <w:t>https://www.dehst.de/SharedDocs/downloads/DE/spk/spk-transparenzbericht-2021.pdf?__blob=publicationFile&amp;v=3</w:t>
        </w:r>
      </w:hyperlink>
      <w:r>
        <w:t xml:space="preserve"> – Zugegriffen: 24.02.2024.</w:t>
      </w:r>
    </w:p>
  </w:footnote>
  <w:footnote w:id="593">
    <w:p w14:paraId="4C3D7B64" w14:textId="77777777" w:rsidR="004F487E" w:rsidRDefault="004F487E" w:rsidP="004F487E">
      <w:pPr>
        <w:pStyle w:val="Funotentext"/>
      </w:pPr>
      <w:r>
        <w:rPr>
          <w:rStyle w:val="Funotenzeichen"/>
        </w:rPr>
        <w:footnoteRef/>
      </w:r>
      <w:r>
        <w:t xml:space="preserve"> Siehe: </w:t>
      </w:r>
      <w:hyperlink r:id="rId472" w:history="1">
        <w:r w:rsidRPr="00EF68D4">
          <w:rPr>
            <w:rStyle w:val="Hyperlink"/>
          </w:rPr>
          <w:t>https://www.dehst.de/SharedDocs/downloads/DE/spk/spk-transparenzbericht-2021.pdf?__blob=publicationFile&amp;v=3</w:t>
        </w:r>
      </w:hyperlink>
      <w:r>
        <w:t xml:space="preserve"> – Zugegriffen: 24.02.2024.</w:t>
      </w:r>
    </w:p>
  </w:footnote>
  <w:footnote w:id="594">
    <w:p w14:paraId="1DDA13D6" w14:textId="48C8508E" w:rsidR="004F487E" w:rsidRPr="004F487E" w:rsidRDefault="004F487E">
      <w:pPr>
        <w:pStyle w:val="Funotentext"/>
      </w:pPr>
      <w:r>
        <w:rPr>
          <w:rStyle w:val="Funotenzeichen"/>
        </w:rPr>
        <w:footnoteRef/>
      </w:r>
      <w:r w:rsidRPr="004F487E">
        <w:t xml:space="preserve"> So zumindest die Angabe in</w:t>
      </w:r>
      <w:r>
        <w:t xml:space="preserve">: </w:t>
      </w:r>
      <w:r w:rsidRPr="004F487E">
        <w:t xml:space="preserve">NZIA Staff Working </w:t>
      </w:r>
      <w:proofErr w:type="spellStart"/>
      <w:r w:rsidRPr="004F487E">
        <w:t>Document</w:t>
      </w:r>
      <w:proofErr w:type="spellEnd"/>
      <w:r w:rsidRPr="004F487E">
        <w:t xml:space="preserve"> 2023: </w:t>
      </w:r>
      <w:r>
        <w:t>61-63</w:t>
      </w:r>
      <w:r w:rsidRPr="004F487E">
        <w:t>.</w:t>
      </w:r>
    </w:p>
  </w:footnote>
  <w:footnote w:id="595">
    <w:p w14:paraId="2941DE7B" w14:textId="35009E8D" w:rsidR="00BA20C4" w:rsidRDefault="00BA20C4">
      <w:pPr>
        <w:pStyle w:val="Funotentext"/>
      </w:pPr>
      <w:r>
        <w:rPr>
          <w:rStyle w:val="Funotenzeichen"/>
        </w:rPr>
        <w:footnoteRef/>
      </w:r>
      <w:r>
        <w:t xml:space="preserve"> Wacker konnte auch nach China exportieren, durch ein spezielles Abkommen, das Importe aus deutschen Fabriken von handelspolitischen China Zöllen gegen USA und Südkorea ausgenommen hatte. Neben China, dass für 72 % der weltweiten Kapazität aufkommt, gibt es auch in anderen Ländern Firmen, 10 Firmen produzieren Polysilizium auf der Welt. </w:t>
      </w:r>
      <w:r w:rsidR="00A92951">
        <w:t xml:space="preserve">Da der Grundstoff Quarzsand genügend vorhanden ist und der Produktionsprozess einfach ist, ist hier eine Dominanz von China nicht zu befürchten. </w:t>
      </w:r>
      <w:r>
        <w:t xml:space="preserve">Die westlichen Firmen sind gut darin, auch verfeinertes Polysilizium für die Chipherstellung bereitzustellen. </w:t>
      </w:r>
      <w:r w:rsidR="00246FF3">
        <w:t>DOE Solar 2022</w:t>
      </w:r>
      <w:r>
        <w:t>: 28.</w:t>
      </w:r>
    </w:p>
  </w:footnote>
  <w:footnote w:id="596">
    <w:p w14:paraId="2B172E14" w14:textId="021686AE" w:rsidR="00A14D9E" w:rsidRDefault="00A14D9E">
      <w:pPr>
        <w:pStyle w:val="Funotentext"/>
      </w:pPr>
      <w:r>
        <w:rPr>
          <w:rStyle w:val="Funotenzeichen"/>
        </w:rPr>
        <w:footnoteRef/>
      </w:r>
      <w:r>
        <w:t xml:space="preserve"> Nicht für Wacker, die auch </w:t>
      </w:r>
      <w:proofErr w:type="gramStart"/>
      <w:r>
        <w:t>in der USA</w:t>
      </w:r>
      <w:proofErr w:type="gramEnd"/>
      <w:r>
        <w:t xml:space="preserve"> produzieren, sondern für mehrere Werke von </w:t>
      </w:r>
      <w:proofErr w:type="spellStart"/>
      <w:r>
        <w:t>Ferroglobe</w:t>
      </w:r>
      <w:proofErr w:type="spellEnd"/>
      <w:r w:rsidR="00A5043C">
        <w:t xml:space="preserve"> und Quebec Silicon,</w:t>
      </w:r>
      <w:r>
        <w:t xml:space="preserve"> schließen so: DOE Solar 2022: 17.</w:t>
      </w:r>
    </w:p>
  </w:footnote>
  <w:footnote w:id="597">
    <w:p w14:paraId="38744888" w14:textId="5396D7C0" w:rsidR="0025195A" w:rsidRDefault="0025195A">
      <w:pPr>
        <w:pStyle w:val="Funotentext"/>
      </w:pPr>
      <w:r>
        <w:rPr>
          <w:rStyle w:val="Funotenzeichen"/>
        </w:rPr>
        <w:footnoteRef/>
      </w:r>
      <w:r>
        <w:t xml:space="preserve"> Siehe: </w:t>
      </w:r>
      <w:hyperlink r:id="rId473" w:history="1">
        <w:r w:rsidRPr="000D50D6">
          <w:rPr>
            <w:rStyle w:val="Hyperlink"/>
          </w:rPr>
          <w:t>https://energieinstitut.net/sites/default/files/factsheet-beihilfeindirekteco2-kosten.pdf</w:t>
        </w:r>
      </w:hyperlink>
      <w:r>
        <w:t xml:space="preserve"> - Zugegriffen: 20.07.2025. </w:t>
      </w:r>
    </w:p>
  </w:footnote>
  <w:footnote w:id="598">
    <w:p w14:paraId="54DDB407" w14:textId="77777777" w:rsidR="000C33F3" w:rsidRDefault="000C33F3" w:rsidP="000C33F3">
      <w:pPr>
        <w:pStyle w:val="Funotentext"/>
      </w:pPr>
      <w:r>
        <w:rPr>
          <w:rStyle w:val="Funotenzeichen"/>
        </w:rPr>
        <w:footnoteRef/>
      </w:r>
      <w:r>
        <w:t xml:space="preserve"> Siehe: Andreas Fischer, Thilo Schäfer. IW-Kurzbericht Nr. 49, Strompreispaket: Kurzfristige Entlastung für Haushalte und KMW, 24.05.2025, siehe: </w:t>
      </w:r>
      <w:hyperlink r:id="rId474" w:history="1">
        <w:r w:rsidRPr="000D50D6">
          <w:rPr>
            <w:rStyle w:val="Hyperlink"/>
          </w:rPr>
          <w:t>https://www.iwkoeln.de/studien/andreas-fischer-thilo-schaefer-kurzfristige-entlastung-fuer-haushalte-und-kmu.html</w:t>
        </w:r>
      </w:hyperlink>
      <w:r>
        <w:t xml:space="preserve"> - Zugegriffen: 20.07.2025. </w:t>
      </w:r>
    </w:p>
  </w:footnote>
  <w:footnote w:id="599">
    <w:p w14:paraId="554B21EF" w14:textId="77777777" w:rsidR="00112190" w:rsidRDefault="00112190" w:rsidP="00112190">
      <w:pPr>
        <w:pStyle w:val="Funotentext"/>
      </w:pPr>
      <w:r>
        <w:rPr>
          <w:rStyle w:val="Funotenzeichen"/>
        </w:rPr>
        <w:footnoteRef/>
      </w:r>
      <w:r w:rsidRPr="007A741A">
        <w:t xml:space="preserve"> Hanna Decker. </w:t>
      </w:r>
      <w:r>
        <w:t xml:space="preserve">Manche zahlen weniger für Strom als vor der Krise. FAZ, Wirtschaft, 04.03.2024. </w:t>
      </w:r>
    </w:p>
  </w:footnote>
  <w:footnote w:id="600">
    <w:p w14:paraId="2700C531" w14:textId="5384F592" w:rsidR="00C20B9B" w:rsidRPr="00C20B9B" w:rsidRDefault="00C20B9B">
      <w:pPr>
        <w:pStyle w:val="Funotentext"/>
      </w:pPr>
      <w:r>
        <w:rPr>
          <w:rStyle w:val="Funotenzeichen"/>
        </w:rPr>
        <w:footnoteRef/>
      </w:r>
      <w:r w:rsidRPr="00C20B9B">
        <w:t xml:space="preserve"> Tabelle 11, S. 31. Siehe: </w:t>
      </w:r>
      <w:hyperlink r:id="rId475" w:history="1">
        <w:r w:rsidRPr="0095787D">
          <w:rPr>
            <w:rStyle w:val="Hyperlink"/>
          </w:rPr>
          <w:t>https://www.vci.de/vci/downloads-vci/publikation/chiz-historisch/chemiewirtschaft-in-zahlen-2024.pdf</w:t>
        </w:r>
      </w:hyperlink>
      <w:r>
        <w:t xml:space="preserve"> - Zugegriffen: 26.11.2024. </w:t>
      </w:r>
    </w:p>
  </w:footnote>
  <w:footnote w:id="601">
    <w:p w14:paraId="09281865" w14:textId="77777777" w:rsidR="003D0790" w:rsidRPr="00652556" w:rsidRDefault="003D0790" w:rsidP="003D0790">
      <w:pPr>
        <w:pStyle w:val="Funotentext"/>
      </w:pPr>
      <w:r>
        <w:rPr>
          <w:rStyle w:val="Funotenzeichen"/>
        </w:rPr>
        <w:footnoteRef/>
      </w:r>
      <w:r w:rsidRPr="00652556">
        <w:t xml:space="preserve"> Grimm et al. 2023: 4. </w:t>
      </w:r>
    </w:p>
  </w:footnote>
  <w:footnote w:id="602">
    <w:p w14:paraId="3E61A245" w14:textId="77777777" w:rsidR="00112190" w:rsidRDefault="00112190" w:rsidP="00112190">
      <w:pPr>
        <w:pStyle w:val="Funotentext"/>
      </w:pPr>
      <w:r>
        <w:rPr>
          <w:rStyle w:val="Funotenzeichen"/>
        </w:rPr>
        <w:footnoteRef/>
      </w:r>
      <w:r>
        <w:t xml:space="preserve"> S. 50-52, Statistisches Bundesamt. Preise. Daten zur Energiepreisentwicklung. </w:t>
      </w:r>
      <w:r w:rsidRPr="00A65F80">
        <w:t>Lange Reihen von Januar 2005 bis Januar 2023</w:t>
      </w:r>
      <w:r>
        <w:t>. 2023.</w:t>
      </w:r>
      <w:r w:rsidRPr="00A65F80">
        <w:t xml:space="preserve"> </w:t>
      </w:r>
      <w:r>
        <w:t xml:space="preserve">Siehe: </w:t>
      </w:r>
      <w:hyperlink r:id="rId476" w:history="1">
        <w:r w:rsidRPr="00EF68D4">
          <w:rPr>
            <w:rStyle w:val="Hyperlink"/>
          </w:rPr>
          <w:t>https://www.destatis.de/DE/Themen/Wirtschaft/Preise/Publikationen/Energiepreise/energiepreisentwicklung-pdf-5619001.pdf?__blob=publicationFile</w:t>
        </w:r>
      </w:hyperlink>
      <w:r>
        <w:t xml:space="preserve"> – Zugegriffen: 24.02.2024. </w:t>
      </w:r>
    </w:p>
  </w:footnote>
  <w:footnote w:id="603">
    <w:p w14:paraId="63EAA936" w14:textId="60695A70" w:rsidR="00590A85" w:rsidRDefault="00590A85" w:rsidP="00590A85">
      <w:pPr>
        <w:pStyle w:val="Funotentext"/>
      </w:pPr>
      <w:r>
        <w:rPr>
          <w:rStyle w:val="Funotenzeichen"/>
        </w:rPr>
        <w:footnoteRef/>
      </w:r>
      <w:r>
        <w:t xml:space="preserve"> Siehe</w:t>
      </w:r>
      <w:r w:rsidR="00203593">
        <w:t>, S. 68</w:t>
      </w:r>
      <w:r w:rsidR="00FC2C84">
        <w:t>, siehe dort auch S. 26-28</w:t>
      </w:r>
      <w:r>
        <w:t xml:space="preserve">: Agora. Die Energiewende in Deutschland: Stand der Dinge 2024, 07.01.2025. Siehe: </w:t>
      </w:r>
      <w:hyperlink r:id="rId477" w:history="1">
        <w:r w:rsidRPr="00E34DD2">
          <w:rPr>
            <w:rStyle w:val="Hyperlink"/>
          </w:rPr>
          <w:t>https://www.agora-energiewende.de/publikationen/die-energiewende-in-deutschland-stand-der-dinge-2024</w:t>
        </w:r>
      </w:hyperlink>
      <w:r>
        <w:t xml:space="preserve"> - Zugegriffen: 08.01.2025.  </w:t>
      </w:r>
    </w:p>
  </w:footnote>
  <w:footnote w:id="604">
    <w:p w14:paraId="60837577" w14:textId="77777777" w:rsidR="003952D7" w:rsidRPr="00525BB3" w:rsidRDefault="003952D7" w:rsidP="003952D7">
      <w:pPr>
        <w:pStyle w:val="Funotentext"/>
      </w:pPr>
      <w:r>
        <w:rPr>
          <w:rStyle w:val="Funotenzeichen"/>
        </w:rPr>
        <w:footnoteRef/>
      </w:r>
      <w:r w:rsidRPr="00525BB3">
        <w:t xml:space="preserve"> Nikolas Zaboji. Frankreichs</w:t>
      </w:r>
      <w:r>
        <w:t xml:space="preserve"> Atomriese verdient sich eine goldene Nase. FAZ, 22.05.2025. </w:t>
      </w:r>
    </w:p>
  </w:footnote>
  <w:footnote w:id="605">
    <w:p w14:paraId="6BC285C3" w14:textId="2655ACE5" w:rsidR="00525BB3" w:rsidRPr="00525BB3" w:rsidRDefault="00525BB3">
      <w:pPr>
        <w:pStyle w:val="Funotentext"/>
      </w:pPr>
      <w:r>
        <w:rPr>
          <w:rStyle w:val="Funotenzeichen"/>
        </w:rPr>
        <w:footnoteRef/>
      </w:r>
      <w:r w:rsidRPr="00525BB3">
        <w:t xml:space="preserve"> Nikolas Zaboji. Frankreichs</w:t>
      </w:r>
      <w:r>
        <w:t xml:space="preserve"> Atomriese verdient sich eine goldene Nase. FAZ, 22.05.2025. </w:t>
      </w:r>
    </w:p>
  </w:footnote>
  <w:footnote w:id="606">
    <w:p w14:paraId="30AD9D0B" w14:textId="1D635052" w:rsidR="00221EB5" w:rsidRDefault="00221EB5">
      <w:pPr>
        <w:pStyle w:val="Funotentext"/>
      </w:pPr>
      <w:r>
        <w:rPr>
          <w:rStyle w:val="Funotenzeichen"/>
        </w:rPr>
        <w:footnoteRef/>
      </w:r>
      <w:r>
        <w:t xml:space="preserve"> Siehe: </w:t>
      </w:r>
      <w:hyperlink r:id="rId478" w:history="1">
        <w:r w:rsidRPr="003516DB">
          <w:rPr>
            <w:rStyle w:val="Hyperlink"/>
          </w:rPr>
          <w:t>https://www.bundesanzeiger.de/pub/publication/dphpaDtrbve3zAhLMUF/content/dphpaDtrbve3zAhLMUF/BAnz%20AT%2026.03.2024%20B2.pdf?inline</w:t>
        </w:r>
      </w:hyperlink>
      <w:r>
        <w:t xml:space="preserve"> – Zugegriffen: 17.04.2025.</w:t>
      </w:r>
    </w:p>
  </w:footnote>
  <w:footnote w:id="607">
    <w:p w14:paraId="3982E010" w14:textId="3AFF0C34" w:rsidR="00203593" w:rsidRDefault="00203593" w:rsidP="00203593">
      <w:pPr>
        <w:pStyle w:val="Funotentext"/>
      </w:pPr>
      <w:r>
        <w:rPr>
          <w:rStyle w:val="Funotenzeichen"/>
        </w:rPr>
        <w:footnoteRef/>
      </w:r>
      <w:r w:rsidRPr="00525BB3">
        <w:t xml:space="preserve"> Siehe, S. 28: Agora. </w:t>
      </w:r>
      <w:r>
        <w:t xml:space="preserve">Die Energiewende in Deutschland: Stand der Dinge 2024, 07.01.2025. Siehe: </w:t>
      </w:r>
      <w:hyperlink r:id="rId479" w:history="1">
        <w:r w:rsidRPr="00E34DD2">
          <w:rPr>
            <w:rStyle w:val="Hyperlink"/>
          </w:rPr>
          <w:t>https://www.agora-energiewende.de/publikationen/die-energiewende-in-deutschland-stand-der-dinge-2024</w:t>
        </w:r>
      </w:hyperlink>
      <w:r>
        <w:t xml:space="preserve"> - Zugegriffen: 08.01.2025.  </w:t>
      </w:r>
    </w:p>
  </w:footnote>
  <w:footnote w:id="608">
    <w:p w14:paraId="5E82AB46" w14:textId="59DAAB25" w:rsidR="00FC2C84" w:rsidRDefault="00FC2C84" w:rsidP="00FC2C84">
      <w:pPr>
        <w:pStyle w:val="Funotentext"/>
      </w:pPr>
      <w:r>
        <w:rPr>
          <w:rStyle w:val="Funotenzeichen"/>
        </w:rPr>
        <w:footnoteRef/>
      </w:r>
      <w:r>
        <w:t xml:space="preserve"> Siehe, S. 26-28, 31-35: Agora. Die Energiewende in Deutschland: Stand der Dinge 2024, 07.01.2025. Siehe: </w:t>
      </w:r>
      <w:hyperlink r:id="rId480" w:history="1">
        <w:r w:rsidRPr="00E34DD2">
          <w:rPr>
            <w:rStyle w:val="Hyperlink"/>
          </w:rPr>
          <w:t>https://www.agora-energiewende.de/publikationen/die-energiewende-in-deutschland-stand-der-dinge-2024</w:t>
        </w:r>
      </w:hyperlink>
      <w:r>
        <w:t xml:space="preserve"> - Zugegriffen: 08.01.2025.  </w:t>
      </w:r>
    </w:p>
  </w:footnote>
  <w:footnote w:id="609">
    <w:p w14:paraId="2D5B5AA7" w14:textId="2ADE07DB" w:rsidR="0092210B" w:rsidRDefault="0092210B" w:rsidP="0092210B">
      <w:pPr>
        <w:pStyle w:val="Funotentext"/>
      </w:pPr>
      <w:r>
        <w:rPr>
          <w:rStyle w:val="Funotenzeichen"/>
        </w:rPr>
        <w:footnoteRef/>
      </w:r>
      <w:r>
        <w:t xml:space="preserve"> </w:t>
      </w:r>
      <w:proofErr w:type="gramStart"/>
      <w:r>
        <w:t>BDI Energiewende</w:t>
      </w:r>
      <w:proofErr w:type="gramEnd"/>
      <w:r>
        <w:t xml:space="preserve"> auf Kurs bringen 2025: 15-17, </w:t>
      </w:r>
      <w:r w:rsidR="00743552">
        <w:t xml:space="preserve">siehe vor allem </w:t>
      </w:r>
      <w:r>
        <w:t xml:space="preserve">S. 15 </w:t>
      </w:r>
      <w:proofErr w:type="spellStart"/>
      <w:r>
        <w:t>Fussnote</w:t>
      </w:r>
      <w:proofErr w:type="spellEnd"/>
      <w:r>
        <w:t xml:space="preserve"> 16, Tabelle 41 auf S. 51.</w:t>
      </w:r>
    </w:p>
  </w:footnote>
  <w:footnote w:id="610">
    <w:p w14:paraId="13F7FBE6" w14:textId="0793F2D4" w:rsidR="00743552" w:rsidRDefault="00743552">
      <w:pPr>
        <w:pStyle w:val="Funotentext"/>
      </w:pPr>
      <w:r>
        <w:rPr>
          <w:rStyle w:val="Funotenzeichen"/>
        </w:rPr>
        <w:footnoteRef/>
      </w:r>
      <w:r>
        <w:t xml:space="preserve"> </w:t>
      </w:r>
      <w:proofErr w:type="gramStart"/>
      <w:r>
        <w:t>BDI Energiewende</w:t>
      </w:r>
      <w:proofErr w:type="gramEnd"/>
      <w:r>
        <w:t xml:space="preserve"> auf Kurs bringen 2025: 18.</w:t>
      </w:r>
    </w:p>
  </w:footnote>
  <w:footnote w:id="611">
    <w:p w14:paraId="429AFFBE" w14:textId="77777777" w:rsidR="00112190" w:rsidRDefault="00112190" w:rsidP="00112190">
      <w:pPr>
        <w:pStyle w:val="Funotentext"/>
      </w:pPr>
      <w:r>
        <w:rPr>
          <w:rStyle w:val="Funotenzeichen"/>
        </w:rPr>
        <w:footnoteRef/>
      </w:r>
      <w:r>
        <w:t xml:space="preserve"> Siehe Faire Energiewende, Strompreispaket enthält Licht und Schatten: </w:t>
      </w:r>
      <w:hyperlink r:id="rId481" w:history="1">
        <w:r w:rsidRPr="00DD253A">
          <w:rPr>
            <w:rStyle w:val="Hyperlink"/>
          </w:rPr>
          <w:t>https://www.faire-energiewende.de/strompreispaket-enthalt-licht-und-schatten-fur-den-energieintensiven-industriellen-mittelstand/</w:t>
        </w:r>
      </w:hyperlink>
      <w:r>
        <w:t xml:space="preserve"> - Zugegriffen: 12.11.2023. </w:t>
      </w:r>
    </w:p>
  </w:footnote>
  <w:footnote w:id="612">
    <w:p w14:paraId="4F51EB39" w14:textId="77777777" w:rsidR="00112190" w:rsidRDefault="00112190" w:rsidP="00112190">
      <w:pPr>
        <w:pStyle w:val="Funotentext"/>
      </w:pPr>
      <w:r>
        <w:rPr>
          <w:rStyle w:val="Funotenzeichen"/>
        </w:rPr>
        <w:footnoteRef/>
      </w:r>
      <w:r>
        <w:t xml:space="preserve"> Bundesrechnungshof 2024: 34</w:t>
      </w:r>
    </w:p>
  </w:footnote>
  <w:footnote w:id="613">
    <w:p w14:paraId="14B9C353" w14:textId="77777777" w:rsidR="00112190" w:rsidRDefault="00112190" w:rsidP="00112190">
      <w:pPr>
        <w:pStyle w:val="Funotentext"/>
      </w:pPr>
      <w:r>
        <w:rPr>
          <w:rStyle w:val="Funotenzeichen"/>
        </w:rPr>
        <w:footnoteRef/>
      </w:r>
      <w:r>
        <w:t xml:space="preserve"> Siehe: </w:t>
      </w:r>
      <w:hyperlink r:id="rId482" w:history="1">
        <w:r w:rsidRPr="00DD253A">
          <w:rPr>
            <w:rStyle w:val="Hyperlink"/>
          </w:rPr>
          <w:t>https://www.faire-energiewende.de/strompreispaket-enthalt-licht-und-schatten-fur-den-energieintensiven-industriellen-mittelstand/</w:t>
        </w:r>
      </w:hyperlink>
      <w:r>
        <w:t xml:space="preserve"> - Zugegriffen: 12.11.2023. </w:t>
      </w:r>
    </w:p>
  </w:footnote>
  <w:footnote w:id="614">
    <w:p w14:paraId="7B703855" w14:textId="084DD212" w:rsidR="00D706CE" w:rsidRDefault="00D706CE">
      <w:pPr>
        <w:pStyle w:val="Funotentext"/>
      </w:pPr>
      <w:r>
        <w:rPr>
          <w:rStyle w:val="Funotenzeichen"/>
        </w:rPr>
        <w:footnoteRef/>
      </w:r>
      <w:r>
        <w:t xml:space="preserve"> Grimm et al. </w:t>
      </w:r>
      <w:r w:rsidR="0081232C">
        <w:t>2023: 5.</w:t>
      </w:r>
    </w:p>
  </w:footnote>
  <w:footnote w:id="615">
    <w:p w14:paraId="77BC1F6F" w14:textId="11FF6945" w:rsidR="00794939" w:rsidRDefault="00794939">
      <w:pPr>
        <w:pStyle w:val="Funotentext"/>
      </w:pPr>
      <w:r>
        <w:rPr>
          <w:rStyle w:val="Funotenzeichen"/>
        </w:rPr>
        <w:footnoteRef/>
      </w:r>
      <w:r>
        <w:t xml:space="preserve"> Wirtschaft will Staatszuschuss für Netzentgelt. FAZ, 12.10.2024. </w:t>
      </w:r>
    </w:p>
  </w:footnote>
  <w:footnote w:id="616">
    <w:p w14:paraId="64DA7C85" w14:textId="375499DB" w:rsidR="009F3C4F" w:rsidRDefault="009F3C4F">
      <w:pPr>
        <w:pStyle w:val="Funotentext"/>
      </w:pPr>
      <w:r>
        <w:rPr>
          <w:rStyle w:val="Funotenzeichen"/>
        </w:rPr>
        <w:footnoteRef/>
      </w:r>
      <w:r w:rsidR="00221EB5">
        <w:t xml:space="preserve"> </w:t>
      </w:r>
      <w:r>
        <w:t>Ich kann d</w:t>
      </w:r>
      <w:r w:rsidR="00221EB5">
        <w:t>as Super-Cap</w:t>
      </w:r>
      <w:r>
        <w:t xml:space="preserve"> hier nicht</w:t>
      </w:r>
      <w:r w:rsidR="00221EB5">
        <w:t xml:space="preserve"> erklären</w:t>
      </w:r>
      <w:r>
        <w:t>.</w:t>
      </w:r>
      <w:r w:rsidR="00221EB5">
        <w:t xml:space="preserve"> ChatGPT schreibt:</w:t>
      </w:r>
      <w:r>
        <w:t xml:space="preserve"> Es geht darum, dass die anrechenbaren indirekten CO2 Kosten auf maximal 1,5 % der Bruttowertschöpfung eines Unternehmens begrenzt werden. Dadurch werden die Stromkosten deutlich reduziert, ab 2024 fällt der Sockelbetrag weg, was die Beihilfe reduzierte, wenn </w:t>
      </w:r>
      <w:proofErr w:type="gramStart"/>
      <w:r>
        <w:t>eine Unternehmen</w:t>
      </w:r>
      <w:proofErr w:type="gramEnd"/>
      <w:r>
        <w:t xml:space="preserve"> eine niedrige Wertschöpfung aufwies.</w:t>
      </w:r>
      <w:r w:rsidR="00221EB5">
        <w:t xml:space="preserve"> Die Webseite des </w:t>
      </w:r>
      <w:proofErr w:type="spellStart"/>
      <w:r w:rsidR="00221EB5">
        <w:t>DEHSt</w:t>
      </w:r>
      <w:proofErr w:type="spellEnd"/>
      <w:r w:rsidR="00221EB5">
        <w:t xml:space="preserve"> gibt für einen anderen Super-Cap bei Emissionshandel Informationen.</w:t>
      </w:r>
    </w:p>
  </w:footnote>
  <w:footnote w:id="617">
    <w:p w14:paraId="673A7967" w14:textId="0CA86816" w:rsidR="009F3C4F" w:rsidRDefault="009F3C4F">
      <w:pPr>
        <w:pStyle w:val="Funotentext"/>
      </w:pPr>
      <w:r>
        <w:rPr>
          <w:rStyle w:val="Funotenzeichen"/>
        </w:rPr>
        <w:footnoteRef/>
      </w:r>
      <w:r>
        <w:t xml:space="preserve"> Siehe: </w:t>
      </w:r>
      <w:hyperlink r:id="rId483" w:history="1">
        <w:r w:rsidRPr="003516DB">
          <w:rPr>
            <w:rStyle w:val="Hyperlink"/>
          </w:rPr>
          <w:t>https://www.bmwk.de/Redaktion/DE/Pressemitteilungen/2024/03/20240327-strompreiskompensation-energieintensive-industrie.html</w:t>
        </w:r>
      </w:hyperlink>
      <w:r>
        <w:t xml:space="preserve"> - Zugegriffen: 11.04.2025. </w:t>
      </w:r>
    </w:p>
  </w:footnote>
  <w:footnote w:id="618">
    <w:p w14:paraId="723B43FF" w14:textId="54446564" w:rsidR="00A166C4" w:rsidRDefault="00A166C4">
      <w:pPr>
        <w:pStyle w:val="Funotentext"/>
      </w:pPr>
      <w:r>
        <w:rPr>
          <w:rStyle w:val="Funotenzeichen"/>
        </w:rPr>
        <w:footnoteRef/>
      </w:r>
      <w:r>
        <w:t xml:space="preserve"> Koalitionsvertrag, siehe: </w:t>
      </w:r>
      <w:hyperlink r:id="rId484" w:history="1">
        <w:r w:rsidRPr="002A3412">
          <w:rPr>
            <w:rStyle w:val="Hyperlink"/>
          </w:rPr>
          <w:t>https://www.spd.de/fileadmin/Dokumente/Koalitionsvertrag2025_bf.pdf</w:t>
        </w:r>
      </w:hyperlink>
      <w:r>
        <w:t xml:space="preserve"> - Zugegriffen: 16.04.2025. </w:t>
      </w:r>
    </w:p>
  </w:footnote>
  <w:footnote w:id="619">
    <w:p w14:paraId="36EAD05C" w14:textId="54C1E82F" w:rsidR="000C2467" w:rsidRDefault="000C2467">
      <w:pPr>
        <w:pStyle w:val="Funotentext"/>
      </w:pPr>
      <w:r>
        <w:rPr>
          <w:rStyle w:val="Funotenzeichen"/>
        </w:rPr>
        <w:footnoteRef/>
      </w:r>
      <w:r>
        <w:t xml:space="preserve"> Siehe: </w:t>
      </w:r>
      <w:hyperlink r:id="rId485" w:history="1">
        <w:r w:rsidRPr="001B23DF">
          <w:rPr>
            <w:rStyle w:val="Hyperlink"/>
          </w:rPr>
          <w:t>https://www.destatis.de/DE/Themen/Gesellschaft-Umwelt/Umwelt/UGR/steuern-weitere-abgaben/Tabellen/gesamtaufkommen-steuern.html</w:t>
        </w:r>
      </w:hyperlink>
      <w:r>
        <w:t xml:space="preserve"> - Zugegriffen: 19.06.2025.</w:t>
      </w:r>
    </w:p>
  </w:footnote>
  <w:footnote w:id="620">
    <w:p w14:paraId="553D28EC" w14:textId="2775BC48" w:rsidR="009C6B5B" w:rsidRDefault="009C6B5B">
      <w:pPr>
        <w:pStyle w:val="Funotentext"/>
      </w:pPr>
      <w:r>
        <w:rPr>
          <w:rStyle w:val="Funotenzeichen"/>
        </w:rPr>
        <w:footnoteRef/>
      </w:r>
      <w:r>
        <w:t xml:space="preserve"> Die Senkung der Stromsteuer ist noch nicht vom Tisch. FAZ, 30.06.2025.</w:t>
      </w:r>
    </w:p>
  </w:footnote>
  <w:footnote w:id="621">
    <w:p w14:paraId="5D8B6329" w14:textId="191D03A2" w:rsidR="005557BC" w:rsidRDefault="005557BC" w:rsidP="005557BC">
      <w:pPr>
        <w:pStyle w:val="Funotentext"/>
      </w:pPr>
      <w:r>
        <w:rPr>
          <w:rStyle w:val="Funotenzeichen"/>
        </w:rPr>
        <w:footnoteRef/>
      </w:r>
      <w:r>
        <w:t xml:space="preserve"> Dies wird so berichtet in: </w:t>
      </w:r>
      <w:hyperlink r:id="rId486" w:history="1">
        <w:r w:rsidRPr="00BB2662">
          <w:rPr>
            <w:rStyle w:val="Hyperlink"/>
          </w:rPr>
          <w:t>https://de.wikipedia.org/wiki/Solarpark_Bhadla</w:t>
        </w:r>
      </w:hyperlink>
      <w:r w:rsidR="00BB2662">
        <w:t xml:space="preserve"> – Zugegriffen: 19.11.2024.</w:t>
      </w:r>
    </w:p>
  </w:footnote>
  <w:footnote w:id="622">
    <w:p w14:paraId="3AB4F727" w14:textId="50A92A0A" w:rsidR="00BB2662" w:rsidRDefault="00BB2662">
      <w:pPr>
        <w:pStyle w:val="Funotentext"/>
      </w:pPr>
      <w:r>
        <w:rPr>
          <w:rStyle w:val="Funotenzeichen"/>
        </w:rPr>
        <w:footnoteRef/>
      </w:r>
      <w:r>
        <w:t xml:space="preserve"> Siehe: </w:t>
      </w:r>
      <w:hyperlink r:id="rId487" w:history="1">
        <w:r w:rsidRPr="009B5CF7">
          <w:rPr>
            <w:rStyle w:val="Hyperlink"/>
          </w:rPr>
          <w:t>https://www.kas.de/de/laenderberichte/detail/-/content/energiewende-in-indien</w:t>
        </w:r>
      </w:hyperlink>
      <w:r>
        <w:t xml:space="preserve"> - Zugegriffen: 19.11.2024.</w:t>
      </w:r>
    </w:p>
  </w:footnote>
  <w:footnote w:id="623">
    <w:p w14:paraId="358703EC" w14:textId="77777777" w:rsidR="00112190" w:rsidRDefault="00112190" w:rsidP="00112190">
      <w:pPr>
        <w:pStyle w:val="Funotentext"/>
      </w:pPr>
      <w:r>
        <w:rPr>
          <w:rStyle w:val="Funotenzeichen"/>
        </w:rPr>
        <w:footnoteRef/>
      </w:r>
      <w:r>
        <w:t xml:space="preserve"> Siehe die Webseite: </w:t>
      </w:r>
      <w:hyperlink r:id="rId488" w:history="1">
        <w:r w:rsidRPr="00E12D74">
          <w:rPr>
            <w:rStyle w:val="Hyperlink"/>
          </w:rPr>
          <w:t>https://www.faire-energiewende.de/</w:t>
        </w:r>
      </w:hyperlink>
    </w:p>
  </w:footnote>
  <w:footnote w:id="624">
    <w:p w14:paraId="17AE3420" w14:textId="77777777" w:rsidR="00112190" w:rsidRDefault="00112190" w:rsidP="00112190">
      <w:pPr>
        <w:pStyle w:val="Funotentext"/>
      </w:pPr>
      <w:r>
        <w:rPr>
          <w:rStyle w:val="Funotenzeichen"/>
        </w:rPr>
        <w:footnoteRef/>
      </w:r>
      <w:r>
        <w:t xml:space="preserve"> Siehe Faire Energiewende, </w:t>
      </w:r>
      <w:proofErr w:type="spellStart"/>
      <w:r>
        <w:t>Unsere</w:t>
      </w:r>
      <w:proofErr w:type="spellEnd"/>
      <w:r>
        <w:t xml:space="preserve"> Forderungen: </w:t>
      </w:r>
      <w:hyperlink r:id="rId489" w:history="1">
        <w:r w:rsidRPr="00DD253A">
          <w:rPr>
            <w:rStyle w:val="Hyperlink"/>
          </w:rPr>
          <w:t>https://www.faire-energiewende.de/unsere-forderungen/</w:t>
        </w:r>
      </w:hyperlink>
      <w:r>
        <w:t xml:space="preserve"> - Zugegriffen: 12.11.2023. </w:t>
      </w:r>
    </w:p>
  </w:footnote>
  <w:footnote w:id="625">
    <w:p w14:paraId="11127CBB" w14:textId="77777777" w:rsidR="00112190" w:rsidRDefault="00112190" w:rsidP="00112190">
      <w:pPr>
        <w:pStyle w:val="Funotentext"/>
      </w:pPr>
      <w:r>
        <w:rPr>
          <w:rStyle w:val="Funotenzeichen"/>
        </w:rPr>
        <w:footnoteRef/>
      </w:r>
      <w:r>
        <w:t xml:space="preserve"> Siehe Faire Energiewende, </w:t>
      </w:r>
      <w:proofErr w:type="spellStart"/>
      <w:r>
        <w:t>Unsere</w:t>
      </w:r>
      <w:proofErr w:type="spellEnd"/>
      <w:r>
        <w:t xml:space="preserve"> Forderungen: </w:t>
      </w:r>
      <w:hyperlink r:id="rId490" w:history="1">
        <w:r w:rsidRPr="00DD253A">
          <w:rPr>
            <w:rStyle w:val="Hyperlink"/>
          </w:rPr>
          <w:t>https://www.faire-energiewende.de/unsere-forderungen/</w:t>
        </w:r>
      </w:hyperlink>
      <w:r>
        <w:t xml:space="preserve"> - Zugegriffen: 12.11.2023. </w:t>
      </w:r>
    </w:p>
  </w:footnote>
  <w:footnote w:id="626">
    <w:p w14:paraId="0D47C1E4" w14:textId="77777777" w:rsidR="00112190" w:rsidRDefault="00112190" w:rsidP="00112190">
      <w:pPr>
        <w:pStyle w:val="Funotentext"/>
      </w:pPr>
      <w:r>
        <w:rPr>
          <w:rStyle w:val="Funotenzeichen"/>
        </w:rPr>
        <w:footnoteRef/>
      </w:r>
      <w:r>
        <w:t xml:space="preserve"> Siehe: </w:t>
      </w:r>
      <w:hyperlink r:id="rId491" w:history="1">
        <w:r w:rsidRPr="00E12D74">
          <w:rPr>
            <w:rStyle w:val="Hyperlink"/>
          </w:rPr>
          <w:t>https://klimawirtschaft.org/</w:t>
        </w:r>
      </w:hyperlink>
    </w:p>
  </w:footnote>
  <w:footnote w:id="627">
    <w:p w14:paraId="14E604E6" w14:textId="77777777" w:rsidR="00112190" w:rsidRDefault="00112190" w:rsidP="00112190">
      <w:pPr>
        <w:pStyle w:val="Funotentext"/>
      </w:pPr>
      <w:r>
        <w:rPr>
          <w:rStyle w:val="Funotenzeichen"/>
        </w:rPr>
        <w:footnoteRef/>
      </w:r>
      <w:r>
        <w:t xml:space="preserve"> Siehe: </w:t>
      </w:r>
      <w:hyperlink r:id="rId492" w:history="1">
        <w:r w:rsidRPr="00737AE9">
          <w:rPr>
            <w:rStyle w:val="Hyperlink"/>
          </w:rPr>
          <w:t>https://bdi.eu/</w:t>
        </w:r>
      </w:hyperlink>
    </w:p>
  </w:footnote>
  <w:footnote w:id="628">
    <w:p w14:paraId="5756A074" w14:textId="77777777" w:rsidR="00112190" w:rsidRDefault="00112190" w:rsidP="00112190">
      <w:pPr>
        <w:pStyle w:val="Funotentext"/>
      </w:pPr>
      <w:r>
        <w:rPr>
          <w:rStyle w:val="Funotenzeichen"/>
        </w:rPr>
        <w:footnoteRef/>
      </w:r>
      <w:r>
        <w:t xml:space="preserve"> Siehe: </w:t>
      </w:r>
      <w:hyperlink r:id="rId493" w:history="1">
        <w:r w:rsidRPr="00737AE9">
          <w:rPr>
            <w:rStyle w:val="Hyperlink"/>
          </w:rPr>
          <w:t>https://www.dihk.de/</w:t>
        </w:r>
      </w:hyperlink>
    </w:p>
  </w:footnote>
  <w:footnote w:id="629">
    <w:p w14:paraId="3156651F" w14:textId="77777777" w:rsidR="00112190" w:rsidRDefault="00112190" w:rsidP="00112190">
      <w:pPr>
        <w:pStyle w:val="Funotentext"/>
      </w:pPr>
      <w:r>
        <w:rPr>
          <w:rStyle w:val="Funotenzeichen"/>
        </w:rPr>
        <w:footnoteRef/>
      </w:r>
      <w:r>
        <w:t xml:space="preserve"> Siehe: </w:t>
      </w:r>
      <w:hyperlink r:id="rId494" w:history="1">
        <w:r w:rsidRPr="00E67992">
          <w:rPr>
            <w:rStyle w:val="Hyperlink"/>
          </w:rPr>
          <w:t>https://www.eurochambres.eu/</w:t>
        </w:r>
      </w:hyperlink>
    </w:p>
  </w:footnote>
  <w:footnote w:id="630">
    <w:p w14:paraId="14A61A45" w14:textId="77777777" w:rsidR="003952D7" w:rsidRDefault="003952D7" w:rsidP="003952D7">
      <w:pPr>
        <w:pStyle w:val="Funotentext"/>
      </w:pPr>
      <w:r>
        <w:rPr>
          <w:rStyle w:val="Funotenzeichen"/>
        </w:rPr>
        <w:footnoteRef/>
      </w:r>
      <w:r>
        <w:t xml:space="preserve"> „</w:t>
      </w:r>
      <w:r w:rsidRPr="00B36548">
        <w:t>Die wesentlichen politischen Voraussetzungen, von denen die Studie ausgeht, waren die Verfügbarkeit von Strom aus erneuerbaren Energien zu einem Preis von 4 ct/kWh und eine umfassende Förderung neuer Technologien sowie eine Unterstützung der Markteinführung durch staatliche Zuschüsse für Investitionen.</w:t>
      </w:r>
      <w:r>
        <w:t>“</w:t>
      </w:r>
      <w:r w:rsidRPr="00B36548">
        <w:t xml:space="preserve"> </w:t>
      </w:r>
      <w:r>
        <w:t>Transformation der Chemie 2023: 14.</w:t>
      </w:r>
    </w:p>
  </w:footnote>
  <w:footnote w:id="631">
    <w:p w14:paraId="4AAF14C9" w14:textId="33215FDB" w:rsidR="00307412" w:rsidRDefault="00307412" w:rsidP="00307412">
      <w:pPr>
        <w:pStyle w:val="Funotentext"/>
      </w:pPr>
      <w:r>
        <w:rPr>
          <w:rStyle w:val="Funotenzeichen"/>
        </w:rPr>
        <w:footnoteRef/>
      </w:r>
      <w:r>
        <w:t xml:space="preserve"> S. 25, siehe: </w:t>
      </w:r>
      <w:hyperlink r:id="rId495" w:history="1">
        <w:r w:rsidRPr="0050727D">
          <w:rPr>
            <w:rStyle w:val="Hyperlink"/>
          </w:rPr>
          <w:t>https://www.spd.de/fileadmin/Dokumente/Koalitionsvertrag2025_bf.pdf</w:t>
        </w:r>
      </w:hyperlink>
      <w:r>
        <w:t xml:space="preserve"> - Zugegriffen: 09.06.2025. </w:t>
      </w:r>
    </w:p>
  </w:footnote>
  <w:footnote w:id="632">
    <w:p w14:paraId="700E5817" w14:textId="1723FE1F" w:rsidR="00C16D9B" w:rsidRDefault="00C16D9B">
      <w:pPr>
        <w:pStyle w:val="Funotentext"/>
      </w:pPr>
      <w:r>
        <w:rPr>
          <w:rStyle w:val="Funotenzeichen"/>
        </w:rPr>
        <w:footnoteRef/>
      </w:r>
      <w:r>
        <w:t xml:space="preserve"> Christian Geinitz, Julia Löhr. Die Energie der Frau Reiche. FAZ, 03.05.2025. </w:t>
      </w:r>
    </w:p>
  </w:footnote>
  <w:footnote w:id="633">
    <w:p w14:paraId="6AF8583D" w14:textId="77777777" w:rsidR="00112190" w:rsidRDefault="00112190" w:rsidP="00112190">
      <w:pPr>
        <w:pStyle w:val="Funotentext"/>
      </w:pPr>
      <w:r>
        <w:rPr>
          <w:rStyle w:val="Funotenzeichen"/>
        </w:rPr>
        <w:footnoteRef/>
      </w:r>
      <w:r>
        <w:t xml:space="preserve"> Diese Prozentzahlen von der Bundesnetzagentur, wohl für 2023, wurden hier entnommen aus: Wasserstoff-Kraftwerke – Bundesnetzagentur-Präsident Müller. Geladen Podcast, 31.03.2024. Siehe: </w:t>
      </w:r>
      <w:hyperlink r:id="rId496" w:history="1">
        <w:r w:rsidRPr="008708CC">
          <w:rPr>
            <w:rStyle w:val="Hyperlink"/>
          </w:rPr>
          <w:t>https://www.youtube.com/watch?v=xEYbVlk_618</w:t>
        </w:r>
      </w:hyperlink>
      <w:r>
        <w:t xml:space="preserve"> – Zugegriffen: 20.05.2024.</w:t>
      </w:r>
    </w:p>
  </w:footnote>
  <w:footnote w:id="634">
    <w:p w14:paraId="545E06A2" w14:textId="77777777" w:rsidR="00112190" w:rsidRDefault="00112190" w:rsidP="00112190">
      <w:pPr>
        <w:pStyle w:val="Funotentext"/>
      </w:pPr>
      <w:r>
        <w:rPr>
          <w:rStyle w:val="Funotenzeichen"/>
        </w:rPr>
        <w:footnoteRef/>
      </w:r>
      <w:r>
        <w:t xml:space="preserve"> Siehe die Übersicht in </w:t>
      </w:r>
      <w:r w:rsidRPr="001627C2">
        <w:t>Bundesnetzagentur Monitoringbericht 2023</w:t>
      </w:r>
      <w:r>
        <w:t xml:space="preserve">: 135. Siehe: </w:t>
      </w:r>
      <w:hyperlink r:id="rId497" w:history="1">
        <w:r w:rsidRPr="008708CC">
          <w:rPr>
            <w:rStyle w:val="Hyperlink"/>
          </w:rPr>
          <w:t>https://data.bundesnetzagentur.de/Bundesnetzagentur/SharedDocs/Mediathek/Monitoringberichte/MonitoringberichtEnergie2023.pdf</w:t>
        </w:r>
      </w:hyperlink>
      <w:r>
        <w:t xml:space="preserve"> - Zugegriffen: 20.05.2024.</w:t>
      </w:r>
    </w:p>
  </w:footnote>
  <w:footnote w:id="635">
    <w:p w14:paraId="3631530A" w14:textId="77777777" w:rsidR="00112190" w:rsidRDefault="00112190" w:rsidP="00112190">
      <w:pPr>
        <w:pStyle w:val="Funotentext"/>
      </w:pPr>
      <w:r>
        <w:rPr>
          <w:rStyle w:val="Funotenzeichen"/>
        </w:rPr>
        <w:footnoteRef/>
      </w:r>
      <w:r>
        <w:t xml:space="preserve"> Mitsamt einer Vielzahl von Infos und Berichten: </w:t>
      </w:r>
      <w:hyperlink r:id="rId498" w:history="1">
        <w:r w:rsidRPr="008708CC">
          <w:rPr>
            <w:rStyle w:val="Hyperlink"/>
          </w:rPr>
          <w:t>https://www.bundesnetzagentur.de/DE/Fachthemen/ElektrizitaetundGas/Versorgungssicherheit/Netzengpassmanagement/start.html</w:t>
        </w:r>
      </w:hyperlink>
      <w:r>
        <w:t xml:space="preserve"> - Zugegriffen: 20.05.2024. </w:t>
      </w:r>
    </w:p>
  </w:footnote>
  <w:footnote w:id="636">
    <w:p w14:paraId="1D4B6679" w14:textId="77777777" w:rsidR="00112190" w:rsidRDefault="00112190" w:rsidP="00112190">
      <w:pPr>
        <w:pStyle w:val="Funotentext"/>
      </w:pPr>
      <w:r>
        <w:rPr>
          <w:rStyle w:val="Funotenzeichen"/>
        </w:rPr>
        <w:footnoteRef/>
      </w:r>
      <w:r>
        <w:t xml:space="preserve"> Siehe Sachstand zu diesem Urteil der Wiss. Dienste des deutschen Bundestages, Wissenschaftliche Dienste 2022. Siehe auch: </w:t>
      </w:r>
      <w:hyperlink r:id="rId499" w:history="1">
        <w:r w:rsidRPr="00FF3D28">
          <w:rPr>
            <w:rStyle w:val="Hyperlink"/>
          </w:rPr>
          <w:t>https://www.bundesnetzagentur.de/SharedDocs/Pressemitteilungen/DE/2021/20210902_RegEnergieEugh.html</w:t>
        </w:r>
      </w:hyperlink>
      <w:r>
        <w:t xml:space="preserve"> - Zugegriffen: 26.11.2023.</w:t>
      </w:r>
    </w:p>
  </w:footnote>
  <w:footnote w:id="637">
    <w:p w14:paraId="70A70081" w14:textId="77777777" w:rsidR="00112190" w:rsidRDefault="00112190" w:rsidP="00112190">
      <w:pPr>
        <w:pStyle w:val="Funotentext"/>
      </w:pPr>
      <w:r>
        <w:rPr>
          <w:rStyle w:val="Funotenzeichen"/>
        </w:rPr>
        <w:footnoteRef/>
      </w:r>
      <w:r>
        <w:t xml:space="preserve"> Siehe dazu Klaus Müller, Präsident der Bundesnetzagentur, Geladen Batteriepodcast, vom 31.03.2024, siehe: </w:t>
      </w:r>
      <w:hyperlink r:id="rId500" w:history="1">
        <w:r w:rsidRPr="00DB5ECB">
          <w:rPr>
            <w:rStyle w:val="Hyperlink"/>
          </w:rPr>
          <w:t>https://www.youtube.com/watch?v=xEYbVlk_618&amp;t=21s</w:t>
        </w:r>
      </w:hyperlink>
      <w:r>
        <w:t xml:space="preserve"> – Zugegriffen: 08.06.2024. </w:t>
      </w:r>
    </w:p>
  </w:footnote>
  <w:footnote w:id="638">
    <w:p w14:paraId="4207ED76" w14:textId="7F3DB135" w:rsidR="0051556B" w:rsidRPr="00143890" w:rsidRDefault="0051556B">
      <w:pPr>
        <w:pStyle w:val="Funotentext"/>
      </w:pPr>
      <w:r>
        <w:rPr>
          <w:rStyle w:val="Funotenzeichen"/>
        </w:rPr>
        <w:footnoteRef/>
      </w:r>
      <w:r>
        <w:t xml:space="preserve"> Das </w:t>
      </w:r>
      <w:proofErr w:type="gramStart"/>
      <w:r>
        <w:t>EEG Gesetz</w:t>
      </w:r>
      <w:proofErr w:type="gramEnd"/>
      <w:r>
        <w:t xml:space="preserve"> im Internet</w:t>
      </w:r>
      <w:r w:rsidR="00143890">
        <w:t xml:space="preserve">, zuletzt geändert durch das Gesetz vom 8. </w:t>
      </w:r>
      <w:r w:rsidR="00143890" w:rsidRPr="00143890">
        <w:t>Mai 2024</w:t>
      </w:r>
      <w:r w:rsidRPr="00143890">
        <w:t xml:space="preserve">: </w:t>
      </w:r>
      <w:hyperlink r:id="rId501" w:history="1">
        <w:r w:rsidRPr="00143890">
          <w:rPr>
            <w:rStyle w:val="Hyperlink"/>
          </w:rPr>
          <w:t>https://www.gesetze-im-internet.de/eeg_2014/BJNR106610014.html</w:t>
        </w:r>
      </w:hyperlink>
      <w:r w:rsidRPr="00143890">
        <w:t xml:space="preserve"> </w:t>
      </w:r>
      <w:r w:rsidR="00143890" w:rsidRPr="00143890">
        <w:t>- Zu</w:t>
      </w:r>
      <w:r w:rsidR="00143890">
        <w:t>gegriffen: 17.07.2024.</w:t>
      </w:r>
    </w:p>
  </w:footnote>
  <w:footnote w:id="639">
    <w:p w14:paraId="3CEFCE9D" w14:textId="77777777" w:rsidR="00112190" w:rsidRDefault="00112190" w:rsidP="00112190">
      <w:pPr>
        <w:pStyle w:val="Funotentext"/>
      </w:pPr>
      <w:r>
        <w:rPr>
          <w:rStyle w:val="Funotenzeichen"/>
        </w:rPr>
        <w:footnoteRef/>
      </w:r>
      <w:r>
        <w:t xml:space="preserve"> S. 57 in: </w:t>
      </w:r>
      <w:bookmarkStart w:id="38" w:name="_Hlk155477182"/>
      <w:r w:rsidRPr="008F41AF">
        <w:t>BMWK, Die Energie der Zukunft, 8. Monitoring Bericht zur Energiewende, Berichtsjahre 2018 bis 2019, Stand 2021.</w:t>
      </w:r>
      <w:bookmarkEnd w:id="38"/>
    </w:p>
  </w:footnote>
  <w:footnote w:id="640">
    <w:p w14:paraId="56D62C88" w14:textId="77777777" w:rsidR="00112190" w:rsidRDefault="00112190" w:rsidP="00112190">
      <w:pPr>
        <w:pStyle w:val="Funotentext"/>
      </w:pPr>
      <w:r>
        <w:rPr>
          <w:rStyle w:val="Funotenzeichen"/>
        </w:rPr>
        <w:footnoteRef/>
      </w:r>
      <w:r>
        <w:t xml:space="preserve"> </w:t>
      </w:r>
      <w:r w:rsidRPr="002372B7">
        <w:t>Siehe den umfangreichen Wikipedia Eintrag zum EEG: https://de.wikipedia.org/wiki/Erneuerbare-Energien-Gesetz - Zugegriffen: 28.11.2023.</w:t>
      </w:r>
    </w:p>
  </w:footnote>
  <w:footnote w:id="641">
    <w:p w14:paraId="0C521DDF" w14:textId="1C197F7F" w:rsidR="00690C6C" w:rsidRDefault="00690C6C">
      <w:pPr>
        <w:pStyle w:val="Funotentext"/>
      </w:pPr>
      <w:r>
        <w:rPr>
          <w:rStyle w:val="Funotenzeichen"/>
        </w:rPr>
        <w:footnoteRef/>
      </w:r>
      <w:r>
        <w:t xml:space="preserve"> </w:t>
      </w:r>
      <w:r w:rsidR="00194F62">
        <w:t>B</w:t>
      </w:r>
      <w:r w:rsidR="0065668D" w:rsidRPr="0065668D">
        <w:t xml:space="preserve">erliner Kommentar zum Energierecht, Bd. 8, EEG – </w:t>
      </w:r>
      <w:proofErr w:type="gramStart"/>
      <w:r w:rsidR="0065668D" w:rsidRPr="0065668D">
        <w:t>Erneuerbare Energien Gesetz</w:t>
      </w:r>
      <w:proofErr w:type="gramEnd"/>
      <w:r w:rsidR="0065668D" w:rsidRPr="0065668D">
        <w:t xml:space="preserve"> 2021 – Windenergie-auf-See-Gesetz, </w:t>
      </w:r>
      <w:r w:rsidR="00194F62">
        <w:t>siehe:</w:t>
      </w:r>
      <w:r w:rsidR="0065668D" w:rsidRPr="0065668D">
        <w:t xml:space="preserve"> Säcker /Steffens</w:t>
      </w:r>
      <w:r w:rsidR="0065668D">
        <w:t>, 2021.</w:t>
      </w:r>
    </w:p>
  </w:footnote>
  <w:footnote w:id="642">
    <w:p w14:paraId="717752E4" w14:textId="77777777" w:rsidR="00112190" w:rsidRDefault="00112190" w:rsidP="00112190">
      <w:pPr>
        <w:pStyle w:val="Funotentext"/>
      </w:pPr>
      <w:r>
        <w:rPr>
          <w:rStyle w:val="Funotenzeichen"/>
        </w:rPr>
        <w:footnoteRef/>
      </w:r>
      <w:r>
        <w:t xml:space="preserve"> Siehe gut dargestellt: S. 57–66, in: </w:t>
      </w:r>
      <w:r w:rsidRPr="00D97740">
        <w:t>BMWK, Die Energie der Zukunft, 8. Monitoring Bericht zur Energiewende, Berichtsjahre 2018 bis 2019, Stand 2021.</w:t>
      </w:r>
    </w:p>
  </w:footnote>
  <w:footnote w:id="643">
    <w:p w14:paraId="09B3EDD7" w14:textId="77777777" w:rsidR="00112190" w:rsidRDefault="00112190" w:rsidP="00112190">
      <w:pPr>
        <w:pStyle w:val="Funotentext"/>
      </w:pPr>
      <w:r>
        <w:rPr>
          <w:rStyle w:val="Funotenzeichen"/>
        </w:rPr>
        <w:footnoteRef/>
      </w:r>
      <w:r>
        <w:t xml:space="preserve"> S. 57-66. </w:t>
      </w:r>
      <w:bookmarkStart w:id="39" w:name="_Hlk155522588"/>
      <w:r w:rsidRPr="00285910">
        <w:t>BMWK, Die Energie der Zukunft, 8. Monitoring Bericht zur Energiewende, Berichtsjahre 2018 bis 2019, Stand 2021.</w:t>
      </w:r>
      <w:bookmarkEnd w:id="39"/>
    </w:p>
  </w:footnote>
  <w:footnote w:id="644">
    <w:p w14:paraId="56B81211" w14:textId="77777777" w:rsidR="00112190" w:rsidRDefault="00112190" w:rsidP="00112190">
      <w:pPr>
        <w:pStyle w:val="Funotentext"/>
      </w:pPr>
      <w:r>
        <w:rPr>
          <w:rStyle w:val="Funotenzeichen"/>
        </w:rPr>
        <w:footnoteRef/>
      </w:r>
      <w:r>
        <w:t xml:space="preserve"> Siehe die Ausschreibungen auf der Webseite der Bundesnetzagentur: </w:t>
      </w:r>
      <w:hyperlink r:id="rId502" w:anchor="[Anker" w:history="1">
        <w:r w:rsidRPr="00335629">
          <w:rPr>
            <w:rStyle w:val="Hyperlink"/>
          </w:rPr>
          <w:t>https://www.bundesnetzagentur.de/DE/Fachthemen/ElektrizitaetundGas/Ausschreibungen/start.html#[Anker</w:t>
        </w:r>
      </w:hyperlink>
      <w:r w:rsidRPr="00874E89">
        <w:t>]</w:t>
      </w:r>
      <w:r>
        <w:t xml:space="preserve"> – Zugegriffen: 01.11.2023. </w:t>
      </w:r>
    </w:p>
  </w:footnote>
  <w:footnote w:id="645">
    <w:p w14:paraId="6E9A0285" w14:textId="77777777" w:rsidR="00112190" w:rsidRDefault="00112190" w:rsidP="00112190">
      <w:pPr>
        <w:pStyle w:val="Funotentext"/>
      </w:pPr>
      <w:r>
        <w:rPr>
          <w:rStyle w:val="Funotenzeichen"/>
        </w:rPr>
        <w:footnoteRef/>
      </w:r>
      <w:r>
        <w:t xml:space="preserve"> Siehe Bundesnetzagentur Ausschreibungen für EE- und </w:t>
      </w:r>
      <w:proofErr w:type="gramStart"/>
      <w:r>
        <w:t>KWK Anlagen</w:t>
      </w:r>
      <w:proofErr w:type="gramEnd"/>
      <w:r>
        <w:t xml:space="preserve">: </w:t>
      </w:r>
      <w:hyperlink r:id="rId503" w:anchor="[Anker" w:history="1">
        <w:r w:rsidRPr="00335629">
          <w:rPr>
            <w:rStyle w:val="Hyperlink"/>
          </w:rPr>
          <w:t>https://www.bundesnetzagentur.de/DE/Fachthemen/ElektrizitaetundGas/Ausschreibungen/start.html#[Anker</w:t>
        </w:r>
      </w:hyperlink>
      <w:r w:rsidRPr="00D54EC1">
        <w:t>]</w:t>
      </w:r>
      <w:r>
        <w:t xml:space="preserve"> – Zugegriffen: 01.11.2023. </w:t>
      </w:r>
    </w:p>
  </w:footnote>
  <w:footnote w:id="646">
    <w:p w14:paraId="255F9B2F" w14:textId="77777777" w:rsidR="00112190" w:rsidRDefault="00112190" w:rsidP="00112190">
      <w:pPr>
        <w:pStyle w:val="Funotentext"/>
      </w:pPr>
      <w:r>
        <w:rPr>
          <w:rStyle w:val="Funotenzeichen"/>
        </w:rPr>
        <w:footnoteRef/>
      </w:r>
      <w:r>
        <w:t xml:space="preserve"> Siehe: </w:t>
      </w:r>
      <w:hyperlink r:id="rId504" w:history="1">
        <w:r w:rsidRPr="0088482B">
          <w:rPr>
            <w:rStyle w:val="Hyperlink"/>
          </w:rPr>
          <w:t>https://www.bundesnetzagentur.de/DE/Fachthemen/ElektrizitaetundGas/ErneuerbareEnergien/ZahlenDatenInformationen/start.html</w:t>
        </w:r>
      </w:hyperlink>
      <w:r>
        <w:t xml:space="preserve"> - Zugegriffen: 03.11.2023. </w:t>
      </w:r>
    </w:p>
  </w:footnote>
  <w:footnote w:id="647">
    <w:p w14:paraId="5FD11F15" w14:textId="77777777" w:rsidR="00112190" w:rsidRDefault="00112190" w:rsidP="00112190">
      <w:pPr>
        <w:pStyle w:val="Funotentext"/>
      </w:pPr>
      <w:r>
        <w:rPr>
          <w:rStyle w:val="Funotenzeichen"/>
        </w:rPr>
        <w:footnoteRef/>
      </w:r>
      <w:r>
        <w:t xml:space="preserve"> EEG in Zahlen 2019: 3. </w:t>
      </w:r>
    </w:p>
  </w:footnote>
  <w:footnote w:id="648">
    <w:p w14:paraId="74A24DA1" w14:textId="77777777" w:rsidR="00112190" w:rsidRPr="00BE27F7" w:rsidRDefault="00112190" w:rsidP="00112190">
      <w:pPr>
        <w:pStyle w:val="Funotentext"/>
      </w:pPr>
      <w:r>
        <w:rPr>
          <w:rStyle w:val="Funotenzeichen"/>
        </w:rPr>
        <w:footnoteRef/>
      </w:r>
      <w:r w:rsidRPr="00E04BDE">
        <w:t xml:space="preserve"> Styles et al. 2023 : 118. </w:t>
      </w:r>
      <w:r w:rsidRPr="00BE27F7">
        <w:t>Studie für das Umweltbundesamt</w:t>
      </w:r>
      <w:r>
        <w:t>, siehe:</w:t>
      </w:r>
      <w:r w:rsidRPr="009744FA">
        <w:t xml:space="preserve"> </w:t>
      </w:r>
      <w:hyperlink r:id="rId505" w:history="1">
        <w:r w:rsidRPr="00CF4185">
          <w:rPr>
            <w:rStyle w:val="Hyperlink"/>
          </w:rPr>
          <w:t>https://www.umweltbundesamt.de/sites/default/files/medien/11850/publikationen/24_2023_cc_analyse_eines_unternehmensentwertungsrechts_fuer_strom-herkunftsnachweise_in_deutschland.pdf</w:t>
        </w:r>
      </w:hyperlink>
      <w:r w:rsidRPr="009744FA">
        <w:t xml:space="preserve"> - Zugegriffen: 03.11.2023.  </w:t>
      </w:r>
    </w:p>
  </w:footnote>
  <w:footnote w:id="649">
    <w:p w14:paraId="11891400" w14:textId="77777777" w:rsidR="00112190" w:rsidRDefault="00112190" w:rsidP="00112190">
      <w:pPr>
        <w:pStyle w:val="Funotentext"/>
      </w:pPr>
      <w:r>
        <w:rPr>
          <w:rStyle w:val="Funotenzeichen"/>
        </w:rPr>
        <w:footnoteRef/>
      </w:r>
      <w:r>
        <w:t xml:space="preserve"> Im sog. Energiesammelgesetz wurde die Möglichkeit eröffnet, dass </w:t>
      </w:r>
      <w:proofErr w:type="gramStart"/>
      <w:r>
        <w:t>Nachts</w:t>
      </w:r>
      <w:proofErr w:type="gramEnd"/>
      <w:r>
        <w:t xml:space="preserve"> nicht immer die roten Lichter blinken müssen, um die Akzeptanz zu erhöhen, siehe S. 63,</w:t>
      </w:r>
      <w:r w:rsidRPr="00C7357F">
        <w:t xml:space="preserve"> BMWK, Die Energie der Zukunft, 8. Monitoring Bericht zur Energiewende, Berichtsjahre 2018 bis 2019, Stand 2021</w:t>
      </w:r>
      <w:r>
        <w:t>.</w:t>
      </w:r>
    </w:p>
  </w:footnote>
  <w:footnote w:id="650">
    <w:p w14:paraId="52D0F6E0" w14:textId="77777777" w:rsidR="00112190" w:rsidRDefault="00112190" w:rsidP="00112190">
      <w:pPr>
        <w:pStyle w:val="Funotentext"/>
      </w:pPr>
      <w:r>
        <w:rPr>
          <w:rStyle w:val="Funotenzeichen"/>
        </w:rPr>
        <w:footnoteRef/>
      </w:r>
      <w:r>
        <w:t xml:space="preserve"> Siehe: </w:t>
      </w:r>
      <w:hyperlink r:id="rId506" w:history="1">
        <w:r w:rsidRPr="008708CC">
          <w:rPr>
            <w:rStyle w:val="Hyperlink"/>
          </w:rPr>
          <w:t>https://www.youtube.com/watch?v=NWjbv94_NBQ&amp;list=PLgT6DO8XUkP5oGh1ed710Lw5YvTpesX0U&amp;index=11&amp;t=670s</w:t>
        </w:r>
      </w:hyperlink>
      <w:r>
        <w:t xml:space="preserve"> – Zugegriffen: 20.05.2024.</w:t>
      </w:r>
    </w:p>
  </w:footnote>
  <w:footnote w:id="651">
    <w:p w14:paraId="359BD607" w14:textId="77777777" w:rsidR="00112190" w:rsidRDefault="00112190" w:rsidP="00112190">
      <w:pPr>
        <w:pStyle w:val="Funotentext"/>
      </w:pPr>
      <w:r>
        <w:rPr>
          <w:rStyle w:val="Funotenzeichen"/>
        </w:rPr>
        <w:footnoteRef/>
      </w:r>
      <w:r>
        <w:t xml:space="preserve"> Siehe Tagesschau. Länder wollen Kommunen an Windkraft beteiligen, 01.08.2023: </w:t>
      </w:r>
      <w:hyperlink r:id="rId507" w:history="1">
        <w:r w:rsidRPr="00CC56F2">
          <w:rPr>
            <w:rStyle w:val="Hyperlink"/>
          </w:rPr>
          <w:t>https://www.tagesschau.de/wirtschaft/verbraucher/windkraft-akzeptanz-buerger-beteiligung-100.html</w:t>
        </w:r>
      </w:hyperlink>
      <w:r>
        <w:t xml:space="preserve"> - Zugegriffen: 30.12.2023. </w:t>
      </w:r>
    </w:p>
  </w:footnote>
  <w:footnote w:id="652">
    <w:p w14:paraId="366E9E8A" w14:textId="77777777" w:rsidR="00112190" w:rsidRPr="00A908C3" w:rsidRDefault="00112190" w:rsidP="00112190">
      <w:pPr>
        <w:pStyle w:val="Funotentext"/>
      </w:pPr>
      <w:r>
        <w:rPr>
          <w:rStyle w:val="Funotenzeichen"/>
        </w:rPr>
        <w:footnoteRef/>
      </w:r>
      <w:r w:rsidRPr="00A908C3">
        <w:t xml:space="preserve"> </w:t>
      </w:r>
      <w:r>
        <w:t xml:space="preserve">Wikipedia Direktvermarktung erneuerbarer Energien: </w:t>
      </w:r>
      <w:hyperlink r:id="rId508" w:history="1">
        <w:r w:rsidRPr="0058110A">
          <w:rPr>
            <w:rStyle w:val="Hyperlink"/>
          </w:rPr>
          <w:t>https://de.wikipedia.org/wiki/Direktvermarktung_erneuerbarer_Energien</w:t>
        </w:r>
      </w:hyperlink>
      <w:r w:rsidRPr="00A908C3">
        <w:t xml:space="preserve"> - Zu</w:t>
      </w:r>
      <w:r>
        <w:t xml:space="preserve">gegriffen: 30.12.2023. </w:t>
      </w:r>
    </w:p>
  </w:footnote>
  <w:footnote w:id="653">
    <w:p w14:paraId="4CC4DF5C" w14:textId="77777777" w:rsidR="00112190" w:rsidRDefault="00112190" w:rsidP="00112190">
      <w:pPr>
        <w:pStyle w:val="Funotentext"/>
      </w:pPr>
      <w:r>
        <w:rPr>
          <w:rStyle w:val="Funotenzeichen"/>
        </w:rPr>
        <w:footnoteRef/>
      </w:r>
      <w:r>
        <w:t xml:space="preserve"> Siehe: </w:t>
      </w:r>
      <w:hyperlink r:id="rId509" w:history="1">
        <w:r w:rsidRPr="00CF4185">
          <w:rPr>
            <w:rStyle w:val="Hyperlink"/>
          </w:rPr>
          <w:t>https://www.epexspot.com</w:t>
        </w:r>
      </w:hyperlink>
    </w:p>
  </w:footnote>
  <w:footnote w:id="654">
    <w:p w14:paraId="37B9B459" w14:textId="77777777" w:rsidR="00112190" w:rsidRDefault="00112190" w:rsidP="00112190">
      <w:pPr>
        <w:pStyle w:val="Funotentext"/>
      </w:pPr>
      <w:r>
        <w:rPr>
          <w:rStyle w:val="Funotenzeichen"/>
        </w:rPr>
        <w:footnoteRef/>
      </w:r>
      <w:r>
        <w:t xml:space="preserve"> S. 58. </w:t>
      </w:r>
      <w:r w:rsidRPr="00035A5C">
        <w:t>BMWK, Die Energie der Zukunft, 8. Monitoring Bericht zur Energiewende, Berichtsjahre 2018 bis 2019, Stand 2021.</w:t>
      </w:r>
    </w:p>
  </w:footnote>
  <w:footnote w:id="655">
    <w:p w14:paraId="6A4891B2" w14:textId="77777777" w:rsidR="00112190" w:rsidRPr="00A908C3" w:rsidRDefault="00112190" w:rsidP="00112190">
      <w:pPr>
        <w:pStyle w:val="Funotentext"/>
      </w:pPr>
      <w:r>
        <w:rPr>
          <w:rStyle w:val="Funotenzeichen"/>
        </w:rPr>
        <w:footnoteRef/>
      </w:r>
      <w:r w:rsidRPr="00A908C3">
        <w:t xml:space="preserve"> </w:t>
      </w:r>
      <w:r>
        <w:t xml:space="preserve">Wikipedia Direktvermarktung erneuerbarer Energien: </w:t>
      </w:r>
      <w:hyperlink r:id="rId510" w:history="1">
        <w:r w:rsidRPr="0058110A">
          <w:rPr>
            <w:rStyle w:val="Hyperlink"/>
          </w:rPr>
          <w:t>https://de.wikipedia.org/wiki/Direktvermarktung_erneuerbarer_Energien</w:t>
        </w:r>
      </w:hyperlink>
      <w:r w:rsidRPr="00A908C3">
        <w:t xml:space="preserve"> - Zu</w:t>
      </w:r>
      <w:r>
        <w:t xml:space="preserve">gegriffen: 30.12.2023. </w:t>
      </w:r>
    </w:p>
  </w:footnote>
  <w:footnote w:id="656">
    <w:p w14:paraId="7D0A51EC" w14:textId="77777777" w:rsidR="00112190" w:rsidRDefault="00112190" w:rsidP="00112190">
      <w:pPr>
        <w:pStyle w:val="Funotentext"/>
      </w:pPr>
      <w:r>
        <w:rPr>
          <w:rStyle w:val="Funotenzeichen"/>
        </w:rPr>
        <w:footnoteRef/>
      </w:r>
      <w:r>
        <w:t xml:space="preserve"> Siehe Wikipedia Eintrag zum EEG: </w:t>
      </w:r>
      <w:hyperlink r:id="rId511" w:history="1">
        <w:r w:rsidRPr="008633A4">
          <w:rPr>
            <w:rStyle w:val="Hyperlink"/>
          </w:rPr>
          <w:t>https://de.wikipedia.org/wiki/Erneuerbare-Energien-Gesetz</w:t>
        </w:r>
      </w:hyperlink>
      <w:r>
        <w:t xml:space="preserve"> - Zugegriffen: 28.11.2023.</w:t>
      </w:r>
    </w:p>
  </w:footnote>
  <w:footnote w:id="657">
    <w:p w14:paraId="0FF5B908" w14:textId="77777777" w:rsidR="00112190" w:rsidRDefault="00112190" w:rsidP="00112190">
      <w:pPr>
        <w:pStyle w:val="Funotentext"/>
      </w:pPr>
      <w:r>
        <w:rPr>
          <w:rStyle w:val="Funotenzeichen"/>
        </w:rPr>
        <w:footnoteRef/>
      </w:r>
      <w:r>
        <w:t xml:space="preserve"> Siehe den umfangreichen Wikipedia Eintrag zum EEG: </w:t>
      </w:r>
      <w:hyperlink r:id="rId512" w:history="1">
        <w:r w:rsidRPr="008633A4">
          <w:rPr>
            <w:rStyle w:val="Hyperlink"/>
          </w:rPr>
          <w:t>https://de.wikipedia.org/wiki/Erneuerbare-Energien-Gesetz</w:t>
        </w:r>
      </w:hyperlink>
      <w:r>
        <w:t xml:space="preserve"> - Zugegriffen: 28.11.2023.</w:t>
      </w:r>
    </w:p>
  </w:footnote>
  <w:footnote w:id="658">
    <w:p w14:paraId="60C829C4" w14:textId="77777777" w:rsidR="00112190" w:rsidRDefault="00112190" w:rsidP="00112190">
      <w:pPr>
        <w:pStyle w:val="Funotentext"/>
      </w:pPr>
      <w:r>
        <w:rPr>
          <w:rStyle w:val="Funotenzeichen"/>
        </w:rPr>
        <w:footnoteRef/>
      </w:r>
      <w:r>
        <w:t xml:space="preserve"> </w:t>
      </w:r>
      <w:r w:rsidRPr="00776AA5">
        <w:t xml:space="preserve">Wikipedia Eintrag zum EEG: </w:t>
      </w:r>
      <w:hyperlink r:id="rId513" w:history="1">
        <w:r w:rsidRPr="00CF4185">
          <w:rPr>
            <w:rStyle w:val="Hyperlink"/>
          </w:rPr>
          <w:t>https://de.wikipedia.org/wiki/Erneuerbare-Energien-Gesetz</w:t>
        </w:r>
      </w:hyperlink>
      <w:r w:rsidRPr="00776AA5">
        <w:t xml:space="preserve"> - Zugegriffen: 28.11.2023.</w:t>
      </w:r>
    </w:p>
  </w:footnote>
  <w:footnote w:id="659">
    <w:p w14:paraId="79F73771" w14:textId="77777777" w:rsidR="00112190" w:rsidRDefault="00112190" w:rsidP="00112190">
      <w:pPr>
        <w:pStyle w:val="Funotentext"/>
      </w:pPr>
      <w:r>
        <w:rPr>
          <w:rStyle w:val="Funotenzeichen"/>
        </w:rPr>
        <w:footnoteRef/>
      </w:r>
      <w:r>
        <w:t xml:space="preserve"> Christian Geinitz. 2 Milliarden Euro für Ökostrom. FAZ, 14.05.2024. </w:t>
      </w:r>
    </w:p>
  </w:footnote>
  <w:footnote w:id="660">
    <w:p w14:paraId="3E457CF4" w14:textId="77777777" w:rsidR="004A1020" w:rsidRPr="00066B71" w:rsidRDefault="004A1020" w:rsidP="004A1020">
      <w:pPr>
        <w:pStyle w:val="Funotentext"/>
      </w:pPr>
      <w:r>
        <w:rPr>
          <w:rStyle w:val="Funotenzeichen"/>
        </w:rPr>
        <w:footnoteRef/>
      </w:r>
      <w:r w:rsidRPr="00066B71">
        <w:t xml:space="preserve"> Link: </w:t>
      </w:r>
      <w:hyperlink r:id="rId514" w:history="1">
        <w:r w:rsidRPr="00066B71">
          <w:rPr>
            <w:rStyle w:val="Hyperlink"/>
          </w:rPr>
          <w:t>https://de.linkedin.com/pulse/kann-strom-durch-eine-einfache-%C3%A4nderung-der-merit-order-middendorf-vvjhe?trk=public_post</w:t>
        </w:r>
      </w:hyperlink>
      <w:r w:rsidRPr="00066B71">
        <w:t xml:space="preserve"> </w:t>
      </w:r>
      <w:r>
        <w:t>–</w:t>
      </w:r>
      <w:r w:rsidRPr="00066B71">
        <w:t xml:space="preserve"> Zu</w:t>
      </w:r>
      <w:r>
        <w:t xml:space="preserve">gegriffen: 20.05.2024. </w:t>
      </w:r>
    </w:p>
  </w:footnote>
  <w:footnote w:id="661">
    <w:p w14:paraId="030749E8" w14:textId="7C6C543A" w:rsidR="00772D83" w:rsidRDefault="00772D83">
      <w:pPr>
        <w:pStyle w:val="Funotentext"/>
      </w:pPr>
      <w:r>
        <w:rPr>
          <w:rStyle w:val="Funotenzeichen"/>
        </w:rPr>
        <w:footnoteRef/>
      </w:r>
      <w:r>
        <w:t xml:space="preserve"> Entnommen aus Zenke/Dessau, S. 747</w:t>
      </w:r>
      <w:r w:rsidR="001026A0">
        <w:t xml:space="preserve"> in: Schneider/Theobald 2021</w:t>
      </w:r>
      <w:r w:rsidR="003975AF">
        <w:t>.</w:t>
      </w:r>
    </w:p>
  </w:footnote>
  <w:footnote w:id="662">
    <w:p w14:paraId="1D9E6334" w14:textId="28422E80" w:rsidR="003975AF" w:rsidRDefault="003975AF" w:rsidP="003975AF">
      <w:pPr>
        <w:pStyle w:val="Funotentext"/>
      </w:pPr>
      <w:r>
        <w:rPr>
          <w:rStyle w:val="Funotenzeichen"/>
        </w:rPr>
        <w:footnoteRef/>
      </w:r>
      <w:r>
        <w:t xml:space="preserve"> Zenke/Dessau, S. 741-742 in: Scheider/Theobald 2021.</w:t>
      </w:r>
    </w:p>
  </w:footnote>
  <w:footnote w:id="663">
    <w:p w14:paraId="0ED64B2E" w14:textId="43A4D850" w:rsidR="003975AF" w:rsidRDefault="003975AF">
      <w:pPr>
        <w:pStyle w:val="Funotentext"/>
      </w:pPr>
      <w:r>
        <w:rPr>
          <w:rStyle w:val="Funotenzeichen"/>
        </w:rPr>
        <w:footnoteRef/>
      </w:r>
      <w:r>
        <w:t xml:space="preserve"> </w:t>
      </w:r>
      <w:r w:rsidRPr="003975AF">
        <w:t>Zenke/Dessau, S. 7</w:t>
      </w:r>
      <w:r>
        <w:t>55</w:t>
      </w:r>
      <w:r w:rsidRPr="003975AF">
        <w:t xml:space="preserve"> in: Scheider/Theobald 2021.</w:t>
      </w:r>
    </w:p>
  </w:footnote>
  <w:footnote w:id="664">
    <w:p w14:paraId="3B5AFD81" w14:textId="77777777" w:rsidR="00F81953" w:rsidRDefault="00F81953" w:rsidP="00F81953">
      <w:pPr>
        <w:pStyle w:val="Funotentext"/>
      </w:pPr>
      <w:r>
        <w:rPr>
          <w:rStyle w:val="Funotenzeichen"/>
        </w:rPr>
        <w:footnoteRef/>
      </w:r>
      <w:r>
        <w:t xml:space="preserve"> Siehe, S. 26-28, 31-35: Agora. Die Energiewende in Deutschland: Stand der Dinge 2024, 07.01.2025. Siehe: </w:t>
      </w:r>
      <w:hyperlink r:id="rId515" w:history="1">
        <w:r w:rsidRPr="00E34DD2">
          <w:rPr>
            <w:rStyle w:val="Hyperlink"/>
          </w:rPr>
          <w:t>https://www.agora-energiewende.de/publikationen/die-energiewende-in-deutschland-stand-der-dinge-2024</w:t>
        </w:r>
      </w:hyperlink>
      <w:r>
        <w:t xml:space="preserve"> - Zugegriffen: 08.01.2025.  </w:t>
      </w:r>
    </w:p>
  </w:footnote>
  <w:footnote w:id="665">
    <w:p w14:paraId="6FD9D904" w14:textId="77777777" w:rsidR="00C4398E" w:rsidRDefault="00C4398E" w:rsidP="00C4398E">
      <w:pPr>
        <w:pStyle w:val="Funotentext"/>
      </w:pPr>
      <w:r>
        <w:rPr>
          <w:rStyle w:val="Funotenzeichen"/>
        </w:rPr>
        <w:footnoteRef/>
      </w:r>
      <w:r>
        <w:t xml:space="preserve"> S. 42, Para. 94, Wettbewerb mit neuer Energie. 7. </w:t>
      </w:r>
      <w:proofErr w:type="spellStart"/>
      <w:r>
        <w:t>Sektorgutachten</w:t>
      </w:r>
      <w:proofErr w:type="spellEnd"/>
      <w:r>
        <w:t xml:space="preserve"> Energie. </w:t>
      </w:r>
      <w:proofErr w:type="spellStart"/>
      <w:r>
        <w:t>Sektorgutachten</w:t>
      </w:r>
      <w:proofErr w:type="spellEnd"/>
      <w:r>
        <w:t xml:space="preserve"> der Monopolkommission gemäß § 62 EnWG, 2019. Siehe: </w:t>
      </w:r>
      <w:hyperlink r:id="rId516" w:history="1">
        <w:r w:rsidRPr="00181F3A">
          <w:rPr>
            <w:rStyle w:val="Hyperlink"/>
          </w:rPr>
          <w:t>https://www.monopolkommission.de/images/PDF/SG/7sg_energie_volltext.pdf</w:t>
        </w:r>
      </w:hyperlink>
      <w:r>
        <w:t xml:space="preserve"> - Zugegriffen: 17.07.2024. </w:t>
      </w:r>
    </w:p>
  </w:footnote>
  <w:footnote w:id="666">
    <w:p w14:paraId="136756D5" w14:textId="77777777" w:rsidR="00C4398E" w:rsidRDefault="00C4398E" w:rsidP="00C4398E">
      <w:pPr>
        <w:pStyle w:val="Funotentext"/>
      </w:pPr>
      <w:r>
        <w:rPr>
          <w:rStyle w:val="Funotenzeichen"/>
        </w:rPr>
        <w:footnoteRef/>
      </w:r>
      <w:r>
        <w:t xml:space="preserve"> S. 34, Wettbewerb mit neuer Energie. 7. </w:t>
      </w:r>
      <w:proofErr w:type="spellStart"/>
      <w:r>
        <w:t>Sektorgutachten</w:t>
      </w:r>
      <w:proofErr w:type="spellEnd"/>
      <w:r>
        <w:t xml:space="preserve"> Energie. </w:t>
      </w:r>
      <w:proofErr w:type="spellStart"/>
      <w:r>
        <w:t>Sektorgutachten</w:t>
      </w:r>
      <w:proofErr w:type="spellEnd"/>
      <w:r>
        <w:t xml:space="preserve"> der Monopolkommission gemäß § 62 EnWG, 2019. Siehe: </w:t>
      </w:r>
      <w:hyperlink r:id="rId517" w:history="1">
        <w:r w:rsidRPr="00181F3A">
          <w:rPr>
            <w:rStyle w:val="Hyperlink"/>
          </w:rPr>
          <w:t>https://www.monopolkommission.de/images/PDF/SG/7sg_energie_volltext.pdf</w:t>
        </w:r>
      </w:hyperlink>
      <w:r>
        <w:t xml:space="preserve"> - Zugegriffen: 17.07.2024. </w:t>
      </w:r>
    </w:p>
  </w:footnote>
  <w:footnote w:id="667">
    <w:p w14:paraId="7E7ADDE6" w14:textId="77777777" w:rsidR="00C4398E" w:rsidRDefault="00C4398E" w:rsidP="00C4398E">
      <w:pPr>
        <w:pStyle w:val="Funotentext"/>
      </w:pPr>
      <w:r>
        <w:rPr>
          <w:rStyle w:val="Funotenzeichen"/>
        </w:rPr>
        <w:footnoteRef/>
      </w:r>
      <w:r>
        <w:t xml:space="preserve"> Siehe: </w:t>
      </w:r>
      <w:hyperlink r:id="rId518" w:history="1">
        <w:r w:rsidRPr="008708CC">
          <w:rPr>
            <w:rStyle w:val="Hyperlink"/>
          </w:rPr>
          <w:t>https://data.bundesnetzagentur.de/Bundesnetzagentur/SharedDocs/Mediathek/Monitoringberichte/MonitoringberichtEnergie2023.pdf</w:t>
        </w:r>
      </w:hyperlink>
      <w:r>
        <w:t xml:space="preserve"> - Zugegriffen: 20.05.2024.</w:t>
      </w:r>
    </w:p>
  </w:footnote>
  <w:footnote w:id="668">
    <w:p w14:paraId="4A9FCD6B" w14:textId="77777777" w:rsidR="00C4398E" w:rsidRPr="005809B6" w:rsidRDefault="00C4398E" w:rsidP="00C4398E">
      <w:pPr>
        <w:pStyle w:val="Funotentext"/>
      </w:pPr>
      <w:r>
        <w:rPr>
          <w:rStyle w:val="Funotenzeichen"/>
        </w:rPr>
        <w:footnoteRef/>
      </w:r>
      <w:r w:rsidRPr="000F41EB">
        <w:t xml:space="preserve"> </w:t>
      </w:r>
      <w:proofErr w:type="spellStart"/>
      <w:r w:rsidRPr="000F41EB">
        <w:t>Müsgens</w:t>
      </w:r>
      <w:proofErr w:type="spellEnd"/>
      <w:r w:rsidRPr="000F41EB">
        <w:t xml:space="preserve">, Felix, Ockenfels, Axel, Peek, Markus. </w:t>
      </w:r>
      <w:r w:rsidRPr="005809B6">
        <w:rPr>
          <w:lang w:val="en-GB"/>
        </w:rPr>
        <w:t>Economics and Design of B</w:t>
      </w:r>
      <w:r>
        <w:rPr>
          <w:lang w:val="en-GB"/>
        </w:rPr>
        <w:t xml:space="preserve">alancing Power Markets in Germany. Working Paper, 2011/01. Brandenburg University of Technology, Cottbus. Institute Power Engineering. </w:t>
      </w:r>
      <w:r w:rsidRPr="005809B6">
        <w:t xml:space="preserve">Siehe: </w:t>
      </w:r>
      <w:hyperlink r:id="rId519" w:history="1">
        <w:r w:rsidRPr="005809B6">
          <w:rPr>
            <w:rStyle w:val="Hyperlink"/>
          </w:rPr>
          <w:t>https://www-docs.b-tu.de/fg-energiewirtschaft/public/Veroeffentlichungen/WorkingPaper/2014%20Economics%20and%20Design%20of%20Balancing%20Power%20Markets%20in%20Germany.pdf</w:t>
        </w:r>
      </w:hyperlink>
      <w:r w:rsidRPr="005809B6">
        <w:t xml:space="preserve"> </w:t>
      </w:r>
      <w:r>
        <w:t xml:space="preserve">– Zugegriffen: 17.07.2024. </w:t>
      </w:r>
    </w:p>
  </w:footnote>
  <w:footnote w:id="669">
    <w:p w14:paraId="0C110E36" w14:textId="77777777" w:rsidR="000B6BC5" w:rsidRPr="0081585F" w:rsidRDefault="000B6BC5" w:rsidP="000B6BC5">
      <w:pPr>
        <w:pStyle w:val="Funotentext"/>
      </w:pPr>
      <w:r>
        <w:rPr>
          <w:rStyle w:val="Funotenzeichen"/>
        </w:rPr>
        <w:footnoteRef/>
      </w:r>
      <w:r w:rsidRPr="0081585F">
        <w:t xml:space="preserve"> Siehe Wikipedia Merit Order: </w:t>
      </w:r>
      <w:hyperlink r:id="rId520" w:history="1">
        <w:r w:rsidRPr="0081585F">
          <w:rPr>
            <w:rStyle w:val="Hyperlink"/>
          </w:rPr>
          <w:t>https://de.wikipedia.org/wiki/Merit-Order</w:t>
        </w:r>
      </w:hyperlink>
      <w:r w:rsidRPr="0081585F">
        <w:t xml:space="preserve"> - Zu</w:t>
      </w:r>
      <w:r>
        <w:t xml:space="preserve">gegriffen: 01.02.2025. </w:t>
      </w:r>
    </w:p>
  </w:footnote>
  <w:footnote w:id="670">
    <w:p w14:paraId="1A53A286" w14:textId="72694BD3" w:rsidR="0081585F" w:rsidRPr="0081585F" w:rsidRDefault="0081585F">
      <w:pPr>
        <w:pStyle w:val="Funotentext"/>
      </w:pPr>
      <w:r>
        <w:rPr>
          <w:rStyle w:val="Funotenzeichen"/>
        </w:rPr>
        <w:footnoteRef/>
      </w:r>
      <w:r w:rsidRPr="0081585F">
        <w:t xml:space="preserve"> Siehe Wikipedia Merit Order: </w:t>
      </w:r>
      <w:hyperlink r:id="rId521" w:history="1">
        <w:r w:rsidRPr="0081585F">
          <w:rPr>
            <w:rStyle w:val="Hyperlink"/>
          </w:rPr>
          <w:t>https://de.wikipedia.org/wiki/Merit-Order</w:t>
        </w:r>
      </w:hyperlink>
      <w:r w:rsidRPr="0081585F">
        <w:t xml:space="preserve"> - Zu</w:t>
      </w:r>
      <w:r>
        <w:t xml:space="preserve">gegriffen: 01.02.2025. </w:t>
      </w:r>
    </w:p>
  </w:footnote>
  <w:footnote w:id="671">
    <w:p w14:paraId="0146D47C" w14:textId="77777777" w:rsidR="001201BF" w:rsidRPr="0081585F" w:rsidRDefault="001201BF" w:rsidP="001201BF">
      <w:pPr>
        <w:pStyle w:val="Funotentext"/>
      </w:pPr>
      <w:r>
        <w:rPr>
          <w:rStyle w:val="Funotenzeichen"/>
        </w:rPr>
        <w:footnoteRef/>
      </w:r>
      <w:r w:rsidRPr="0081585F">
        <w:t xml:space="preserve"> Siehe Wikipedia Merit Order: </w:t>
      </w:r>
      <w:hyperlink r:id="rId522" w:history="1">
        <w:r w:rsidRPr="0081585F">
          <w:rPr>
            <w:rStyle w:val="Hyperlink"/>
          </w:rPr>
          <w:t>https://de.wikipedia.org/wiki/Merit-Order</w:t>
        </w:r>
      </w:hyperlink>
      <w:r w:rsidRPr="0081585F">
        <w:t xml:space="preserve"> - Zu</w:t>
      </w:r>
      <w:r>
        <w:t xml:space="preserve">gegriffen: 01.02.2025. </w:t>
      </w:r>
    </w:p>
  </w:footnote>
  <w:footnote w:id="672">
    <w:p w14:paraId="03710855" w14:textId="77777777" w:rsidR="00C4398E" w:rsidRDefault="00C4398E" w:rsidP="00C4398E">
      <w:pPr>
        <w:pStyle w:val="Funotentext"/>
      </w:pPr>
      <w:r>
        <w:rPr>
          <w:rStyle w:val="Funotenzeichen"/>
        </w:rPr>
        <w:footnoteRef/>
      </w:r>
      <w:r>
        <w:t xml:space="preserve"> S. 34, Wettbewerb mit neuer Energie. 7. </w:t>
      </w:r>
      <w:proofErr w:type="spellStart"/>
      <w:r>
        <w:t>Sektorgutachten</w:t>
      </w:r>
      <w:proofErr w:type="spellEnd"/>
      <w:r>
        <w:t xml:space="preserve"> Energie. </w:t>
      </w:r>
      <w:proofErr w:type="spellStart"/>
      <w:r>
        <w:t>Sektorgutachten</w:t>
      </w:r>
      <w:proofErr w:type="spellEnd"/>
      <w:r>
        <w:t xml:space="preserve"> der Monopolkommission gemäß § 62 EnWG, 2019. Siehe: </w:t>
      </w:r>
      <w:hyperlink r:id="rId523" w:history="1">
        <w:r w:rsidRPr="00181F3A">
          <w:rPr>
            <w:rStyle w:val="Hyperlink"/>
          </w:rPr>
          <w:t>https://www.monopolkommission.de/images/PDF/SG/7sg_energie_volltext.pdf</w:t>
        </w:r>
      </w:hyperlink>
      <w:r>
        <w:t xml:space="preserve"> - Zugegriffen: 17.07.2024. </w:t>
      </w:r>
    </w:p>
  </w:footnote>
  <w:footnote w:id="673">
    <w:p w14:paraId="2259482C" w14:textId="77777777" w:rsidR="00C4398E" w:rsidRDefault="00C4398E" w:rsidP="00C4398E">
      <w:pPr>
        <w:pStyle w:val="Funotentext"/>
      </w:pPr>
      <w:r>
        <w:rPr>
          <w:rStyle w:val="Funotenzeichen"/>
        </w:rPr>
        <w:footnoteRef/>
      </w:r>
      <w:r>
        <w:t xml:space="preserve"> Ockenfels, Axel. Strombörse und Marktmacht. Energiewirtschaftliche Tagesfragen, 57 Jg., Heft 5, 2007. Siehe: </w:t>
      </w:r>
      <w:hyperlink r:id="rId524" w:history="1">
        <w:r w:rsidRPr="00181F3A">
          <w:rPr>
            <w:rStyle w:val="Hyperlink"/>
          </w:rPr>
          <w:t>https://ockenfels.uni-koeln.de/fileadmin/wiso_fak/stawi-ockenfels/pdf/Presse/Stromboerse_und_Marktmacht.pdf</w:t>
        </w:r>
      </w:hyperlink>
      <w:r>
        <w:t xml:space="preserve"> - Zugegriffen: 17.07.2024. </w:t>
      </w:r>
    </w:p>
  </w:footnote>
  <w:footnote w:id="674">
    <w:p w14:paraId="563288AA" w14:textId="77777777" w:rsidR="00C4398E" w:rsidRDefault="00C4398E" w:rsidP="00C4398E">
      <w:pPr>
        <w:pStyle w:val="Funotentext"/>
      </w:pPr>
      <w:r>
        <w:rPr>
          <w:rStyle w:val="Funotenzeichen"/>
        </w:rPr>
        <w:footnoteRef/>
      </w:r>
      <w:r>
        <w:t xml:space="preserve"> Universität zu Köln, Axel Ockenfels: </w:t>
      </w:r>
      <w:r w:rsidRPr="005630DF">
        <w:t>https://ockenfels.uni-koeln.de/de/</w:t>
      </w:r>
    </w:p>
  </w:footnote>
  <w:footnote w:id="675">
    <w:p w14:paraId="6BB1C2F0" w14:textId="77777777" w:rsidR="00C4398E" w:rsidRDefault="00C4398E" w:rsidP="00C4398E">
      <w:pPr>
        <w:pStyle w:val="Funotentext"/>
      </w:pPr>
      <w:r>
        <w:rPr>
          <w:rStyle w:val="Funotenzeichen"/>
        </w:rPr>
        <w:footnoteRef/>
      </w:r>
      <w:r>
        <w:t xml:space="preserve"> Wettbewerb mit neuer Energie. 7. </w:t>
      </w:r>
      <w:proofErr w:type="spellStart"/>
      <w:r>
        <w:t>Sektorgutachten</w:t>
      </w:r>
      <w:proofErr w:type="spellEnd"/>
      <w:r>
        <w:t xml:space="preserve"> Energie. </w:t>
      </w:r>
      <w:proofErr w:type="spellStart"/>
      <w:r>
        <w:t>Sektorgutachten</w:t>
      </w:r>
      <w:proofErr w:type="spellEnd"/>
      <w:r>
        <w:t xml:space="preserve"> der Monopolkommission gemäß § 62 EnWG, 2019. Siehe: </w:t>
      </w:r>
      <w:hyperlink r:id="rId525" w:history="1">
        <w:r w:rsidRPr="00181F3A">
          <w:rPr>
            <w:rStyle w:val="Hyperlink"/>
          </w:rPr>
          <w:t>https://www.monopolkommission.de/images/PDF/SG/7sg_energie_volltext.pdf</w:t>
        </w:r>
      </w:hyperlink>
      <w:r>
        <w:t xml:space="preserve"> - Zugegriffen: 17.07.2024. </w:t>
      </w:r>
    </w:p>
  </w:footnote>
  <w:footnote w:id="676">
    <w:p w14:paraId="1D906195" w14:textId="77777777" w:rsidR="00C4398E" w:rsidRDefault="00C4398E" w:rsidP="00C4398E">
      <w:pPr>
        <w:pStyle w:val="Funotentext"/>
      </w:pPr>
      <w:r>
        <w:rPr>
          <w:rStyle w:val="Funotenzeichen"/>
        </w:rPr>
        <w:footnoteRef/>
      </w:r>
      <w:r>
        <w:t xml:space="preserve"> Energie 2023: Mit Wettbewerb aus der Energiekrise. 9. </w:t>
      </w:r>
      <w:proofErr w:type="spellStart"/>
      <w:r>
        <w:t>Sektorgutachten</w:t>
      </w:r>
      <w:proofErr w:type="spellEnd"/>
      <w:r>
        <w:t xml:space="preserve">. Gutachten </w:t>
      </w:r>
      <w:r w:rsidRPr="00202FEF">
        <w:t>der Monopolkommission gemäß § 62 EnWG</w:t>
      </w:r>
      <w:r>
        <w:t xml:space="preserve">, 2023. Siehe: </w:t>
      </w:r>
      <w:hyperlink r:id="rId526" w:history="1">
        <w:r w:rsidRPr="00181F3A">
          <w:rPr>
            <w:rStyle w:val="Hyperlink"/>
          </w:rPr>
          <w:t>https://www.monopolkommission.de/images/PDF/SG/9sg_energie_volltext.pdf</w:t>
        </w:r>
      </w:hyperlink>
      <w:r>
        <w:t xml:space="preserve"> - Zugegriffen: 17.07.2024. </w:t>
      </w:r>
    </w:p>
  </w:footnote>
  <w:footnote w:id="677">
    <w:p w14:paraId="46FC564A" w14:textId="77777777" w:rsidR="00C4398E" w:rsidRDefault="00C4398E" w:rsidP="00C4398E">
      <w:pPr>
        <w:pStyle w:val="Funotentext"/>
      </w:pPr>
      <w:r>
        <w:rPr>
          <w:rStyle w:val="Funotenzeichen"/>
        </w:rPr>
        <w:footnoteRef/>
      </w:r>
      <w:r>
        <w:t xml:space="preserve"> Energie 2021: Wettbewerbschancen bei Strombörsen, E-Ladesäulen und Wasserstoff nutzen. 8. </w:t>
      </w:r>
      <w:proofErr w:type="spellStart"/>
      <w:r>
        <w:t>Sektorgutachten</w:t>
      </w:r>
      <w:proofErr w:type="spellEnd"/>
      <w:r>
        <w:t xml:space="preserve"> der Monopolkommission gemäß § 62 EnWG, 2021. Siehe: </w:t>
      </w:r>
      <w:hyperlink r:id="rId527" w:history="1">
        <w:r w:rsidRPr="00181F3A">
          <w:rPr>
            <w:rStyle w:val="Hyperlink"/>
          </w:rPr>
          <w:t>https://www.monopolkommission.de/images/PDF/SG/8sg_energie_volltext.pdf</w:t>
        </w:r>
      </w:hyperlink>
      <w:r>
        <w:t xml:space="preserve"> - Zugegriffen: 17.07.2024. </w:t>
      </w:r>
    </w:p>
  </w:footnote>
  <w:footnote w:id="678">
    <w:p w14:paraId="2C33AAA5" w14:textId="77777777" w:rsidR="001201BF" w:rsidRPr="00715DE0" w:rsidRDefault="001201BF" w:rsidP="001201BF">
      <w:pPr>
        <w:pStyle w:val="Funotentext"/>
      </w:pPr>
      <w:r>
        <w:rPr>
          <w:rStyle w:val="Funotenzeichen"/>
        </w:rPr>
        <w:footnoteRef/>
      </w:r>
      <w:r w:rsidRPr="000F41EB">
        <w:t xml:space="preserve"> Peek, Markus, Diels, Robert, r2b </w:t>
      </w:r>
      <w:proofErr w:type="spellStart"/>
      <w:r w:rsidRPr="000F41EB">
        <w:t>energy</w:t>
      </w:r>
      <w:proofErr w:type="spellEnd"/>
      <w:r w:rsidRPr="000F41EB">
        <w:t xml:space="preserve"> </w:t>
      </w:r>
      <w:proofErr w:type="spellStart"/>
      <w:r w:rsidRPr="000F41EB">
        <w:t>consulting</w:t>
      </w:r>
      <w:proofErr w:type="spellEnd"/>
      <w:r w:rsidRPr="000F41EB">
        <w:t xml:space="preserve"> Köln. </w:t>
      </w:r>
      <w:r>
        <w:t xml:space="preserve">Ein Strommarktdesign zur kostengünstigen Erreichung der langfristigen Klimaziele. Climate Change 05/2016, Bundesumweltamt. Siehe: </w:t>
      </w:r>
      <w:hyperlink r:id="rId528" w:history="1">
        <w:r w:rsidRPr="00181F3A">
          <w:rPr>
            <w:rStyle w:val="Hyperlink"/>
          </w:rPr>
          <w:t>https://www.umweltbundesamt.de/sites/default/files/medien/378/publikationen/climate_change_05_2016_ein_strommarktdesign_zur_kostenguenstigen_erreichung_0.pdf</w:t>
        </w:r>
      </w:hyperlink>
      <w:r>
        <w:t xml:space="preserve"> - Zugegriffen: 17.07.2024. Siehe auch die Webseite: </w:t>
      </w:r>
      <w:hyperlink r:id="rId529" w:history="1">
        <w:r w:rsidRPr="00715DE0">
          <w:rPr>
            <w:rStyle w:val="Hyperlink"/>
          </w:rPr>
          <w:t>https://www.r2b-energy.com/</w:t>
        </w:r>
      </w:hyperlink>
    </w:p>
  </w:footnote>
  <w:footnote w:id="679">
    <w:p w14:paraId="6755C2C5" w14:textId="7E0CBCE0" w:rsidR="001451E2" w:rsidRDefault="001451E2">
      <w:pPr>
        <w:pStyle w:val="Funotentext"/>
      </w:pPr>
      <w:r>
        <w:rPr>
          <w:rStyle w:val="Funotenzeichen"/>
        </w:rPr>
        <w:footnoteRef/>
      </w:r>
      <w:r>
        <w:t xml:space="preserve"> Siehe: </w:t>
      </w:r>
      <w:hyperlink r:id="rId530" w:history="1">
        <w:r w:rsidRPr="00181F3A">
          <w:rPr>
            <w:rStyle w:val="Hyperlink"/>
          </w:rPr>
          <w:t>https://www.bmwk.de/Redaktion/DE/Artikel/Klimaschutz/pkns-download-dokumente.html</w:t>
        </w:r>
      </w:hyperlink>
      <w:r>
        <w:t xml:space="preserve"> - Zugegriffen: 17.07.2024. </w:t>
      </w:r>
    </w:p>
  </w:footnote>
  <w:footnote w:id="680">
    <w:p w14:paraId="77339A9B" w14:textId="1E6E2D61" w:rsidR="00A96480" w:rsidRDefault="00A96480">
      <w:pPr>
        <w:pStyle w:val="Funotentext"/>
      </w:pPr>
      <w:r>
        <w:rPr>
          <w:rStyle w:val="Funotenzeichen"/>
        </w:rPr>
        <w:footnoteRef/>
      </w:r>
      <w:r>
        <w:t xml:space="preserve"> Siehe</w:t>
      </w:r>
      <w:r w:rsidR="001451E2">
        <w:t xml:space="preserve"> erster Bericht</w:t>
      </w:r>
      <w:r>
        <w:t xml:space="preserve">: </w:t>
      </w:r>
      <w:hyperlink r:id="rId531" w:history="1">
        <w:r w:rsidRPr="00181F3A">
          <w:rPr>
            <w:rStyle w:val="Hyperlink"/>
          </w:rPr>
          <w:t>https://www.bmwk.de/Redaktion/DE/Downloads/P-R/erster-bericht-ueber-die-arbeit-der-pkns.pdf?__blob=publicationFile&amp;v=4</w:t>
        </w:r>
      </w:hyperlink>
      <w:r>
        <w:t xml:space="preserve"> – </w:t>
      </w:r>
      <w:r w:rsidR="001451E2">
        <w:t xml:space="preserve">siehe zweiter Bericht: </w:t>
      </w:r>
      <w:hyperlink r:id="rId532" w:history="1">
        <w:r w:rsidR="001451E2" w:rsidRPr="00181F3A">
          <w:rPr>
            <w:rStyle w:val="Hyperlink"/>
          </w:rPr>
          <w:t>https://www.bmwk.de/Redaktion/DE/Downloads/P-R/integrierter-gesamtbericht-ueber-die-arbeit-der-pkns.pdf?__blob=publicationFile&amp;v=4</w:t>
        </w:r>
      </w:hyperlink>
      <w:r w:rsidR="001451E2">
        <w:t xml:space="preserve"> - </w:t>
      </w:r>
      <w:r>
        <w:t xml:space="preserve">Zugegriffen: 17.07.2024. </w:t>
      </w:r>
    </w:p>
  </w:footnote>
  <w:footnote w:id="681">
    <w:p w14:paraId="560FF8E7" w14:textId="4814A303" w:rsidR="00411233" w:rsidRDefault="00411233">
      <w:pPr>
        <w:pStyle w:val="Funotentext"/>
      </w:pPr>
      <w:r>
        <w:rPr>
          <w:rStyle w:val="Funotenzeichen"/>
        </w:rPr>
        <w:footnoteRef/>
      </w:r>
      <w:r>
        <w:t xml:space="preserve"> Siehe: </w:t>
      </w:r>
      <w:hyperlink r:id="rId533" w:history="1">
        <w:r w:rsidRPr="00411233">
          <w:rPr>
            <w:rStyle w:val="Hyperlink"/>
          </w:rPr>
          <w:t>https://www.bmwk.de/Redaktion/DE/Dossier/plattform-klimaneutrales-stromsystem.html</w:t>
        </w:r>
      </w:hyperlink>
    </w:p>
  </w:footnote>
  <w:footnote w:id="682">
    <w:p w14:paraId="06497D15" w14:textId="1AF5027F" w:rsidR="00411233" w:rsidRDefault="00411233">
      <w:pPr>
        <w:pStyle w:val="Funotentext"/>
      </w:pPr>
      <w:r>
        <w:rPr>
          <w:rStyle w:val="Funotenzeichen"/>
        </w:rPr>
        <w:footnoteRef/>
      </w:r>
      <w:r>
        <w:t xml:space="preserve"> Siehe: </w:t>
      </w:r>
      <w:hyperlink r:id="rId534" w:history="1">
        <w:r w:rsidRPr="00181F3A">
          <w:rPr>
            <w:rStyle w:val="Hyperlink"/>
          </w:rPr>
          <w:t>https://www.klimaneutrales-stromsystem.de/downloads.html</w:t>
        </w:r>
      </w:hyperlink>
      <w:r>
        <w:t xml:space="preserve"> – Zugegriffen: 17.07.2024. Direktlink hier: </w:t>
      </w:r>
      <w:hyperlink r:id="rId535" w:history="1">
        <w:r w:rsidRPr="00181F3A">
          <w:rPr>
            <w:rStyle w:val="Hyperlink"/>
          </w:rPr>
          <w:t>https://www.klimaneutrales-stromsystem.de/pdf/Strommarktdesignstudie_BEE_final_Stand_14_12_2021.pdf</w:t>
        </w:r>
      </w:hyperlink>
      <w:r>
        <w:t xml:space="preserve"> - Zugegriffen: 17.07.2024. </w:t>
      </w:r>
    </w:p>
  </w:footnote>
  <w:footnote w:id="683">
    <w:p w14:paraId="31552705" w14:textId="09B43531" w:rsidR="00411233" w:rsidRDefault="00411233">
      <w:pPr>
        <w:pStyle w:val="Funotentext"/>
      </w:pPr>
      <w:r>
        <w:rPr>
          <w:rStyle w:val="Funotenzeichen"/>
        </w:rPr>
        <w:footnoteRef/>
      </w:r>
      <w:r>
        <w:t xml:space="preserve"> Siehe: </w:t>
      </w:r>
      <w:hyperlink r:id="rId536" w:history="1">
        <w:r w:rsidRPr="00181F3A">
          <w:rPr>
            <w:rStyle w:val="Hyperlink"/>
          </w:rPr>
          <w:t>https://www.bmwk.de/Redaktion/DE/Downloads/I/integration-lectricit-market.html</w:t>
        </w:r>
      </w:hyperlink>
      <w:r>
        <w:t xml:space="preserve"> - Zugegriffen: 17.07.2024. </w:t>
      </w:r>
    </w:p>
  </w:footnote>
  <w:footnote w:id="684">
    <w:p w14:paraId="22DCB02F" w14:textId="17CB0462" w:rsidR="009B68E5" w:rsidRDefault="009B68E5">
      <w:pPr>
        <w:pStyle w:val="Funotentext"/>
      </w:pPr>
      <w:r>
        <w:rPr>
          <w:rStyle w:val="Funotenzeichen"/>
        </w:rPr>
        <w:footnoteRef/>
      </w:r>
      <w:r>
        <w:t xml:space="preserve"> </w:t>
      </w:r>
      <w:r w:rsidR="00CE7639">
        <w:t xml:space="preserve">Siehe die Seiten: 50, 57 in: </w:t>
      </w:r>
      <w:proofErr w:type="gramStart"/>
      <w:r w:rsidR="00CE7639">
        <w:t>BWMK Strommarktdesign</w:t>
      </w:r>
      <w:proofErr w:type="gramEnd"/>
      <w:r w:rsidR="00CE7639">
        <w:t xml:space="preserve"> der Zukunft 2024. </w:t>
      </w:r>
      <w:r>
        <w:t xml:space="preserve">Siehe: </w:t>
      </w:r>
      <w:hyperlink r:id="rId537" w:history="1">
        <w:r w:rsidRPr="00FC3FEC">
          <w:rPr>
            <w:rStyle w:val="Hyperlink"/>
          </w:rPr>
          <w:t>https://www.bmwk.de/Redaktion/DE/Publikationen/Energie/20240801-strommarktdesign-der-zukunft.pdf?__blob=publicationFile&amp;v=10</w:t>
        </w:r>
      </w:hyperlink>
      <w:r>
        <w:t xml:space="preserve"> – Zugegriffen: 27.08.2024. </w:t>
      </w:r>
    </w:p>
  </w:footnote>
  <w:footnote w:id="685">
    <w:p w14:paraId="6535300B" w14:textId="77777777" w:rsidR="00812976" w:rsidRDefault="00812976" w:rsidP="00812976">
      <w:pPr>
        <w:pStyle w:val="Funotentext"/>
      </w:pPr>
      <w:r>
        <w:rPr>
          <w:rStyle w:val="Funotenzeichen"/>
        </w:rPr>
        <w:footnoteRef/>
      </w:r>
      <w:r>
        <w:t xml:space="preserve"> Nadine Bös, Christian Geinitz. In den Startlöchern für neue Gaskraftwerke. FAZ, 17.01.2026. </w:t>
      </w:r>
    </w:p>
  </w:footnote>
  <w:footnote w:id="686">
    <w:p w14:paraId="220E92AA" w14:textId="3BAF8429" w:rsidR="00EF74CB" w:rsidRDefault="00EF74CB" w:rsidP="00EF74CB">
      <w:pPr>
        <w:pStyle w:val="Funotentext"/>
      </w:pPr>
      <w:r>
        <w:rPr>
          <w:rStyle w:val="Funotenzeichen"/>
        </w:rPr>
        <w:footnoteRef/>
      </w:r>
      <w:r w:rsidRPr="00F93D60">
        <w:t xml:space="preserve"> Axel Ockenfels, Christoph Maurer, Andreas Löschel, Karsten Neuhoff, Georg Zachmann, Karen Pittel, Felix Matthes, Veronika Grimm, Achim Wambach, Lion Hirth, Martin Bichler, Ottmar Edenhofer. </w:t>
      </w:r>
      <w:r>
        <w:t xml:space="preserve">Der deutsche Strommarkt braucht lokale </w:t>
      </w:r>
      <w:proofErr w:type="spellStart"/>
      <w:r>
        <w:t>Preise.FAZ</w:t>
      </w:r>
      <w:proofErr w:type="spellEnd"/>
      <w:r>
        <w:t xml:space="preserve">, 10.07.2024. </w:t>
      </w:r>
      <w:r w:rsidR="005B167B" w:rsidRPr="005B167B">
        <w:t xml:space="preserve">Bei diesem Vorschlag fehlt z.B. völlig eine Vorstellung davon, wie der Ausbau in Zukunft </w:t>
      </w:r>
      <w:proofErr w:type="spellStart"/>
      <w:r w:rsidR="005B167B" w:rsidRPr="005B167B">
        <w:t>vonstatten gehen</w:t>
      </w:r>
      <w:proofErr w:type="spellEnd"/>
      <w:r w:rsidR="005B167B" w:rsidRPr="005B167B">
        <w:t xml:space="preserve"> könnte, welcher Bedarf dann da ist und welcher entsteht, und wie man z.B. heute schon verfügbaren Strom im Norden besser nutzen könnte, etwa durch Elektrolyseure und dadurch das System stabilisieren könnte. Die Preisbildung auf dem Strommarkt wird nicht erklärt und nicht thematisiert. Es wird sich nicht mit den Vorteilen des heutigen Systems beschäftigt, sondern nur mit den Nachteilen.  </w:t>
      </w:r>
    </w:p>
  </w:footnote>
  <w:footnote w:id="687">
    <w:p w14:paraId="7273A1CA" w14:textId="445E2DC0" w:rsidR="001026A0" w:rsidRDefault="001026A0">
      <w:pPr>
        <w:pStyle w:val="Funotentext"/>
      </w:pPr>
      <w:r>
        <w:rPr>
          <w:rStyle w:val="Funotenzeichen"/>
        </w:rPr>
        <w:footnoteRef/>
      </w:r>
      <w:r>
        <w:t xml:space="preserve"> </w:t>
      </w:r>
      <w:r w:rsidR="00BB2AE6">
        <w:t xml:space="preserve">Wirtschaft kämpft für bundesweiten Strompreis. Verbände: Teilung der deutschen Strompreiszone würde jahrelang erhebliche Unsicherheit bedeuten. FAZ, 20.07.2024. </w:t>
      </w:r>
      <w:r w:rsidR="00AF51DF">
        <w:t xml:space="preserve">Standpunkt: Die Energiewende braucht ein stabiles Fundament. 15 Verbände und Gewerkschaften warnen vor einer Aufteilung des deutschen Strommarkts. FAZ, 20.07.2024.  </w:t>
      </w:r>
    </w:p>
  </w:footnote>
  <w:footnote w:id="688">
    <w:p w14:paraId="5A3A1DE6" w14:textId="3FD3054F" w:rsidR="005A782B" w:rsidRDefault="005A782B">
      <w:pPr>
        <w:pStyle w:val="Funotentext"/>
      </w:pPr>
      <w:r>
        <w:rPr>
          <w:rStyle w:val="Funotenzeichen"/>
        </w:rPr>
        <w:footnoteRef/>
      </w:r>
      <w:r>
        <w:t xml:space="preserve"> Siehe: </w:t>
      </w:r>
      <w:hyperlink r:id="rId538" w:history="1">
        <w:r w:rsidRPr="0050727D">
          <w:rPr>
            <w:rStyle w:val="Hyperlink"/>
          </w:rPr>
          <w:t>https://www.entsoe.eu/news/2025/04/28/bidding-zone-study-released/</w:t>
        </w:r>
      </w:hyperlink>
      <w:r>
        <w:t xml:space="preserve"> - Zugegriffen: 09.06.2025. </w:t>
      </w:r>
    </w:p>
  </w:footnote>
  <w:footnote w:id="689">
    <w:p w14:paraId="6B7DA781" w14:textId="55F27A0C" w:rsidR="005A782B" w:rsidRDefault="005A782B">
      <w:pPr>
        <w:pStyle w:val="Funotentext"/>
      </w:pPr>
      <w:r>
        <w:rPr>
          <w:rStyle w:val="Funotenzeichen"/>
        </w:rPr>
        <w:footnoteRef/>
      </w:r>
      <w:r>
        <w:t xml:space="preserve"> Siehe: </w:t>
      </w:r>
      <w:hyperlink r:id="rId539" w:anchor="Downloads_of_the_Bidding_Zone_Review_(BZR)_Report_for_the_target_year_2025" w:history="1">
        <w:r w:rsidRPr="0050727D">
          <w:rPr>
            <w:rStyle w:val="Hyperlink"/>
          </w:rPr>
          <w:t>https://www.entsoe.eu/network_codes/bzr/#Downloads_of_the_Bidding_Zone_Review_(BZR)_Report_for_the_target_year_2025</w:t>
        </w:r>
      </w:hyperlink>
      <w:r>
        <w:t xml:space="preserve"> – Zugegriffen: 09.06.2025. </w:t>
      </w:r>
    </w:p>
  </w:footnote>
  <w:footnote w:id="690">
    <w:p w14:paraId="65139AD5" w14:textId="5D60C51A" w:rsidR="005A782B" w:rsidRDefault="005A782B">
      <w:pPr>
        <w:pStyle w:val="Funotentext"/>
      </w:pPr>
      <w:r>
        <w:rPr>
          <w:rStyle w:val="Funotenzeichen"/>
        </w:rPr>
        <w:footnoteRef/>
      </w:r>
      <w:r>
        <w:t xml:space="preserve"> S. 26, siehe: </w:t>
      </w:r>
      <w:hyperlink r:id="rId540" w:history="1">
        <w:r w:rsidRPr="0050727D">
          <w:rPr>
            <w:rStyle w:val="Hyperlink"/>
          </w:rPr>
          <w:t>https://www.spd.de/fileadmin/Dokumente/Koalitionsvertrag2025_bf.pdf</w:t>
        </w:r>
      </w:hyperlink>
      <w:r>
        <w:t xml:space="preserve"> - Zugegriffen: 09.06.2025. </w:t>
      </w:r>
    </w:p>
  </w:footnote>
  <w:footnote w:id="691">
    <w:p w14:paraId="5D5F4C94" w14:textId="74F94DC8" w:rsidR="005B167B" w:rsidRDefault="005B167B">
      <w:pPr>
        <w:pStyle w:val="Funotentext"/>
      </w:pPr>
      <w:r>
        <w:rPr>
          <w:rStyle w:val="Funotenzeichen"/>
        </w:rPr>
        <w:footnoteRef/>
      </w:r>
      <w:r>
        <w:t xml:space="preserve"> Die Studie ist bisher nicht veröffentlicht. Siehe: Wie wird das Stromsystem fit für die Zukunft. FAZ, 10.07.2024. </w:t>
      </w:r>
    </w:p>
  </w:footnote>
  <w:footnote w:id="692">
    <w:p w14:paraId="128EC1BD" w14:textId="77777777" w:rsidR="00896DB5" w:rsidRDefault="00896DB5" w:rsidP="00896DB5">
      <w:pPr>
        <w:pStyle w:val="Funotentext"/>
      </w:pPr>
      <w:r>
        <w:rPr>
          <w:rStyle w:val="Funotenzeichen"/>
        </w:rPr>
        <w:footnoteRef/>
      </w:r>
      <w:r>
        <w:t xml:space="preserve"> Siehe: </w:t>
      </w:r>
      <w:hyperlink r:id="rId541" w:history="1">
        <w:r w:rsidRPr="00CB7CC8">
          <w:rPr>
            <w:rStyle w:val="Hyperlink"/>
          </w:rPr>
          <w:t>https://eudsoentity.eu/</w:t>
        </w:r>
      </w:hyperlink>
    </w:p>
  </w:footnote>
  <w:footnote w:id="693">
    <w:p w14:paraId="09AB1893" w14:textId="77777777" w:rsidR="00896DB5" w:rsidRDefault="00896DB5" w:rsidP="00896DB5">
      <w:pPr>
        <w:pStyle w:val="Funotentext"/>
      </w:pPr>
      <w:r>
        <w:rPr>
          <w:rStyle w:val="Funotenzeichen"/>
        </w:rPr>
        <w:footnoteRef/>
      </w:r>
      <w:r>
        <w:t xml:space="preserve"> </w:t>
      </w:r>
      <w:proofErr w:type="spellStart"/>
      <w:r>
        <w:t>Pirstner</w:t>
      </w:r>
      <w:proofErr w:type="spellEnd"/>
      <w:r>
        <w:t>-Ebner 2022: 22-24.</w:t>
      </w:r>
    </w:p>
  </w:footnote>
  <w:footnote w:id="694">
    <w:p w14:paraId="03DA79A0" w14:textId="77777777" w:rsidR="00896DB5" w:rsidRDefault="00896DB5" w:rsidP="00896DB5">
      <w:pPr>
        <w:pStyle w:val="Funotentext"/>
      </w:pPr>
      <w:r>
        <w:rPr>
          <w:rStyle w:val="Funotenzeichen"/>
        </w:rPr>
        <w:footnoteRef/>
      </w:r>
      <w:r>
        <w:t xml:space="preserve"> </w:t>
      </w:r>
      <w:r w:rsidRPr="008E284F">
        <w:t>BMWK, Die Energie der Zukunft, 8. Monitoring Bericht zur Energiewende, Berichtsjahre 2018 und 2019, Stand 2021: 2</w:t>
      </w:r>
      <w:r>
        <w:t>4</w:t>
      </w:r>
      <w:r w:rsidRPr="008E284F">
        <w:t>.</w:t>
      </w:r>
    </w:p>
  </w:footnote>
  <w:footnote w:id="695">
    <w:p w14:paraId="6F78A7C5" w14:textId="77777777" w:rsidR="00896DB5" w:rsidRDefault="00896DB5" w:rsidP="00896DB5">
      <w:pPr>
        <w:pStyle w:val="Funotentext"/>
      </w:pPr>
      <w:r>
        <w:rPr>
          <w:rStyle w:val="Funotenzeichen"/>
        </w:rPr>
        <w:footnoteRef/>
      </w:r>
      <w:r>
        <w:t xml:space="preserve"> Siehe: </w:t>
      </w:r>
      <w:hyperlink r:id="rId542" w:history="1">
        <w:r w:rsidRPr="0050727D">
          <w:rPr>
            <w:rStyle w:val="Hyperlink"/>
          </w:rPr>
          <w:t>https://www.acer.europa.eu/</w:t>
        </w:r>
      </w:hyperlink>
      <w:r>
        <w:t xml:space="preserve"> </w:t>
      </w:r>
    </w:p>
  </w:footnote>
  <w:footnote w:id="696">
    <w:p w14:paraId="02C916B3" w14:textId="77777777" w:rsidR="00896DB5" w:rsidRDefault="00896DB5" w:rsidP="00896DB5">
      <w:pPr>
        <w:pStyle w:val="Funotentext"/>
      </w:pPr>
      <w:r>
        <w:rPr>
          <w:rStyle w:val="Funotenzeichen"/>
        </w:rPr>
        <w:footnoteRef/>
      </w:r>
      <w:r>
        <w:t xml:space="preserve"> Siehe: </w:t>
      </w:r>
      <w:hyperlink r:id="rId543" w:history="1">
        <w:r w:rsidRPr="0050727D">
          <w:rPr>
            <w:rStyle w:val="Hyperlink"/>
          </w:rPr>
          <w:t>https://www.acer.europa.eu/remit/about-remit/remit-periodic-reports</w:t>
        </w:r>
      </w:hyperlink>
      <w:r>
        <w:t xml:space="preserve"> - Zugegriffen: 09.06.2025. </w:t>
      </w:r>
    </w:p>
  </w:footnote>
  <w:footnote w:id="697">
    <w:p w14:paraId="53E10EE5" w14:textId="77777777" w:rsidR="00896DB5" w:rsidRDefault="00896DB5" w:rsidP="00896DB5">
      <w:pPr>
        <w:pStyle w:val="Funotentext"/>
      </w:pPr>
      <w:r>
        <w:rPr>
          <w:rStyle w:val="Funotenzeichen"/>
        </w:rPr>
        <w:footnoteRef/>
      </w:r>
      <w:r>
        <w:t xml:space="preserve"> Hanna Decker, Hendrik Kafsack. Fünf verschiedene Strompreise in Deutschland? FAZ, 30.04.2025. Ich finde nicht direkt auf der </w:t>
      </w:r>
      <w:proofErr w:type="gramStart"/>
      <w:r>
        <w:t>ACER Webseite</w:t>
      </w:r>
      <w:proofErr w:type="gramEnd"/>
      <w:r>
        <w:t xml:space="preserve"> den richtigen Link dazu: Siehe: </w:t>
      </w:r>
      <w:hyperlink r:id="rId544" w:history="1">
        <w:r w:rsidRPr="0050727D">
          <w:rPr>
            <w:rStyle w:val="Hyperlink"/>
          </w:rPr>
          <w:t>https://www.acer.europa.eu/</w:t>
        </w:r>
      </w:hyperlink>
      <w:r>
        <w:t xml:space="preserve"> - Zugegriffen: 09.06.2025. </w:t>
      </w:r>
    </w:p>
  </w:footnote>
  <w:footnote w:id="698">
    <w:p w14:paraId="1C16D1D4" w14:textId="77777777" w:rsidR="00112190" w:rsidRDefault="00112190" w:rsidP="00112190">
      <w:pPr>
        <w:pStyle w:val="Funotentext"/>
      </w:pPr>
      <w:r>
        <w:rPr>
          <w:rStyle w:val="Funotenzeichen"/>
        </w:rPr>
        <w:footnoteRef/>
      </w:r>
      <w:r>
        <w:t xml:space="preserve"> Kirch et al. 2022: 1.</w:t>
      </w:r>
    </w:p>
  </w:footnote>
  <w:footnote w:id="699">
    <w:p w14:paraId="327C7B85" w14:textId="77777777" w:rsidR="00112190" w:rsidRDefault="00112190" w:rsidP="00112190">
      <w:pPr>
        <w:pStyle w:val="Funotentext"/>
      </w:pPr>
      <w:r>
        <w:rPr>
          <w:rStyle w:val="Funotenzeichen"/>
        </w:rPr>
        <w:footnoteRef/>
      </w:r>
      <w:r>
        <w:t xml:space="preserve"> Kirch et al. 2022: 1.</w:t>
      </w:r>
    </w:p>
  </w:footnote>
  <w:footnote w:id="700">
    <w:p w14:paraId="6C9B7E6C" w14:textId="77777777" w:rsidR="00112190" w:rsidRDefault="00112190" w:rsidP="00112190">
      <w:pPr>
        <w:pStyle w:val="Funotentext"/>
      </w:pPr>
      <w:r>
        <w:rPr>
          <w:rStyle w:val="Funotenzeichen"/>
        </w:rPr>
        <w:footnoteRef/>
      </w:r>
      <w:r>
        <w:t xml:space="preserve"> Kirch et al. 2022: 2. </w:t>
      </w:r>
    </w:p>
  </w:footnote>
  <w:footnote w:id="701">
    <w:p w14:paraId="6C5A302D" w14:textId="27E0D3C0" w:rsidR="00F965A8" w:rsidRDefault="00F965A8">
      <w:pPr>
        <w:pStyle w:val="Funotentext"/>
      </w:pPr>
      <w:r>
        <w:rPr>
          <w:rStyle w:val="Funotenzeichen"/>
        </w:rPr>
        <w:footnoteRef/>
      </w:r>
      <w:r>
        <w:t xml:space="preserve"> Siehe § 4 EEG: </w:t>
      </w:r>
      <w:hyperlink r:id="rId545" w:history="1">
        <w:r w:rsidRPr="00181F3A">
          <w:rPr>
            <w:rStyle w:val="Hyperlink"/>
          </w:rPr>
          <w:t>https://www.gesetze-im-internet.de/eeg_2014/BJNR106610014.html</w:t>
        </w:r>
      </w:hyperlink>
      <w:r>
        <w:t xml:space="preserve"> - Zugegriffen: 17.07.2024.</w:t>
      </w:r>
    </w:p>
  </w:footnote>
  <w:footnote w:id="702">
    <w:p w14:paraId="244DDEA9" w14:textId="77777777" w:rsidR="00112190" w:rsidRDefault="00112190" w:rsidP="00112190">
      <w:pPr>
        <w:pStyle w:val="Funotentext"/>
      </w:pPr>
      <w:r>
        <w:rPr>
          <w:rStyle w:val="Funotenzeichen"/>
        </w:rPr>
        <w:footnoteRef/>
      </w:r>
      <w:r>
        <w:t xml:space="preserve"> Kirch et al. 2022: 4.</w:t>
      </w:r>
    </w:p>
  </w:footnote>
  <w:footnote w:id="703">
    <w:p w14:paraId="5A63C2BF" w14:textId="77777777" w:rsidR="00112190" w:rsidRPr="00A86CDC" w:rsidRDefault="00112190" w:rsidP="00112190">
      <w:pPr>
        <w:pStyle w:val="Funotentext"/>
      </w:pPr>
      <w:r>
        <w:rPr>
          <w:rStyle w:val="Funotenzeichen"/>
        </w:rPr>
        <w:footnoteRef/>
      </w:r>
      <w:r w:rsidRPr="00A86CDC">
        <w:t xml:space="preserve"> Kirch et al. 2022: 1.</w:t>
      </w:r>
    </w:p>
  </w:footnote>
  <w:footnote w:id="704">
    <w:p w14:paraId="7A47E384" w14:textId="424B608A" w:rsidR="00310A05" w:rsidRDefault="00310A05">
      <w:pPr>
        <w:pStyle w:val="Funotentext"/>
      </w:pPr>
      <w:r>
        <w:rPr>
          <w:rStyle w:val="Funotenzeichen"/>
        </w:rPr>
        <w:footnoteRef/>
      </w:r>
      <w:r>
        <w:t xml:space="preserve"> Julia Löhr. Das Elektroauto dann laden, wenn die Sonne scheint. FAZ, 03.08.2024. </w:t>
      </w:r>
    </w:p>
  </w:footnote>
  <w:footnote w:id="705">
    <w:p w14:paraId="69C0CD1A" w14:textId="3E76FEC8" w:rsidR="009B68E5" w:rsidRDefault="009B68E5">
      <w:pPr>
        <w:pStyle w:val="Funotentext"/>
      </w:pPr>
      <w:r>
        <w:rPr>
          <w:rStyle w:val="Funotenzeichen"/>
        </w:rPr>
        <w:footnoteRef/>
      </w:r>
      <w:r>
        <w:t xml:space="preserve"> </w:t>
      </w:r>
      <w:proofErr w:type="gramStart"/>
      <w:r w:rsidR="009E4981">
        <w:t>BMWK Strommarktdesign</w:t>
      </w:r>
      <w:proofErr w:type="gramEnd"/>
      <w:r w:rsidR="009E4981">
        <w:t xml:space="preserve"> der Zukunft 2024. </w:t>
      </w:r>
      <w:r>
        <w:t xml:space="preserve">Siehe: </w:t>
      </w:r>
      <w:hyperlink r:id="rId546" w:history="1">
        <w:r w:rsidRPr="00FC3FEC">
          <w:rPr>
            <w:rStyle w:val="Hyperlink"/>
          </w:rPr>
          <w:t>https://www.bmwk.de/Redaktion/DE/Publikationen/Energie/20240801-strommarktdesign-der-zukunft.pdf?__blob=publicationFile&amp;v=10</w:t>
        </w:r>
      </w:hyperlink>
      <w:r>
        <w:t xml:space="preserve"> – Zugegriffen: 27.08.2024. </w:t>
      </w:r>
    </w:p>
  </w:footnote>
  <w:footnote w:id="706">
    <w:p w14:paraId="685D247B" w14:textId="7220369F" w:rsidR="009E4981" w:rsidRDefault="009E4981">
      <w:pPr>
        <w:pStyle w:val="Funotentext"/>
      </w:pPr>
      <w:r>
        <w:rPr>
          <w:rStyle w:val="Funotenzeichen"/>
        </w:rPr>
        <w:footnoteRef/>
      </w:r>
      <w:r>
        <w:t xml:space="preserve"> </w:t>
      </w:r>
      <w:proofErr w:type="gramStart"/>
      <w:r>
        <w:t>BMWK Strommarktdesign</w:t>
      </w:r>
      <w:proofErr w:type="gramEnd"/>
      <w:r>
        <w:t xml:space="preserve"> der Zukunft 2024: 50. </w:t>
      </w:r>
    </w:p>
  </w:footnote>
  <w:footnote w:id="707">
    <w:p w14:paraId="162BDD4D" w14:textId="5E422236" w:rsidR="006A70CB" w:rsidRDefault="006A70CB">
      <w:pPr>
        <w:pStyle w:val="Funotentext"/>
      </w:pPr>
      <w:r>
        <w:rPr>
          <w:rStyle w:val="Funotenzeichen"/>
        </w:rPr>
        <w:footnoteRef/>
      </w:r>
      <w:r>
        <w:t xml:space="preserve"> Das Ende der EEG-Vergütung rückt näher. Brauchen Erneuerbare in Zukunft noch Förderung – und wenn ja, wie soll die aussehen? FAZ, 07.09.2024. </w:t>
      </w:r>
    </w:p>
  </w:footnote>
  <w:footnote w:id="708">
    <w:p w14:paraId="0BAE23CD" w14:textId="6F787F08" w:rsidR="00B637A1" w:rsidRDefault="00B637A1">
      <w:pPr>
        <w:pStyle w:val="Funotentext"/>
      </w:pPr>
      <w:r>
        <w:rPr>
          <w:rStyle w:val="Funotenzeichen"/>
        </w:rPr>
        <w:footnoteRef/>
      </w:r>
      <w:r>
        <w:t xml:space="preserve"> Pressemitteilung BMWK, 26.06.2024. BMWK verbessert Förderung von Bürgerenergieprojekten bei Windenergie an Land. Siehe: </w:t>
      </w:r>
      <w:hyperlink r:id="rId547" w:history="1">
        <w:r w:rsidRPr="004E7EE4">
          <w:rPr>
            <w:rStyle w:val="Hyperlink"/>
          </w:rPr>
          <w:t>https://www.bmwk.de/Redaktion/DE/Pressemitteilungen/2024/06/20240626-bmwk-foerderung-buergerenergieprojekten-windenergie-an-land.html</w:t>
        </w:r>
      </w:hyperlink>
      <w:r>
        <w:t xml:space="preserve"> - Zugegriffen: 12.07.2024. </w:t>
      </w:r>
    </w:p>
  </w:footnote>
  <w:footnote w:id="709">
    <w:p w14:paraId="3181AE0B" w14:textId="2DDEE7F6" w:rsidR="00445A9F" w:rsidRDefault="00445A9F">
      <w:pPr>
        <w:pStyle w:val="Funotentext"/>
      </w:pPr>
      <w:r>
        <w:rPr>
          <w:rStyle w:val="Funotenzeichen"/>
        </w:rPr>
        <w:footnoteRef/>
      </w:r>
      <w:r>
        <w:t xml:space="preserve"> Siehe: </w:t>
      </w:r>
      <w:hyperlink r:id="rId548" w:history="1">
        <w:r w:rsidRPr="00C627DD">
          <w:rPr>
            <w:rStyle w:val="Hyperlink"/>
          </w:rPr>
          <w:t>https://www.bundesverfassungsgericht.de/e/rs20220323_1bvr118717.html</w:t>
        </w:r>
      </w:hyperlink>
      <w:r>
        <w:t xml:space="preserve"> - Zugegriffen: 17.06.2025. </w:t>
      </w:r>
    </w:p>
  </w:footnote>
  <w:footnote w:id="710">
    <w:p w14:paraId="78EA99E8" w14:textId="605FA3D1" w:rsidR="00F046E9" w:rsidRDefault="00F046E9">
      <w:pPr>
        <w:pStyle w:val="Funotentext"/>
      </w:pPr>
      <w:r>
        <w:rPr>
          <w:rStyle w:val="Funotenzeichen"/>
        </w:rPr>
        <w:footnoteRef/>
      </w:r>
      <w:r>
        <w:t xml:space="preserve"> Siehe: </w:t>
      </w:r>
      <w:hyperlink r:id="rId549" w:anchor="1708095580723-15c720ab-f683" w:history="1">
        <w:r w:rsidRPr="00C627DD">
          <w:rPr>
            <w:rStyle w:val="Hyperlink"/>
          </w:rPr>
          <w:t>https://www.leka-mv.de/buegem-mv/#1708095580723-15c720ab-f683</w:t>
        </w:r>
      </w:hyperlink>
      <w:r>
        <w:t xml:space="preserve"> – Zugegriffen: 17.06.2025. </w:t>
      </w:r>
    </w:p>
  </w:footnote>
  <w:footnote w:id="711">
    <w:p w14:paraId="00F76419" w14:textId="5638A631" w:rsidR="00D44747" w:rsidRDefault="00D44747">
      <w:pPr>
        <w:pStyle w:val="Funotentext"/>
      </w:pPr>
      <w:r>
        <w:rPr>
          <w:rStyle w:val="Funotenzeichen"/>
        </w:rPr>
        <w:footnoteRef/>
      </w:r>
      <w:r>
        <w:t xml:space="preserve"> Siehe: </w:t>
      </w:r>
      <w:hyperlink r:id="rId550" w:history="1">
        <w:r w:rsidRPr="00C627DD">
          <w:rPr>
            <w:rStyle w:val="Hyperlink"/>
          </w:rPr>
          <w:t>https://www.leka-mv.de/</w:t>
        </w:r>
      </w:hyperlink>
      <w:r>
        <w:t xml:space="preserve"> - </w:t>
      </w:r>
      <w:r w:rsidR="00F046E9">
        <w:t xml:space="preserve">bzw. </w:t>
      </w:r>
      <w:hyperlink r:id="rId551" w:anchor="1708095580723-15c720ab-f683" w:history="1">
        <w:r w:rsidR="00F046E9" w:rsidRPr="00C627DD">
          <w:rPr>
            <w:rStyle w:val="Hyperlink"/>
          </w:rPr>
          <w:t>https://www.leka-mv.de/buegem-mv/#1708095580723-15c720ab-f683</w:t>
        </w:r>
      </w:hyperlink>
      <w:r w:rsidR="00F046E9">
        <w:t xml:space="preserve"> - </w:t>
      </w:r>
      <w:r>
        <w:t xml:space="preserve">siehe auch dieses </w:t>
      </w:r>
      <w:proofErr w:type="spellStart"/>
      <w:r>
        <w:t>Youtube</w:t>
      </w:r>
      <w:proofErr w:type="spellEnd"/>
      <w:r>
        <w:t xml:space="preserve"> Video des Kanals </w:t>
      </w:r>
      <w:proofErr w:type="spellStart"/>
      <w:r>
        <w:t>WindRat</w:t>
      </w:r>
      <w:proofErr w:type="spellEnd"/>
      <w:r>
        <w:t xml:space="preserve">: </w:t>
      </w:r>
      <w:hyperlink r:id="rId552" w:history="1">
        <w:r w:rsidRPr="00C627DD">
          <w:rPr>
            <w:rStyle w:val="Hyperlink"/>
          </w:rPr>
          <w:t>https://www.youtube.com/watch?v=OXSdVa2bPTg</w:t>
        </w:r>
      </w:hyperlink>
      <w:r>
        <w:t xml:space="preserve"> – Zugegriffen: !7.06.2025. </w:t>
      </w:r>
    </w:p>
  </w:footnote>
  <w:footnote w:id="712">
    <w:p w14:paraId="33BD1595" w14:textId="73B7C357" w:rsidR="00F046E9" w:rsidRDefault="00F046E9">
      <w:pPr>
        <w:pStyle w:val="Funotentext"/>
      </w:pPr>
      <w:r>
        <w:rPr>
          <w:rStyle w:val="Funotenzeichen"/>
        </w:rPr>
        <w:footnoteRef/>
      </w:r>
      <w:r>
        <w:t xml:space="preserve"> Siehe: </w:t>
      </w:r>
      <w:hyperlink r:id="rId553" w:history="1">
        <w:r w:rsidRPr="00C627DD">
          <w:rPr>
            <w:rStyle w:val="Hyperlink"/>
          </w:rPr>
          <w:t>https://www.windbeteiligung-mv.de/</w:t>
        </w:r>
      </w:hyperlink>
      <w:r>
        <w:t xml:space="preserve"> </w:t>
      </w:r>
    </w:p>
  </w:footnote>
  <w:footnote w:id="713">
    <w:p w14:paraId="0756D92C" w14:textId="77777777" w:rsidR="00D44747" w:rsidRDefault="00D44747" w:rsidP="00D44747">
      <w:pPr>
        <w:pStyle w:val="Funotentext"/>
      </w:pPr>
      <w:r>
        <w:rPr>
          <w:rStyle w:val="Funotenzeichen"/>
        </w:rPr>
        <w:footnoteRef/>
      </w:r>
      <w:r>
        <w:t xml:space="preserve"> Siehe: </w:t>
      </w:r>
      <w:hyperlink r:id="rId554" w:history="1">
        <w:r w:rsidRPr="00C627DD">
          <w:rPr>
            <w:rStyle w:val="Hyperlink"/>
          </w:rPr>
          <w:t>https://www.gruene-fraktion-sachsen.de/presse/pressemitteilungen/2025/anhoerung-flaechenziel-und-beteiligungsgesetz-buendnisgruene-minderheitskoalition-tritt-bei-energiewende-auf-die-bremse</w:t>
        </w:r>
      </w:hyperlink>
      <w:r>
        <w:t xml:space="preserve"> - Zugegriffen: 17.06.2025. </w:t>
      </w:r>
    </w:p>
  </w:footnote>
  <w:footnote w:id="714">
    <w:p w14:paraId="29D61479" w14:textId="77777777" w:rsidR="00D44747" w:rsidRPr="0078606A" w:rsidRDefault="00D44747" w:rsidP="00D44747">
      <w:pPr>
        <w:pStyle w:val="Funotentext"/>
      </w:pPr>
      <w:r>
        <w:rPr>
          <w:rStyle w:val="Funotenzeichen"/>
        </w:rPr>
        <w:footnoteRef/>
      </w:r>
      <w:r w:rsidRPr="0078606A">
        <w:t xml:space="preserve"> Sieh</w:t>
      </w:r>
      <w:r>
        <w:t xml:space="preserve">e: </w:t>
      </w:r>
      <w:hyperlink r:id="rId555" w:history="1">
        <w:r w:rsidRPr="00C627DD">
          <w:rPr>
            <w:rStyle w:val="Hyperlink"/>
          </w:rPr>
          <w:t>https://www.gruene-fraktion-sachsen.de/wp-content/uploads/2025/05/Stellungnahme-Aenderung-saechsisches-Beteiligungsgesetz.pdf</w:t>
        </w:r>
      </w:hyperlink>
      <w:r w:rsidRPr="0078606A">
        <w:t xml:space="preserve"> - Siehe: 17.06.2025.</w:t>
      </w:r>
    </w:p>
  </w:footnote>
  <w:footnote w:id="715">
    <w:p w14:paraId="44E11822" w14:textId="77F37144" w:rsidR="004F2F18" w:rsidRDefault="004F2F18">
      <w:pPr>
        <w:pStyle w:val="Funotentext"/>
      </w:pPr>
      <w:r>
        <w:rPr>
          <w:rStyle w:val="Funotenzeichen"/>
        </w:rPr>
        <w:footnoteRef/>
      </w:r>
      <w:r>
        <w:t xml:space="preserve"> Siehe die Broschüre, S. 19 und 20- Siehe: </w:t>
      </w:r>
      <w:hyperlink r:id="rId556" w:history="1">
        <w:r w:rsidRPr="00151089">
          <w:rPr>
            <w:rStyle w:val="Hyperlink"/>
          </w:rPr>
          <w:t>https://www.energy4climate.nrw/aktuelles/newsroom/energiewende-wie-buergerinnen-und-kommunen-vom-lokalen-ausbau-erneuerbarer-energien-profitieren-koennen</w:t>
        </w:r>
      </w:hyperlink>
      <w:r>
        <w:t xml:space="preserve"> - Zugegriffen: 16.06.2025. </w:t>
      </w:r>
    </w:p>
  </w:footnote>
  <w:footnote w:id="716">
    <w:p w14:paraId="2E5419D9" w14:textId="664A44F3" w:rsidR="001B3E01" w:rsidRDefault="001B3E01">
      <w:pPr>
        <w:pStyle w:val="Funotentext"/>
      </w:pPr>
      <w:r>
        <w:rPr>
          <w:rStyle w:val="Funotenzeichen"/>
        </w:rPr>
        <w:footnoteRef/>
      </w:r>
      <w:r>
        <w:t xml:space="preserve"> Siehe: </w:t>
      </w:r>
      <w:hyperlink r:id="rId557" w:history="1">
        <w:r w:rsidRPr="00C627DD">
          <w:rPr>
            <w:rStyle w:val="Hyperlink"/>
          </w:rPr>
          <w:t>https://www.gruene-fraktion-sachsen.de/wp-content/uploads/2025/05/Stellungnahme-Aenderung-saechsisches-Beteiligungsgesetz.pdf</w:t>
        </w:r>
      </w:hyperlink>
      <w:r>
        <w:t xml:space="preserve"> - Zugegriffen: 17.06.2025. </w:t>
      </w:r>
    </w:p>
  </w:footnote>
  <w:footnote w:id="717">
    <w:p w14:paraId="17CCFF75" w14:textId="1BE66D6F" w:rsidR="006712B9" w:rsidRDefault="006712B9">
      <w:pPr>
        <w:pStyle w:val="Funotentext"/>
      </w:pPr>
      <w:r>
        <w:rPr>
          <w:rStyle w:val="Funotenzeichen"/>
        </w:rPr>
        <w:footnoteRef/>
      </w:r>
      <w:r>
        <w:t xml:space="preserve"> Siehe: </w:t>
      </w:r>
      <w:hyperlink r:id="rId558" w:history="1">
        <w:r w:rsidRPr="004E7EE4">
          <w:rPr>
            <w:rStyle w:val="Hyperlink"/>
          </w:rPr>
          <w:t>https://www.bundesregierung.de/breg-de/themen/tipps-fuer-verbraucher/solarpaket-photovoltaik-balkonkraftwerke-2213726</w:t>
        </w:r>
      </w:hyperlink>
      <w:r>
        <w:t xml:space="preserve"> – siehe auch: </w:t>
      </w:r>
      <w:hyperlink r:id="rId559" w:history="1">
        <w:r w:rsidRPr="004E7EE4">
          <w:rPr>
            <w:rStyle w:val="Hyperlink"/>
          </w:rPr>
          <w:t>https://www.haufe.de/immobilien/wirtschaft-politik/solarpaket-gesetz-zum-ausbau-von-photovoltaik_84342_603188.html</w:t>
        </w:r>
      </w:hyperlink>
      <w:r>
        <w:t xml:space="preserve"> - Zugegriffen: 13.07.2024. </w:t>
      </w:r>
    </w:p>
  </w:footnote>
  <w:footnote w:id="718">
    <w:p w14:paraId="1C5279FB" w14:textId="433FA16F" w:rsidR="00C04781" w:rsidRDefault="00C04781">
      <w:pPr>
        <w:pStyle w:val="Funotentext"/>
      </w:pPr>
      <w:r>
        <w:rPr>
          <w:rStyle w:val="Funotenzeichen"/>
        </w:rPr>
        <w:footnoteRef/>
      </w:r>
      <w:r>
        <w:t xml:space="preserve"> Siehe: </w:t>
      </w:r>
      <w:hyperlink r:id="rId560" w:history="1">
        <w:r w:rsidRPr="00E614BA">
          <w:rPr>
            <w:rStyle w:val="Hyperlink"/>
          </w:rPr>
          <w:t>https://www.solaranlagen-portal.com/photovoltaik/voraussetzung/genehmigung</w:t>
        </w:r>
      </w:hyperlink>
      <w:r>
        <w:t xml:space="preserve"> - Zugegriffen: 20.07.2024.</w:t>
      </w:r>
    </w:p>
  </w:footnote>
  <w:footnote w:id="719">
    <w:p w14:paraId="4822979E" w14:textId="30351742" w:rsidR="00CE09B0" w:rsidRDefault="00CE09B0" w:rsidP="00CE09B0">
      <w:pPr>
        <w:pStyle w:val="Funotentext"/>
      </w:pPr>
      <w:r>
        <w:rPr>
          <w:rStyle w:val="Funotenzeichen"/>
        </w:rPr>
        <w:footnoteRef/>
      </w:r>
      <w:r>
        <w:t xml:space="preserve"> </w:t>
      </w:r>
      <w:r w:rsidRPr="00CE09B0">
        <w:t xml:space="preserve">Siehe: </w:t>
      </w:r>
      <w:hyperlink r:id="rId561" w:history="1">
        <w:r w:rsidRPr="00CE09B0">
          <w:rPr>
            <w:rStyle w:val="Hyperlink"/>
          </w:rPr>
          <w:t>https://www.bundesregierung.de/breg-de/themen/tipps-fuer-verbraucher/solarpaket-photovoltaik-balkonkraftwerke-2213726</w:t>
        </w:r>
      </w:hyperlink>
      <w:r>
        <w:t xml:space="preserve"> - Zugegriffen: 13.07.2024. </w:t>
      </w:r>
    </w:p>
  </w:footnote>
  <w:footnote w:id="720">
    <w:p w14:paraId="5683CA43" w14:textId="2151B276" w:rsidR="00CE09B0" w:rsidRDefault="00CE09B0" w:rsidP="00CE09B0">
      <w:pPr>
        <w:pStyle w:val="Funotentext"/>
      </w:pPr>
      <w:r>
        <w:rPr>
          <w:rStyle w:val="Funotenzeichen"/>
        </w:rPr>
        <w:footnoteRef/>
      </w:r>
      <w:r>
        <w:t xml:space="preserve"> </w:t>
      </w:r>
      <w:r w:rsidRPr="00CE09B0">
        <w:t xml:space="preserve">Siehe: </w:t>
      </w:r>
      <w:hyperlink r:id="rId562" w:history="1">
        <w:r w:rsidRPr="00CE09B0">
          <w:rPr>
            <w:rStyle w:val="Hyperlink"/>
          </w:rPr>
          <w:t>https://www.bundesregierung.de/breg-de/themen/tipps-fuer-verbraucher/solarpaket-photovoltaik-balkonkraftwerke-2213726</w:t>
        </w:r>
      </w:hyperlink>
      <w:r>
        <w:t xml:space="preserve"> - Zugegriffen: 13.07.2024. </w:t>
      </w:r>
    </w:p>
  </w:footnote>
  <w:footnote w:id="721">
    <w:p w14:paraId="1989E376" w14:textId="608412A4" w:rsidR="006712B9" w:rsidRDefault="006712B9" w:rsidP="006712B9">
      <w:pPr>
        <w:pStyle w:val="Funotentext"/>
      </w:pPr>
      <w:r>
        <w:rPr>
          <w:rStyle w:val="Funotenzeichen"/>
        </w:rPr>
        <w:footnoteRef/>
      </w:r>
      <w:r>
        <w:t xml:space="preserve"> </w:t>
      </w:r>
      <w:r w:rsidR="00CE09B0" w:rsidRPr="00CE09B0">
        <w:t>Siehe</w:t>
      </w:r>
      <w:hyperlink r:id="rId563" w:history="1">
        <w:r w:rsidR="00CE09B0" w:rsidRPr="00CE09B0">
          <w:rPr>
            <w:rStyle w:val="Hyperlink"/>
          </w:rPr>
          <w:t>: https://www.bundesregierung.de/breg-de/themen/tipps-fuer-verbraucher/solarpaket-photovoltaik-balkonkraftwerke-2213726</w:t>
        </w:r>
      </w:hyperlink>
      <w:r>
        <w:t xml:space="preserve"> </w:t>
      </w:r>
      <w:r w:rsidR="00CE09B0">
        <w:t xml:space="preserve">- </w:t>
      </w:r>
      <w:r>
        <w:t xml:space="preserve">Zugegriffen: 13.07.2024. </w:t>
      </w:r>
    </w:p>
  </w:footnote>
  <w:footnote w:id="722">
    <w:p w14:paraId="2517A8AC" w14:textId="14180D9D" w:rsidR="00CE09B0" w:rsidRDefault="00CE09B0" w:rsidP="00CE09B0">
      <w:pPr>
        <w:pStyle w:val="Funotentext"/>
      </w:pPr>
      <w:r>
        <w:rPr>
          <w:rStyle w:val="Funotenzeichen"/>
        </w:rPr>
        <w:footnoteRef/>
      </w:r>
      <w:r>
        <w:t xml:space="preserve"> </w:t>
      </w:r>
      <w:r w:rsidRPr="00CE09B0">
        <w:t xml:space="preserve">Siehe: </w:t>
      </w:r>
      <w:hyperlink r:id="rId564" w:history="1">
        <w:r w:rsidRPr="00CE09B0">
          <w:rPr>
            <w:rStyle w:val="Hyperlink"/>
          </w:rPr>
          <w:t>https://www.bundesregierung.de/breg-de/themen/tipps-fuer-verbraucher/solarpaket-photovoltaik-balkonkraftwerke-2213726</w:t>
        </w:r>
      </w:hyperlink>
      <w:r>
        <w:t xml:space="preserve"> - Zugegriffen: 13.07.2024. </w:t>
      </w:r>
    </w:p>
  </w:footnote>
  <w:footnote w:id="723">
    <w:p w14:paraId="72E65ACB" w14:textId="167BD2F0" w:rsidR="00CE09B0" w:rsidRDefault="00CE09B0">
      <w:pPr>
        <w:pStyle w:val="Funotentext"/>
      </w:pPr>
      <w:r>
        <w:rPr>
          <w:rStyle w:val="Funotenzeichen"/>
        </w:rPr>
        <w:footnoteRef/>
      </w:r>
      <w:r>
        <w:t xml:space="preserve"> Siehe: </w:t>
      </w:r>
      <w:hyperlink r:id="rId565" w:history="1">
        <w:r w:rsidRPr="004E7EE4">
          <w:rPr>
            <w:rStyle w:val="Hyperlink"/>
          </w:rPr>
          <w:t>https://www.bundestag.de/dokumente/textarchiv/2024/kw17-pa-klimaschutz-erneuerbare-energien-998966</w:t>
        </w:r>
      </w:hyperlink>
      <w:r>
        <w:t xml:space="preserve"> - Zugegriffen: 13.07.2024. </w:t>
      </w:r>
    </w:p>
  </w:footnote>
  <w:footnote w:id="724">
    <w:p w14:paraId="1417DC0A" w14:textId="5B0FB091" w:rsidR="00A41BB6" w:rsidRDefault="00A41BB6">
      <w:pPr>
        <w:pStyle w:val="Funotentext"/>
      </w:pPr>
      <w:r>
        <w:rPr>
          <w:rStyle w:val="Funotenzeichen"/>
        </w:rPr>
        <w:footnoteRef/>
      </w:r>
      <w:r>
        <w:t xml:space="preserve"> </w:t>
      </w:r>
      <w:r w:rsidR="00C4762F">
        <w:t xml:space="preserve">Siehe: </w:t>
      </w:r>
      <w:hyperlink r:id="rId566" w:history="1">
        <w:r w:rsidR="00C4762F" w:rsidRPr="00A43088">
          <w:rPr>
            <w:rStyle w:val="Hyperlink"/>
          </w:rPr>
          <w:t>https://www.bundesverfassungsgericht.de/SharedDocs/Pressemitteilungen/DE/2023/bvg23-101.html</w:t>
        </w:r>
      </w:hyperlink>
      <w:r w:rsidR="00C4762F">
        <w:t xml:space="preserve"> - Zugegriffen: 15.05.2025. </w:t>
      </w:r>
    </w:p>
  </w:footnote>
  <w:footnote w:id="725">
    <w:p w14:paraId="69D096B6" w14:textId="77777777" w:rsidR="00B74A76" w:rsidRDefault="00B74A76" w:rsidP="00B74A76">
      <w:pPr>
        <w:pStyle w:val="Funotentext"/>
      </w:pPr>
      <w:r>
        <w:rPr>
          <w:rStyle w:val="Funotenzeichen"/>
        </w:rPr>
        <w:footnoteRef/>
      </w:r>
      <w:r>
        <w:t xml:space="preserve"> Insgesamt seien Einsparmöglichkeiten von 30 bis 45 Mrd. Euro denkbar. Christian Geinitz. Ein 30-Milliarden-Sparplan für die Energiewende. FAZ, 28.11.2023. </w:t>
      </w:r>
    </w:p>
  </w:footnote>
  <w:footnote w:id="726">
    <w:p w14:paraId="0232BD21" w14:textId="77777777" w:rsidR="00B74A76" w:rsidRDefault="00B74A76" w:rsidP="00B74A76">
      <w:pPr>
        <w:pStyle w:val="Funotentext"/>
      </w:pPr>
      <w:r>
        <w:rPr>
          <w:rStyle w:val="Funotenzeichen"/>
        </w:rPr>
        <w:footnoteRef/>
      </w:r>
      <w:r>
        <w:t xml:space="preserve"> Die Übertragungsnetze sind regionale Monopole, die vom Gesetzgeber reguliert werden. In Deutschland sind es Tennet TSO, 50HerzTransmission, Amprion, TransnetBW. Siehe: </w:t>
      </w:r>
      <w:hyperlink r:id="rId567" w:history="1">
        <w:r w:rsidRPr="00DB6AF3">
          <w:rPr>
            <w:rStyle w:val="Hyperlink"/>
          </w:rPr>
          <w:t>https://de.wikipedia.org/wiki/%C3%9Cbertragungsnetzbetreiber</w:t>
        </w:r>
      </w:hyperlink>
      <w:r>
        <w:t xml:space="preserve"> – Zugegriffen: 22.12.2023.</w:t>
      </w:r>
    </w:p>
  </w:footnote>
  <w:footnote w:id="727">
    <w:p w14:paraId="6F8E5BE0" w14:textId="77777777" w:rsidR="00B74A76" w:rsidRDefault="00B74A76" w:rsidP="00B74A76">
      <w:pPr>
        <w:pStyle w:val="Funotentext"/>
      </w:pPr>
      <w:r>
        <w:rPr>
          <w:rStyle w:val="Funotenzeichen"/>
        </w:rPr>
        <w:footnoteRef/>
      </w:r>
      <w:r>
        <w:t xml:space="preserve"> Die Verteilnetzbetreiber können auch derselben Firma gehören, wie die Übertragungsnetz. Siehe: </w:t>
      </w:r>
      <w:hyperlink r:id="rId568" w:history="1">
        <w:r w:rsidRPr="00DB6AF3">
          <w:rPr>
            <w:rStyle w:val="Hyperlink"/>
          </w:rPr>
          <w:t>https://de.wikipedia.org/wiki/Verteilnetzbetreiber</w:t>
        </w:r>
      </w:hyperlink>
      <w:r>
        <w:t xml:space="preserve"> - Zugegriffen: 22.12.2023.</w:t>
      </w:r>
    </w:p>
  </w:footnote>
  <w:footnote w:id="728">
    <w:p w14:paraId="436785C1" w14:textId="77777777" w:rsidR="00B74A76" w:rsidRDefault="00B74A76" w:rsidP="00B74A76">
      <w:pPr>
        <w:pStyle w:val="Funotentext"/>
      </w:pPr>
      <w:r>
        <w:rPr>
          <w:rStyle w:val="Funotenzeichen"/>
        </w:rPr>
        <w:footnoteRef/>
      </w:r>
      <w:r>
        <w:t xml:space="preserve"> Siehe: </w:t>
      </w:r>
      <w:hyperlink r:id="rId569" w:history="1">
        <w:r w:rsidRPr="00DB6AF3">
          <w:rPr>
            <w:rStyle w:val="Hyperlink"/>
          </w:rPr>
          <w:t>https://www.bmwk.de/Redaktion/DE/Artikel/Energie/stromnetze-und-netzausbau-regulierung-rahmenbedingungen.html</w:t>
        </w:r>
      </w:hyperlink>
      <w:r>
        <w:t xml:space="preserve"> - Zugegriffen: 22.12.2023.</w:t>
      </w:r>
    </w:p>
  </w:footnote>
  <w:footnote w:id="729">
    <w:p w14:paraId="758324BC" w14:textId="77777777" w:rsidR="00B74A76" w:rsidRDefault="00B74A76" w:rsidP="00B74A76">
      <w:pPr>
        <w:pStyle w:val="Funotentext"/>
      </w:pPr>
      <w:r>
        <w:rPr>
          <w:rStyle w:val="Funotenzeichen"/>
        </w:rPr>
        <w:footnoteRef/>
      </w:r>
      <w:r>
        <w:t xml:space="preserve"> Siehe: </w:t>
      </w:r>
      <w:hyperlink r:id="rId570" w:history="1">
        <w:r w:rsidRPr="00425B88">
          <w:rPr>
            <w:rStyle w:val="Hyperlink"/>
          </w:rPr>
          <w:t>https://www.netzentwicklungsplan.de/</w:t>
        </w:r>
      </w:hyperlink>
      <w:r>
        <w:t xml:space="preserve"> - Zugegriffen: 12.03.2024.</w:t>
      </w:r>
    </w:p>
  </w:footnote>
  <w:footnote w:id="730">
    <w:p w14:paraId="4952DA95" w14:textId="77777777" w:rsidR="00245DDD" w:rsidRDefault="00245DDD" w:rsidP="00245DDD">
      <w:pPr>
        <w:pStyle w:val="Funotentext"/>
      </w:pPr>
      <w:r>
        <w:rPr>
          <w:rStyle w:val="Funotenzeichen"/>
        </w:rPr>
        <w:footnoteRef/>
      </w:r>
      <w:r>
        <w:t xml:space="preserve"> Siehe: </w:t>
      </w:r>
      <w:hyperlink r:id="rId571" w:history="1">
        <w:r w:rsidRPr="00C20329">
          <w:rPr>
            <w:rStyle w:val="Hyperlink"/>
          </w:rPr>
          <w:t>https://langfristszenarien.de/enertile-explorer-de/</w:t>
        </w:r>
      </w:hyperlink>
      <w:r>
        <w:t xml:space="preserve"> - Zugegriffen: 27.05.2025. </w:t>
      </w:r>
    </w:p>
  </w:footnote>
  <w:footnote w:id="731">
    <w:p w14:paraId="5D934714" w14:textId="6DA94441" w:rsidR="00D401DD" w:rsidRDefault="00D401DD">
      <w:pPr>
        <w:pStyle w:val="Funotentext"/>
      </w:pPr>
      <w:r>
        <w:rPr>
          <w:rStyle w:val="Funotenzeichen"/>
        </w:rPr>
        <w:footnoteRef/>
      </w:r>
      <w:r>
        <w:t xml:space="preserve"> Siehe: </w:t>
      </w:r>
      <w:hyperlink r:id="rId572" w:history="1">
        <w:r w:rsidRPr="00C20329">
          <w:rPr>
            <w:rStyle w:val="Hyperlink"/>
          </w:rPr>
          <w:t>https://www.bmwk.de/Redaktion/DE/Publikationen/Klimaschutz/2024-systementwicklungsstrategie.pdf?__blob=publicationFile&amp;v=10</w:t>
        </w:r>
      </w:hyperlink>
      <w:r>
        <w:t xml:space="preserve"> – Zugegriffen: 27.05.2025. </w:t>
      </w:r>
    </w:p>
  </w:footnote>
  <w:footnote w:id="732">
    <w:p w14:paraId="0A986DFC" w14:textId="77777777" w:rsidR="00245DDD" w:rsidRDefault="00245DDD" w:rsidP="00245DDD">
      <w:pPr>
        <w:pStyle w:val="Funotentext"/>
      </w:pPr>
      <w:r>
        <w:rPr>
          <w:rStyle w:val="Funotenzeichen"/>
        </w:rPr>
        <w:footnoteRef/>
      </w:r>
      <w:r>
        <w:t xml:space="preserve"> Siehe: </w:t>
      </w:r>
      <w:hyperlink r:id="rId573" w:history="1">
        <w:r w:rsidRPr="00C20329">
          <w:rPr>
            <w:rStyle w:val="Hyperlink"/>
          </w:rPr>
          <w:t>https://www.bmwk.de/Redaktion/DE/Dossier/ses.html</w:t>
        </w:r>
      </w:hyperlink>
      <w:r>
        <w:t xml:space="preserve"> - Zugegriffen: 27.05.2025. </w:t>
      </w:r>
    </w:p>
  </w:footnote>
  <w:footnote w:id="733">
    <w:p w14:paraId="14C00696" w14:textId="77777777" w:rsidR="00245DDD" w:rsidRPr="00BB7C91" w:rsidRDefault="00245DDD" w:rsidP="00245DDD">
      <w:pPr>
        <w:pStyle w:val="Funotentext"/>
      </w:pPr>
      <w:r>
        <w:rPr>
          <w:rStyle w:val="Funotenzeichen"/>
        </w:rPr>
        <w:footnoteRef/>
      </w:r>
      <w:r w:rsidRPr="00BB7C91">
        <w:t xml:space="preserve"> Siehe: </w:t>
      </w:r>
      <w:r>
        <w:t xml:space="preserve">Fabian Jetter et al. </w:t>
      </w:r>
      <w:r w:rsidRPr="00BB7C91">
        <w:t>Stromverbrauchsmodellierung des Industriesektors im Kontext der Dekarbonisierung</w:t>
      </w:r>
      <w:r>
        <w:t xml:space="preserve">, </w:t>
      </w:r>
      <w:proofErr w:type="spellStart"/>
      <w:r>
        <w:t>FfE</w:t>
      </w:r>
      <w:proofErr w:type="spellEnd"/>
      <w:r>
        <w:t xml:space="preserve"> 2022: </w:t>
      </w:r>
      <w:hyperlink r:id="rId574" w:history="1">
        <w:r w:rsidRPr="004A4BFF">
          <w:rPr>
            <w:rStyle w:val="Hyperlink"/>
          </w:rPr>
          <w:t>https://www.netzentwicklungsplan.de/sites/default/files/2023-03/Studie_Stromverbrauchsmod_Dekarb_FfE.pdf</w:t>
        </w:r>
      </w:hyperlink>
      <w:r>
        <w:t xml:space="preserve"> - Zugegriffen: 30.04.2025. </w:t>
      </w:r>
    </w:p>
  </w:footnote>
  <w:footnote w:id="734">
    <w:p w14:paraId="25C95826" w14:textId="77777777" w:rsidR="00245DDD" w:rsidRDefault="00245DDD" w:rsidP="00245DDD">
      <w:pPr>
        <w:pStyle w:val="Funotentext"/>
      </w:pPr>
      <w:r>
        <w:rPr>
          <w:rStyle w:val="Funotenzeichen"/>
        </w:rPr>
        <w:footnoteRef/>
      </w:r>
      <w:r>
        <w:t xml:space="preserve"> Siehe: </w:t>
      </w:r>
      <w:hyperlink r:id="rId575" w:history="1">
        <w:r w:rsidRPr="004A4BFF">
          <w:rPr>
            <w:rStyle w:val="Hyperlink"/>
          </w:rPr>
          <w:t>https://www.bundesnetzagentur.de/DE/Fachthemen/ElektrizitaetundGas/NEP/Strom/start.html</w:t>
        </w:r>
      </w:hyperlink>
      <w:r>
        <w:t xml:space="preserve"> - Zugegriffen: 30.04.2025. </w:t>
      </w:r>
    </w:p>
  </w:footnote>
  <w:footnote w:id="735">
    <w:p w14:paraId="3847715D" w14:textId="77777777" w:rsidR="00245DDD" w:rsidRDefault="00245DDD" w:rsidP="00245DDD">
      <w:pPr>
        <w:pStyle w:val="Funotentext"/>
      </w:pPr>
      <w:r>
        <w:rPr>
          <w:rStyle w:val="Funotenzeichen"/>
        </w:rPr>
        <w:footnoteRef/>
      </w:r>
      <w:r>
        <w:t xml:space="preserve"> Siehe die KO NEP Webseite: </w:t>
      </w:r>
      <w:hyperlink r:id="rId576" w:history="1">
        <w:r w:rsidRPr="00091313">
          <w:rPr>
            <w:rStyle w:val="Hyperlink"/>
          </w:rPr>
          <w:t>https://ko-nep.de/</w:t>
        </w:r>
      </w:hyperlink>
    </w:p>
  </w:footnote>
  <w:footnote w:id="736">
    <w:p w14:paraId="15F8C738" w14:textId="77777777" w:rsidR="00CF4775" w:rsidRDefault="00CF4775" w:rsidP="00CF4775">
      <w:pPr>
        <w:pStyle w:val="Funotentext"/>
      </w:pPr>
      <w:r>
        <w:rPr>
          <w:rStyle w:val="Funotenzeichen"/>
        </w:rPr>
        <w:footnoteRef/>
      </w:r>
      <w:r>
        <w:t xml:space="preserve"> Leverkusen Chempark H braucht im Jahr 2035 nur 80.000 MWh Wasserstoff, das sind 2400 Tonnen. Ludwigshafen braucht 300.000 MWh, das sind 9000 Tonnen Wasserstoff. Mir erscheinen in diesem Dokument viele Zahlen nicht ganz ausgegoren, dies mag aber auch an Unsicherheiten bei der Umrechnung liegen, weil hier Wasserstoff nicht in Tonnen, sondern in MWh angegeben wird. Siehe: </w:t>
      </w:r>
      <w:r w:rsidRPr="00964D5E">
        <w:t>Anlage 4: Langfristprognosen für Wasserstoff sowie methanreduzierende Meldungen der Verteilernetzbetrei</w:t>
      </w:r>
      <w:r>
        <w:t xml:space="preserve">ber. Siehe: </w:t>
      </w:r>
      <w:hyperlink r:id="rId577" w:history="1">
        <w:r w:rsidRPr="004A4BFF">
          <w:rPr>
            <w:rStyle w:val="Hyperlink"/>
          </w:rPr>
          <w:t>https://www.bundesnetzagentur.de/DE/Fachthemen/ElektrizitaetundGas/NEP/Gas/start.html</w:t>
        </w:r>
      </w:hyperlink>
      <w:r>
        <w:t xml:space="preserve"> - Zugegriffen: 30.04.2025.  </w:t>
      </w:r>
    </w:p>
  </w:footnote>
  <w:footnote w:id="737">
    <w:p w14:paraId="1A075435" w14:textId="77777777" w:rsidR="00FA1537" w:rsidRDefault="00FA1537" w:rsidP="00FA1537">
      <w:pPr>
        <w:pStyle w:val="Funotentext"/>
      </w:pPr>
      <w:r>
        <w:rPr>
          <w:rStyle w:val="Funotenzeichen"/>
        </w:rPr>
        <w:footnoteRef/>
      </w:r>
      <w:r>
        <w:t xml:space="preserve"> S. 21, </w:t>
      </w:r>
      <w:r w:rsidRPr="00175BE6">
        <w:t xml:space="preserve">Genehmigung des </w:t>
      </w:r>
      <w:proofErr w:type="spellStart"/>
      <w:r w:rsidRPr="00175BE6">
        <w:t>Szenariorahmens</w:t>
      </w:r>
      <w:proofErr w:type="spellEnd"/>
      <w:r w:rsidRPr="00175BE6">
        <w:t xml:space="preserve"> für den Netzentwicklungsplan Strom 2025-2037 / 2045, Bundesnetzagentur April 2025.</w:t>
      </w:r>
    </w:p>
  </w:footnote>
  <w:footnote w:id="738">
    <w:p w14:paraId="03A8CD27" w14:textId="77777777" w:rsidR="00BA0550" w:rsidRDefault="00BA0550" w:rsidP="00BA0550">
      <w:pPr>
        <w:pStyle w:val="Funotentext"/>
      </w:pPr>
      <w:r>
        <w:rPr>
          <w:rStyle w:val="Funotenzeichen"/>
        </w:rPr>
        <w:footnoteRef/>
      </w:r>
      <w:r>
        <w:t xml:space="preserve"> S. 17, Genehmigung des </w:t>
      </w:r>
      <w:proofErr w:type="spellStart"/>
      <w:r>
        <w:t>Szenariorahmens</w:t>
      </w:r>
      <w:proofErr w:type="spellEnd"/>
      <w:r>
        <w:t xml:space="preserve"> für den Netzentwicklungsplan Strom 2025-2037 / 2045, Bundesnetzagentur April 2025.</w:t>
      </w:r>
    </w:p>
  </w:footnote>
  <w:footnote w:id="739">
    <w:p w14:paraId="7DD31427" w14:textId="77777777" w:rsidR="00BA0550" w:rsidRDefault="00BA0550" w:rsidP="00BA0550">
      <w:pPr>
        <w:pStyle w:val="Funotentext"/>
      </w:pPr>
      <w:r>
        <w:rPr>
          <w:rStyle w:val="Funotenzeichen"/>
        </w:rPr>
        <w:footnoteRef/>
      </w:r>
      <w:r>
        <w:t xml:space="preserve"> S. 18, „</w:t>
      </w:r>
      <w:r w:rsidRPr="00E05A17">
        <w:t xml:space="preserve">In Szenario C wird die ambitionierteste Transformation des Energiesystems mit starker Elektrifizierung in allen Sektoren und zusätzlich einem starken Ausbau der heimischen Elektrolysekapazität angenommen. Dadurch wird in diesem Szenario der geringste Wasserstoffimport angenommen und die höchste Energieautarkie erreicht. Der in diesem Szenario erreichte Stromverbrauch stellt somit in beiden Zieljahren das Maximum im Vergleich der Szenarien dar. Allerdings steigt der Stromverbrauch in den Sektoren mit Ausnahme der Elektrolyse im Vergleich zum </w:t>
      </w:r>
      <w:proofErr w:type="spellStart"/>
      <w:r w:rsidRPr="00E05A17">
        <w:t>Szenariopfad</w:t>
      </w:r>
      <w:proofErr w:type="spellEnd"/>
      <w:r w:rsidRPr="00E05A17">
        <w:t xml:space="preserve"> B nur noch moderat an. Auch wird im </w:t>
      </w:r>
      <w:proofErr w:type="spellStart"/>
      <w:r w:rsidRPr="00E05A17">
        <w:t>Szenariopfad</w:t>
      </w:r>
      <w:proofErr w:type="spellEnd"/>
      <w:r w:rsidRPr="00E05A17">
        <w:t xml:space="preserve"> C die höchste Flexibilisierung des Stromverbrauchs sowie eine zusätzliche Netzorientierung der flexiblen Verbraucher angenommen. Dem steht ein Ausbaupfad der erneuerbaren Energien gegenüber, der die gesetzlichen Ziele moderat übertrifft.</w:t>
      </w:r>
      <w:r>
        <w:t xml:space="preserve">“ S. 18, Genehmigung des </w:t>
      </w:r>
      <w:proofErr w:type="spellStart"/>
      <w:r>
        <w:t>Szenariorahmens</w:t>
      </w:r>
      <w:proofErr w:type="spellEnd"/>
      <w:r>
        <w:t xml:space="preserve"> für den Netzentwicklungsplan Strom 2025-2037 / 2045, Bundesnetzagentur April 2025. </w:t>
      </w:r>
    </w:p>
  </w:footnote>
  <w:footnote w:id="740">
    <w:p w14:paraId="471438E1" w14:textId="03DC096A" w:rsidR="002021E8" w:rsidRDefault="002021E8" w:rsidP="002021E8">
      <w:pPr>
        <w:pStyle w:val="Funotentext"/>
      </w:pPr>
      <w:r>
        <w:rPr>
          <w:rStyle w:val="Funotenzeichen"/>
        </w:rPr>
        <w:footnoteRef/>
      </w:r>
      <w:r>
        <w:t xml:space="preserve"> S. 32</w:t>
      </w:r>
      <w:r w:rsidR="0044562E">
        <w:t>, 47</w:t>
      </w:r>
      <w:r>
        <w:t xml:space="preserve">, </w:t>
      </w:r>
      <w:r w:rsidRPr="00175BE6">
        <w:t xml:space="preserve">Genehmigung des </w:t>
      </w:r>
      <w:proofErr w:type="spellStart"/>
      <w:r w:rsidRPr="00175BE6">
        <w:t>Szenariorahmens</w:t>
      </w:r>
      <w:proofErr w:type="spellEnd"/>
      <w:r w:rsidRPr="00175BE6">
        <w:t xml:space="preserve"> für den Netzentwicklungsplan Strom 2025-2037 / 2045, Bundesnetzagentur April 2025.</w:t>
      </w:r>
    </w:p>
  </w:footnote>
  <w:footnote w:id="741">
    <w:p w14:paraId="25B904D8" w14:textId="2247C246" w:rsidR="00BA0550" w:rsidRDefault="00BA0550" w:rsidP="00BA0550">
      <w:pPr>
        <w:pStyle w:val="Funotentext"/>
      </w:pPr>
      <w:r>
        <w:rPr>
          <w:rStyle w:val="Funotenzeichen"/>
        </w:rPr>
        <w:footnoteRef/>
      </w:r>
      <w:r>
        <w:t xml:space="preserve"> S. 20</w:t>
      </w:r>
      <w:r w:rsidR="00C00418">
        <w:t xml:space="preserve"> (von mir unterstrichen)</w:t>
      </w:r>
      <w:r>
        <w:t xml:space="preserve">, „Die im </w:t>
      </w:r>
      <w:proofErr w:type="spellStart"/>
      <w:r>
        <w:t>Szenariorahmen</w:t>
      </w:r>
      <w:proofErr w:type="spellEnd"/>
      <w:r>
        <w:t xml:space="preserve"> getroffenen Annahmen finden später Eingang in eine Vielzahl von Modellierungsschritten für den Netzentwicklungsplan Strom. Ziel ist die Ermittlung der Anforderungen an das Stromübertragungsnetz der Jahre 2037 und 2045. In diesem Abschnitt wird der Modellierungsprozess kurz dargestellt. Anschließend wird darauf aufbauend beschrieben, welche Parameter für die Genehmigung des </w:t>
      </w:r>
      <w:proofErr w:type="spellStart"/>
      <w:r>
        <w:t>Szenariorahmens</w:t>
      </w:r>
      <w:proofErr w:type="spellEnd"/>
      <w:r>
        <w:t xml:space="preserve"> besonders im Fokus stehen. Nach der Genehmigung des </w:t>
      </w:r>
      <w:proofErr w:type="spellStart"/>
      <w:r>
        <w:t>Szenariorahmens</w:t>
      </w:r>
      <w:proofErr w:type="spellEnd"/>
      <w:r>
        <w:t xml:space="preserve"> erfolgt zunächst eine </w:t>
      </w:r>
      <w:r w:rsidRPr="00C00418">
        <w:rPr>
          <w:u w:val="single"/>
        </w:rPr>
        <w:t>Regionalisierung von Lasten und Erzeugern</w:t>
      </w:r>
      <w:r>
        <w:t xml:space="preserve">, da deren räumliche Verteilung für die Bestimmung der Übertragungsaufgaben von entscheidender Bedeutung ist. In allen Bereichen werden detaillierte Modelle verwendet, um die für Gesamtdeutschland getroffenen Annahmen räumlich auf Übertragungsnetzknoten verteilen zu können. Im Anschluss werden Einspeiseprofile ermittelt, um in jeder Stunde eines betrachteten Jahres die stromseitige Nachfrage und Angebotssituation modellieren zu können.“ S. 20, </w:t>
      </w:r>
      <w:bookmarkStart w:id="41" w:name="_Hlk199099515"/>
      <w:r w:rsidRPr="00175BE6">
        <w:t xml:space="preserve">Genehmigung des </w:t>
      </w:r>
      <w:proofErr w:type="spellStart"/>
      <w:r w:rsidRPr="00175BE6">
        <w:t>Szenariorahmens</w:t>
      </w:r>
      <w:proofErr w:type="spellEnd"/>
      <w:r w:rsidRPr="00175BE6">
        <w:t xml:space="preserve"> für den Netzentwicklungsplan Strom 2025-2037 / 2045, Bundesnetzagentur April 2025.</w:t>
      </w:r>
      <w:bookmarkEnd w:id="41"/>
    </w:p>
  </w:footnote>
  <w:footnote w:id="742">
    <w:p w14:paraId="3ED715B6" w14:textId="77777777" w:rsidR="00BE6266" w:rsidRDefault="00BE6266" w:rsidP="00BE6266">
      <w:pPr>
        <w:pStyle w:val="Funotentext"/>
      </w:pPr>
      <w:r>
        <w:rPr>
          <w:rStyle w:val="Funotenzeichen"/>
        </w:rPr>
        <w:footnoteRef/>
      </w:r>
      <w:r>
        <w:t xml:space="preserve"> „Die hier festgelegten installierten Leistungen müssen für die Berechnungen im Netzmodell regionalisiert werden. Mit Regionalisierung bezeichnet man im Netzentwicklungsprozess das Aufteilen der Gesamtleistung auf konkrete Standorte in Deutschland und damit die Zuordnung der Einspeisung zu den passenden Netzknoten. Die seitens der Übertragungsnetzbetreiber hierzu vorgeschlagene Methodik, analog zum NEP 2023-2037/2045, erscheint der Bundesnetzagentur weiterhin geeignet. Vor der konkreten Verteilung einzelner Anlagen erfolgt in einem ersten Schritt eine Allokation der Gesamtleistung auf Ebene der Bundesländer. Für jedes Bundesland werden dazu folgende Daten ermittelt: Bestandsanlagendaten aus dem Marktstammdatenregister der Bundesnetzagentur, bereits genehmigte Anlagen, Potenzialflächen für den Zubau von Windenergieanlagen und Landesfläche. Aus dem Anlagenbestand sowie den bereits genehmigten Anlagen wird ein Kurzfriststützpunkt definiert, der den bereits heute bestehenden bzw. absehbaren Zubau von Windenergieanlagen darstellen soll. Dieser Kurzfriststützpunkt bildet den Sockel für die weitere </w:t>
      </w:r>
      <w:proofErr w:type="spellStart"/>
      <w:r>
        <w:t>Zubaumodellierung</w:t>
      </w:r>
      <w:proofErr w:type="spellEnd"/>
      <w:r>
        <w:t xml:space="preserve"> und damit die untere Grenze für Wind </w:t>
      </w:r>
      <w:proofErr w:type="spellStart"/>
      <w:r>
        <w:t>Onshore</w:t>
      </w:r>
      <w:proofErr w:type="spellEnd"/>
      <w:r>
        <w:t xml:space="preserve"> in einem Bundesland. Die Flächenangaben werden mithilfe eines landesspezifischen Flächenbedarfs für Windenergieanlagen in Leistung umgerechnet. Zur Ermittlung der Potenzialflächen werden Flächenausweisungen aus der Regionalplanung sowie der Bauleitplanung berücksichtigt. Zu diesem Zwecke erhalten die Übertragungsnetzbetreiber Zugriff auf die GIS-Datensätze der Bundesländer, die im Rahmen des Bund-Länder-Kooperationsausschusses bereitgestellt wurden. Dies ermöglicht es, eine möglichst aktuelle und realistische Datenbasis aktueller und geplanter Flächen zur Windenergienutzung in der Regionalisierung nutzen zu können. Neben den ausgewiesenen Flächen wird eine Weißflächenanalyse durchgeführt und Flächen bestimmt, auf denen aus diversen Gründen keine Windenergienutzung erfolgen kann. Die übrigen Flächen sind damit, neben den explizit ausgewiesenen Flächen, prinzipiell zur Windenergienutzung geeignet. Zur Ermittlung der Leistung in Potenzialflächen sowie der Leistung bei Erreichen der Flächenziele wird je Bundesland ein mittlerer spezifischer Flächenbedarf für Windenergieleistung errechnet, der sich aus der bundeslandabhängigen Windverfügbarkeit ergibt. Damit kann die Leistung im Bundesland bei Ausnutzung aller Potenzialflächen als „Maximalleistung“ und die Leistung bei Erreichen der Flächenziele als „Zielleistung“ ermittelt werden. Bei der Ermittlung der Potenzialflächen wird ein Windmindestertrag vorausgesetzt. Bestehende bundeslandspezifische Abstandsregelungen wie z. B. die 10H-Regel in Bayern werden nicht berücksichtigt, da die aktuelle politische Diskussion und die weit in der Zukunft liegenden Zieljahre vermuten. lassen, dass solche bundeslandspezifischen Sonderregelungen an Bedeutung verlieren. Das entspricht auch der Forderung von Stellungnahmen im Rahmen der Konsultation. Die Verteilung des Zubaus auf die Bundesländer über den Sockel hinaus erfolgt anschließend in einem iterativen Verfahren. Sobald die „Zielleistung“ in einem Bundesland erreicht wird, wird der Verteilungsfaktor für dieses Bundesland um 50 % abgewertet. Danach kann mit geringerem Verteilungsfaktor theoretisch bis zur Erreichung der „Maximalleistung“ weiter zugebaut werden. Damit bildet das jeweilige Flächenziel also keine harte Grenze für den Zubau in einem Bundesland, jedoch wird damit angenommen, dass der Zubau bei Erreichen des Flächenziels gebremst wird, jedoch nicht zum Erliegen kommen muss. Dieser Prozess wird so lange wiederholt, bis die in dem jeweiligen Szenario vorhandene Windleistung auf die Bundesländer verteilt ist. Dieses Vorgehen soll die im Windenergieflächenbedarfsgesetz dargestellten Flächenbeitragswerte der Bundesländer bestmöglich abbilden. Anschließend erfolgt die anlagenscharfe Modellierung der Wind-</w:t>
      </w:r>
      <w:proofErr w:type="spellStart"/>
      <w:r>
        <w:t>Onshore</w:t>
      </w:r>
      <w:proofErr w:type="spellEnd"/>
      <w:r>
        <w:t xml:space="preserve">-Anlagen. Zu Beginn wird aus diversen Quellen ein möglichst genauer georeferenzierter Anlagenbestand ermittelt und auf Richtigkeit geprüft. Darauf aufbauend erfolgt der Zubau der einzelnen Anlagen. Je nach Windeignung des Standortes wird dabei jeweils eine passende Anlagenkonfiguration als Starkwind- oder Schwachwindanlage angenommen. Der Zubau erfolgt sequenziell, wobei zuerst der Zubau von Anlagen erfolgt, für die bereits Anschlussanfragen bestehen. Danach erfolgt der Zubau von Windenergieanlagen, welche bereits eine Genehmigung erhalten haben und deren Standort bekannt ist. Ebenso im Modell abgebildet wird eine Lebensdauer von 22 Jahren, wobei die bei einem angenommenen Rückbau </w:t>
      </w:r>
      <w:proofErr w:type="gramStart"/>
      <w:r>
        <w:t>frei werdenden</w:t>
      </w:r>
      <w:proofErr w:type="gramEnd"/>
      <w:r>
        <w:t xml:space="preserve"> Flächen bevorzugt wieder bebaut werden, womit </w:t>
      </w:r>
      <w:proofErr w:type="spellStart"/>
      <w:r>
        <w:t>Repowering</w:t>
      </w:r>
      <w:proofErr w:type="spellEnd"/>
      <w:r>
        <w:t xml:space="preserve"> von Windenergieanlagen im Modell abgebildet ist. Im Rahmen der Konsultation wurde dieses Vorgehen mehrheitlich begrüßt. Im nächsten Schritt werden Anlagen in realistischer Konfiguration auf den ausgewiesenen Windflächen der Bundesländer verteilt. Sollte die darauf installierbare Leistung bereits die Bundeslandgesamtleistung überschreiten, erfolgt eine Zufallsziehung. Wenn die Bundeslandgesamtleistung dabei noch nicht erreicht sein sollte, erfolgt abschließend ein Zubau auf den nach oben beschriebener Methodik identifizierten Weißflächen, wobei Standorte, an denen weniger Restriktionen vorliegen, bevorzugt bebaut werden. Dieses iterative Vorgehen wird so lange fortgeführt, bis in allen Bundesländern die vorgegebene Leistung erreicht ist.“ </w:t>
      </w:r>
      <w:bookmarkStart w:id="42" w:name="_Hlk196939395"/>
      <w:r>
        <w:t xml:space="preserve">S. 53-54, Bedarfsermittlung 2025-2037/2045. Genehmigung des </w:t>
      </w:r>
      <w:proofErr w:type="spellStart"/>
      <w:r>
        <w:t>Szenariorahmens</w:t>
      </w:r>
      <w:proofErr w:type="spellEnd"/>
      <w:r>
        <w:t xml:space="preserve"> für den Netzentwicklungsplan Strom 2025-2037/2045, Bundesnetzagentur April 2025</w:t>
      </w:r>
      <w:bookmarkEnd w:id="42"/>
      <w:r>
        <w:t xml:space="preserve">, siehe: </w:t>
      </w:r>
      <w:hyperlink r:id="rId578" w:history="1">
        <w:r w:rsidRPr="004A4BFF">
          <w:rPr>
            <w:rStyle w:val="Hyperlink"/>
          </w:rPr>
          <w:t>https://www.bundesnetzagentur.de/DE/Fachthemen/ElektrizitaetundGas/NEP/DL_Szenariorahmen/Genehm_SR_2025Strom.pdf?__blob=publicationFile&amp;v=2</w:t>
        </w:r>
      </w:hyperlink>
      <w:r>
        <w:t xml:space="preserve"> – Zugegriffen: 30.04.2025. </w:t>
      </w:r>
    </w:p>
  </w:footnote>
  <w:footnote w:id="743">
    <w:p w14:paraId="54EEEC3E" w14:textId="519E9CB4" w:rsidR="00EE4E4E" w:rsidRDefault="00EE4E4E">
      <w:pPr>
        <w:pStyle w:val="Funotentext"/>
      </w:pPr>
      <w:r>
        <w:rPr>
          <w:rStyle w:val="Funotenzeichen"/>
        </w:rPr>
        <w:footnoteRef/>
      </w:r>
      <w:r>
        <w:t xml:space="preserve"> Teure Stromanschlüsse dort, wo wenig Wind weht. FAZ, 21.11.2024.</w:t>
      </w:r>
    </w:p>
  </w:footnote>
  <w:footnote w:id="744">
    <w:p w14:paraId="26D8623B" w14:textId="565FF0AA" w:rsidR="00752BD1" w:rsidRDefault="00752BD1">
      <w:pPr>
        <w:pStyle w:val="Funotentext"/>
      </w:pPr>
      <w:r>
        <w:rPr>
          <w:rStyle w:val="Funotenzeichen"/>
        </w:rPr>
        <w:footnoteRef/>
      </w:r>
      <w:r>
        <w:t xml:space="preserve"> S. 44, </w:t>
      </w:r>
      <w:bookmarkStart w:id="43" w:name="_Hlk199101883"/>
      <w:r w:rsidRPr="00752BD1">
        <w:t xml:space="preserve">Genehmigung des </w:t>
      </w:r>
      <w:proofErr w:type="spellStart"/>
      <w:r w:rsidRPr="00752BD1">
        <w:t>Szenariorahmens</w:t>
      </w:r>
      <w:proofErr w:type="spellEnd"/>
      <w:r w:rsidRPr="00752BD1">
        <w:t xml:space="preserve"> für den Netzentwicklungsplan Strom 2025-2037 / 2045, Bundesnetzagentur April 2025</w:t>
      </w:r>
      <w:r>
        <w:t>.</w:t>
      </w:r>
      <w:bookmarkEnd w:id="43"/>
    </w:p>
  </w:footnote>
  <w:footnote w:id="745">
    <w:p w14:paraId="218B0083" w14:textId="1D1A118D" w:rsidR="00DF4D6F" w:rsidRDefault="00DF4D6F">
      <w:pPr>
        <w:pStyle w:val="Funotentext"/>
      </w:pPr>
      <w:r>
        <w:rPr>
          <w:rStyle w:val="Funotenzeichen"/>
        </w:rPr>
        <w:footnoteRef/>
      </w:r>
      <w:r>
        <w:t xml:space="preserve"> „</w:t>
      </w:r>
      <w:r w:rsidRPr="00DF4D6F">
        <w:t>Für beide Zieljahre wird ein vollständig flexibler Einsatz an allen Standorten angenommen.</w:t>
      </w:r>
      <w:r>
        <w:t>“</w:t>
      </w:r>
      <w:r w:rsidRPr="00DF4D6F">
        <w:t xml:space="preserve"> </w:t>
      </w:r>
      <w:r>
        <w:t xml:space="preserve">S. 43, Genehmigung des </w:t>
      </w:r>
      <w:proofErr w:type="spellStart"/>
      <w:r>
        <w:t>Szenariorahmens</w:t>
      </w:r>
      <w:proofErr w:type="spellEnd"/>
      <w:r>
        <w:t xml:space="preserve"> für den Netzentwicklungsplan Strom 2025-2037 / 2045, Bundesnetzagentur April 2025</w:t>
      </w:r>
      <w:r w:rsidR="00BA0550">
        <w:t>.</w:t>
      </w:r>
    </w:p>
  </w:footnote>
  <w:footnote w:id="746">
    <w:p w14:paraId="71D46D61" w14:textId="2C0D80FC" w:rsidR="00724E72" w:rsidRDefault="00724E72">
      <w:pPr>
        <w:pStyle w:val="Funotentext"/>
      </w:pPr>
      <w:r>
        <w:rPr>
          <w:rStyle w:val="Funotenzeichen"/>
        </w:rPr>
        <w:footnoteRef/>
      </w:r>
      <w:r>
        <w:t xml:space="preserve"> </w:t>
      </w:r>
      <w:r w:rsidR="00BA0550">
        <w:t xml:space="preserve">S. 42, Genehmigung des </w:t>
      </w:r>
      <w:proofErr w:type="spellStart"/>
      <w:r w:rsidR="00BA0550">
        <w:t>Szenariorahmens</w:t>
      </w:r>
      <w:proofErr w:type="spellEnd"/>
      <w:r w:rsidR="00BA0550">
        <w:t xml:space="preserve"> für den Netzentwicklungsplan Strom 2025-2037 / 2045, Bundesnetzagentur April 2025.</w:t>
      </w:r>
    </w:p>
  </w:footnote>
  <w:footnote w:id="747">
    <w:p w14:paraId="545A830F" w14:textId="7ECF2E33" w:rsidR="00752BD1" w:rsidRDefault="00752BD1">
      <w:pPr>
        <w:pStyle w:val="Funotentext"/>
      </w:pPr>
      <w:r>
        <w:rPr>
          <w:rStyle w:val="Funotenzeichen"/>
        </w:rPr>
        <w:footnoteRef/>
      </w:r>
      <w:r>
        <w:t xml:space="preserve"> </w:t>
      </w:r>
      <w:r w:rsidRPr="00752BD1">
        <w:t xml:space="preserve">Der Stromverbrauch beträgt bei 500 MW * 8760 = 4.380.000 MW, das sind 4.380 GW, das sind ca. 4,4 Terawattstunden für 56.000 Tonnen Wasserstoff. Bei einem pauschalen 90 % Abschlag bei den Betriebsstunden für Wartungen (8760 * 0,9 </w:t>
      </w:r>
      <w:proofErr w:type="gramStart"/>
      <w:r w:rsidRPr="00752BD1">
        <w:t>… )</w:t>
      </w:r>
      <w:proofErr w:type="gramEnd"/>
      <w:r w:rsidRPr="00752BD1">
        <w:t xml:space="preserve"> wären das: 500 MW * 7884 = 3.942.000 MW, das sind 3.942 GW, das wären 3,9 Terawattstunden für 56.000 Wasserstoff. In der Realität scheint man also mit ca. 4 Terawattstunden Strom 56.000 Tonnen Wasserstoff pro Jahr herstellen zu können</w:t>
      </w:r>
      <w:r>
        <w:t xml:space="preserve">. … Die Info mit den 500 MW und 56.000 Tonnen des alkalischen Wasserelektrolyseurs von Thyssen Nucera stammt von hier: Siehe: </w:t>
      </w:r>
      <w:hyperlink r:id="rId579" w:history="1">
        <w:r w:rsidRPr="00AA613D">
          <w:rPr>
            <w:rStyle w:val="Hyperlink"/>
          </w:rPr>
          <w:t>https://www.iqony.energy/standortentwicklung/projekt-hydroxy-walsum</w:t>
        </w:r>
      </w:hyperlink>
      <w:r>
        <w:t xml:space="preserve"> - Zugegriffen: 21.07.2024.</w:t>
      </w:r>
    </w:p>
  </w:footnote>
  <w:footnote w:id="748">
    <w:p w14:paraId="57CE7858" w14:textId="77777777" w:rsidR="00752BD1" w:rsidRDefault="00752BD1" w:rsidP="00752BD1">
      <w:pPr>
        <w:pStyle w:val="Funotentext"/>
      </w:pPr>
      <w:r>
        <w:rPr>
          <w:rStyle w:val="Funotenzeichen"/>
        </w:rPr>
        <w:footnoteRef/>
      </w:r>
      <w:r>
        <w:t xml:space="preserve"> Siehe: </w:t>
      </w:r>
      <w:hyperlink r:id="rId580" w:history="1">
        <w:r w:rsidRPr="00D02850">
          <w:rPr>
            <w:rStyle w:val="Hyperlink"/>
          </w:rPr>
          <w:t>https://www.ramboll.com/de-de/news/100mw-elektrolyseanlage-moorburg-energiewende-in-hamburg-nimmt-fahrt-auf</w:t>
        </w:r>
      </w:hyperlink>
      <w:r>
        <w:t xml:space="preserve"> - Zugegriffen: 30.11.2024. </w:t>
      </w:r>
    </w:p>
  </w:footnote>
  <w:footnote w:id="749">
    <w:p w14:paraId="26EBB105" w14:textId="77777777" w:rsidR="00752BD1" w:rsidRDefault="00752BD1" w:rsidP="00752BD1">
      <w:pPr>
        <w:pStyle w:val="Funotentext"/>
      </w:pPr>
      <w:r>
        <w:rPr>
          <w:rStyle w:val="Funotenzeichen"/>
        </w:rPr>
        <w:footnoteRef/>
      </w:r>
      <w:r>
        <w:t xml:space="preserve"> Siehe: </w:t>
      </w:r>
      <w:hyperlink r:id="rId581" w:history="1">
        <w:r w:rsidRPr="00D02850">
          <w:rPr>
            <w:rStyle w:val="Hyperlink"/>
          </w:rPr>
          <w:t>https://h2-news.de/wirtschaft-unternehmen/frankreich-foerdert-100-mw-elektrolyseur-mit-149-mio-euro/</w:t>
        </w:r>
      </w:hyperlink>
      <w:r>
        <w:t xml:space="preserve"> - Zugegriffen: 30.11.2024. </w:t>
      </w:r>
    </w:p>
  </w:footnote>
  <w:footnote w:id="750">
    <w:p w14:paraId="3AF2D99E" w14:textId="77777777" w:rsidR="00752BD1" w:rsidRDefault="00752BD1" w:rsidP="00752BD1">
      <w:pPr>
        <w:pStyle w:val="Funotentext"/>
      </w:pPr>
      <w:r>
        <w:rPr>
          <w:rStyle w:val="Funotenzeichen"/>
        </w:rPr>
        <w:footnoteRef/>
      </w:r>
      <w:r>
        <w:t xml:space="preserve"> Siehe: </w:t>
      </w:r>
      <w:hyperlink r:id="rId582" w:history="1">
        <w:r w:rsidRPr="00D02850">
          <w:rPr>
            <w:rStyle w:val="Hyperlink"/>
          </w:rPr>
          <w:t>https://www.thyssenkrupp.com/de/newsroom/pressemeldungen/pressedetailseite/gruner-wasserstoff-fur-die-stahlproduktion:-rwe-und-thyssenkrupp-planen-zusammenarbeit-86588</w:t>
        </w:r>
      </w:hyperlink>
      <w:r>
        <w:t xml:space="preserve"> – Zugegriffen: 30.11.2024.</w:t>
      </w:r>
    </w:p>
  </w:footnote>
  <w:footnote w:id="751">
    <w:p w14:paraId="11936335" w14:textId="77777777" w:rsidR="00752BD1" w:rsidRDefault="00752BD1" w:rsidP="00752BD1">
      <w:pPr>
        <w:pStyle w:val="Funotentext"/>
      </w:pPr>
      <w:r>
        <w:rPr>
          <w:rStyle w:val="Funotenzeichen"/>
        </w:rPr>
        <w:footnoteRef/>
      </w:r>
      <w:r>
        <w:t xml:space="preserve"> Siehe: </w:t>
      </w:r>
      <w:hyperlink r:id="rId583" w:history="1">
        <w:r w:rsidRPr="00D02850">
          <w:rPr>
            <w:rStyle w:val="Hyperlink"/>
          </w:rPr>
          <w:t>https://sunfire.de/de/news/sunfire-baut-100-megawatt-elektrolyseur-fuer-rwe/</w:t>
        </w:r>
      </w:hyperlink>
      <w:r>
        <w:t xml:space="preserve"> - Zugegriffen: 30.11.2024. </w:t>
      </w:r>
    </w:p>
  </w:footnote>
  <w:footnote w:id="752">
    <w:p w14:paraId="6481FA64" w14:textId="77777777" w:rsidR="002A4E95" w:rsidRDefault="002A4E95" w:rsidP="002A4E95">
      <w:pPr>
        <w:pStyle w:val="Funotentext"/>
      </w:pPr>
      <w:r>
        <w:rPr>
          <w:rStyle w:val="Funotenzeichen"/>
        </w:rPr>
        <w:footnoteRef/>
      </w:r>
      <w:r>
        <w:t xml:space="preserve"> Siehe: </w:t>
      </w:r>
      <w:hyperlink r:id="rId584" w:history="1">
        <w:r w:rsidRPr="00366B8A">
          <w:rPr>
            <w:rStyle w:val="Hyperlink"/>
          </w:rPr>
          <w:t>https://www.h2-powerd.de/</w:t>
        </w:r>
      </w:hyperlink>
      <w:r>
        <w:t xml:space="preserve"> </w:t>
      </w:r>
    </w:p>
  </w:footnote>
  <w:footnote w:id="753">
    <w:p w14:paraId="78E72460" w14:textId="77777777" w:rsidR="00437CB6" w:rsidRDefault="00437CB6" w:rsidP="00437CB6">
      <w:pPr>
        <w:pStyle w:val="Funotentext"/>
      </w:pPr>
      <w:r>
        <w:rPr>
          <w:rStyle w:val="Funotenzeichen"/>
        </w:rPr>
        <w:footnoteRef/>
      </w:r>
      <w:r>
        <w:t xml:space="preserve"> Siehe: </w:t>
      </w:r>
      <w:hyperlink r:id="rId585" w:history="1">
        <w:r w:rsidRPr="00C627DD">
          <w:rPr>
            <w:rStyle w:val="Hyperlink"/>
          </w:rPr>
          <w:t>https://www.wirtschaft.nrw/themen/energie/erneuerbare-energien/task-force-ausbaubeschleunigung-windenergie-nrw</w:t>
        </w:r>
      </w:hyperlink>
      <w:r>
        <w:t xml:space="preserve"> - siehe dort die Flächenanalyse Studie aus dem Jahr 2023: </w:t>
      </w:r>
      <w:hyperlink r:id="rId586" w:history="1">
        <w:r w:rsidRPr="0098252C">
          <w:rPr>
            <w:rStyle w:val="Hyperlink"/>
          </w:rPr>
          <w:t>https://landesplanung.nrw.de/system/files/media/document/file/flaechenanalyse_windenergie_zwischenbericht_nrw_-_stand_8.03.2023.pdf</w:t>
        </w:r>
      </w:hyperlink>
      <w:r>
        <w:t xml:space="preserve"> - Zugegriffen: 17.06.2025. </w:t>
      </w:r>
    </w:p>
  </w:footnote>
  <w:footnote w:id="754">
    <w:p w14:paraId="4DE8107D" w14:textId="2087DACC" w:rsidR="002F21F1" w:rsidRDefault="002F21F1">
      <w:pPr>
        <w:pStyle w:val="Funotentext"/>
      </w:pPr>
      <w:r>
        <w:rPr>
          <w:rStyle w:val="Funotenzeichen"/>
        </w:rPr>
        <w:footnoteRef/>
      </w:r>
      <w:r>
        <w:t xml:space="preserve"> Siehe: </w:t>
      </w:r>
      <w:hyperlink r:id="rId587" w:history="1">
        <w:r w:rsidRPr="002F21F1">
          <w:rPr>
            <w:rStyle w:val="Hyperlink"/>
          </w:rPr>
          <w:t>https://www.wochenblatt-dlv.de/feld-stall/energie/windraeder-bald-besser-verteilt-teilfaechenziele-18-abloesen-583890</w:t>
        </w:r>
      </w:hyperlink>
      <w:r>
        <w:t xml:space="preserve"> - Zugegriffen: 22.02.2026. </w:t>
      </w:r>
    </w:p>
  </w:footnote>
  <w:footnote w:id="755">
    <w:p w14:paraId="5A3264A5" w14:textId="0949CF18" w:rsidR="002F21F1" w:rsidRDefault="002F21F1">
      <w:pPr>
        <w:pStyle w:val="Funotentext"/>
      </w:pPr>
      <w:r>
        <w:rPr>
          <w:rStyle w:val="Funotenzeichen"/>
        </w:rPr>
        <w:footnoteRef/>
      </w:r>
      <w:r>
        <w:t xml:space="preserve"> Siehe: </w:t>
      </w:r>
      <w:hyperlink r:id="rId588" w:history="1">
        <w:r w:rsidRPr="002F21F1">
          <w:rPr>
            <w:rStyle w:val="Hyperlink"/>
          </w:rPr>
          <w:t>https://www.energieatlas.bayern.de/erneuerbare-energien/windenergie/themenplattform-planen-genehmigen/regionalplanung</w:t>
        </w:r>
      </w:hyperlink>
      <w:r>
        <w:t xml:space="preserve"> - Zugegriffen: 22.02.2026.</w:t>
      </w:r>
    </w:p>
  </w:footnote>
  <w:footnote w:id="756">
    <w:p w14:paraId="167B826A" w14:textId="35DD6521" w:rsidR="002F21F1" w:rsidRDefault="002F21F1" w:rsidP="002F21F1">
      <w:pPr>
        <w:pStyle w:val="Funotentext"/>
      </w:pPr>
      <w:r>
        <w:rPr>
          <w:rStyle w:val="Funotenzeichen"/>
        </w:rPr>
        <w:footnoteRef/>
      </w:r>
      <w:r>
        <w:t xml:space="preserve"> Klaus Stratmann. Reiche und die große Lebenslüge der Erneuerbare-Energien-Branche, Handelsblatt, 20.02.2026, siehe: </w:t>
      </w:r>
      <w:hyperlink r:id="rId589" w:history="1">
        <w:r w:rsidRPr="002F21F1">
          <w:rPr>
            <w:rStyle w:val="Hyperlink"/>
          </w:rPr>
          <w:t>https://www.handelsblatt.com/meinung/kommentare/kommentar-reiche-und-die-grosse-lebensluege-der-erneuerbare-energien-branche/100201914.html</w:t>
        </w:r>
      </w:hyperlink>
      <w:r>
        <w:t xml:space="preserve"> - Zugegriffen: 22.02.2026. </w:t>
      </w:r>
    </w:p>
  </w:footnote>
  <w:footnote w:id="757">
    <w:p w14:paraId="10CF869A" w14:textId="47382DF6" w:rsidR="00DD6169" w:rsidRDefault="00DD6169">
      <w:pPr>
        <w:pStyle w:val="Funotentext"/>
      </w:pPr>
      <w:r>
        <w:rPr>
          <w:rStyle w:val="Funotenzeichen"/>
        </w:rPr>
        <w:footnoteRef/>
      </w:r>
      <w:r>
        <w:t xml:space="preserve"> Siehe: </w:t>
      </w:r>
      <w:r w:rsidRPr="00DD6169">
        <w:t>https://www.pv-magazine.de/2025/11/26/reiche-will-grosse-batteriespeicher-aus-der-kraftnav-nehmen/</w:t>
      </w:r>
      <w:r>
        <w:t xml:space="preserve"> - Zugegriffen: 22.02.2026. </w:t>
      </w:r>
    </w:p>
  </w:footnote>
  <w:footnote w:id="758">
    <w:p w14:paraId="3EDD1883" w14:textId="444E672B" w:rsidR="00D9428A" w:rsidRDefault="00D9428A" w:rsidP="00D9428A">
      <w:pPr>
        <w:pStyle w:val="Funotentext"/>
      </w:pPr>
      <w:r>
        <w:rPr>
          <w:rStyle w:val="Funotenzeichen"/>
        </w:rPr>
        <w:footnoteRef/>
      </w:r>
      <w:r>
        <w:t xml:space="preserve"> </w:t>
      </w:r>
      <w:r w:rsidRPr="00D9428A">
        <w:t xml:space="preserve">Siehe Kostenschätzungen: </w:t>
      </w:r>
      <w:hyperlink r:id="rId590" w:history="1">
        <w:r w:rsidRPr="00D9428A">
          <w:rPr>
            <w:rStyle w:val="Hyperlink"/>
          </w:rPr>
          <w:t>https://www.netzentwicklungsplan.de/sites/default/files/2022-12/kostenschaetzungen_nep_2025_1_entwurf.pdf</w:t>
        </w:r>
      </w:hyperlink>
      <w:r>
        <w:t>, siehe auch</w:t>
      </w:r>
      <w:r w:rsidRPr="00D9428A">
        <w:t xml:space="preserve">: </w:t>
      </w:r>
      <w:hyperlink r:id="rId591" w:history="1">
        <w:r w:rsidRPr="00D9428A">
          <w:rPr>
            <w:rStyle w:val="Hyperlink"/>
          </w:rPr>
          <w:t>https://www.ieh.uni-stuttgart.de/dokumente/symposium/2024_03-Jesberger_TransnetBW.pdf</w:t>
        </w:r>
      </w:hyperlink>
      <w:r>
        <w:t>, s</w:t>
      </w:r>
      <w:r w:rsidRPr="00D9428A">
        <w:t xml:space="preserve">iehe: </w:t>
      </w:r>
      <w:hyperlink r:id="rId592" w:history="1">
        <w:r w:rsidRPr="00D9428A">
          <w:rPr>
            <w:rStyle w:val="Hyperlink"/>
          </w:rPr>
          <w:t>https://www.bundeswirtschaftsministerium.de/Redaktion/DE/Publikationen/Energie/technologieuebersicht.pdf?__blob=publicationFile&amp;v=1</w:t>
        </w:r>
      </w:hyperlink>
      <w:r>
        <w:t>, s</w:t>
      </w:r>
      <w:r w:rsidRPr="00D9428A">
        <w:t xml:space="preserve">iehe auch: </w:t>
      </w:r>
      <w:hyperlink r:id="rId593" w:history="1">
        <w:r w:rsidRPr="00D9428A">
          <w:rPr>
            <w:rStyle w:val="Hyperlink"/>
          </w:rPr>
          <w:t>https://www.smard.de/page/home/wiki-article/446/214010/netzebenen</w:t>
        </w:r>
      </w:hyperlink>
      <w:r>
        <w:t xml:space="preserve"> - Zugegriffen: 22.02.2026.</w:t>
      </w:r>
    </w:p>
  </w:footnote>
  <w:footnote w:id="759">
    <w:p w14:paraId="43254884" w14:textId="77777777" w:rsidR="00B74A76" w:rsidRDefault="00B74A76" w:rsidP="00B74A76">
      <w:pPr>
        <w:pStyle w:val="Funotentext"/>
      </w:pPr>
      <w:r>
        <w:rPr>
          <w:rStyle w:val="Funotenzeichen"/>
        </w:rPr>
        <w:footnoteRef/>
      </w:r>
      <w:r>
        <w:t xml:space="preserve"> Siehe: </w:t>
      </w:r>
      <w:hyperlink r:id="rId594" w:history="1">
        <w:r w:rsidRPr="00425B88">
          <w:rPr>
            <w:rStyle w:val="Hyperlink"/>
          </w:rPr>
          <w:t>https://www.netzausbau.de/Vorhaben/uebersicht/report/de.html</w:t>
        </w:r>
      </w:hyperlink>
      <w:r>
        <w:t xml:space="preserve"> - Zugegriffen: 12.03.2024.</w:t>
      </w:r>
    </w:p>
  </w:footnote>
  <w:footnote w:id="760">
    <w:p w14:paraId="57761742" w14:textId="5130002B" w:rsidR="00096CFF" w:rsidRDefault="00096CFF">
      <w:pPr>
        <w:pStyle w:val="Funotentext"/>
      </w:pPr>
      <w:r>
        <w:rPr>
          <w:rStyle w:val="Funotenzeichen"/>
        </w:rPr>
        <w:footnoteRef/>
      </w:r>
      <w:r>
        <w:t xml:space="preserve"> Dena </w:t>
      </w:r>
      <w:proofErr w:type="spellStart"/>
      <w:r>
        <w:t>StiPE</w:t>
      </w:r>
      <w:proofErr w:type="spellEnd"/>
      <w:r>
        <w:t xml:space="preserve"> </w:t>
      </w:r>
      <w:r w:rsidR="000D2AA3">
        <w:t xml:space="preserve">Bericht </w:t>
      </w:r>
      <w:r>
        <w:t>2022: 51.</w:t>
      </w:r>
    </w:p>
  </w:footnote>
  <w:footnote w:id="761">
    <w:p w14:paraId="085BD27D" w14:textId="77777777" w:rsidR="00B74A76" w:rsidRDefault="00B74A76" w:rsidP="00B74A76">
      <w:pPr>
        <w:pStyle w:val="Funotentext"/>
      </w:pPr>
      <w:r>
        <w:rPr>
          <w:rStyle w:val="Funotenzeichen"/>
        </w:rPr>
        <w:footnoteRef/>
      </w:r>
      <w:r>
        <w:t xml:space="preserve"> Christian Geinitz. Wer zahl die Milliarden für die Stromleitungen? FAZ, 12.04.2024.</w:t>
      </w:r>
    </w:p>
  </w:footnote>
  <w:footnote w:id="762">
    <w:p w14:paraId="45A6B36B" w14:textId="77777777" w:rsidR="00B74A76" w:rsidRDefault="00B74A76" w:rsidP="00B74A76">
      <w:pPr>
        <w:pStyle w:val="Funotentext"/>
      </w:pPr>
      <w:r>
        <w:rPr>
          <w:rStyle w:val="Funotenzeichen"/>
        </w:rPr>
        <w:footnoteRef/>
      </w:r>
      <w:r>
        <w:t xml:space="preserve"> Christian Geinitz. Wer zahlt die Milliarden für die Stromleitungen? FAZ, 12.04.2024.</w:t>
      </w:r>
    </w:p>
  </w:footnote>
  <w:footnote w:id="763">
    <w:p w14:paraId="2E9E8946" w14:textId="33BB4127" w:rsidR="007B6F0D" w:rsidRDefault="007B6F0D">
      <w:pPr>
        <w:pStyle w:val="Funotentext"/>
      </w:pPr>
      <w:r>
        <w:rPr>
          <w:rStyle w:val="Funotenzeichen"/>
        </w:rPr>
        <w:footnoteRef/>
      </w:r>
      <w:r>
        <w:t xml:space="preserve"> Dena </w:t>
      </w:r>
      <w:proofErr w:type="spellStart"/>
      <w:r>
        <w:t>StiPE</w:t>
      </w:r>
      <w:proofErr w:type="spellEnd"/>
      <w:r>
        <w:t xml:space="preserve"> </w:t>
      </w:r>
      <w:r w:rsidR="000D2AA3">
        <w:t xml:space="preserve">Bericht </w:t>
      </w:r>
      <w:r>
        <w:t>2022: 51.</w:t>
      </w:r>
    </w:p>
  </w:footnote>
  <w:footnote w:id="764">
    <w:p w14:paraId="7B05C06E" w14:textId="3A6F11C6" w:rsidR="007B6F0D" w:rsidRDefault="007B6F0D">
      <w:pPr>
        <w:pStyle w:val="Funotentext"/>
      </w:pPr>
      <w:r>
        <w:rPr>
          <w:rStyle w:val="Funotenzeichen"/>
        </w:rPr>
        <w:footnoteRef/>
      </w:r>
      <w:r>
        <w:t xml:space="preserve"> Dena </w:t>
      </w:r>
      <w:proofErr w:type="spellStart"/>
      <w:r>
        <w:t>StiPE</w:t>
      </w:r>
      <w:proofErr w:type="spellEnd"/>
      <w:r>
        <w:t xml:space="preserve"> </w:t>
      </w:r>
      <w:r w:rsidR="000D2AA3">
        <w:t xml:space="preserve">Bericht </w:t>
      </w:r>
      <w:r>
        <w:t>2022: 51-59.</w:t>
      </w:r>
    </w:p>
  </w:footnote>
  <w:footnote w:id="765">
    <w:p w14:paraId="273DD794" w14:textId="77777777" w:rsidR="00B74A76" w:rsidRDefault="00B74A76" w:rsidP="00B74A76">
      <w:pPr>
        <w:pStyle w:val="Funotentext"/>
      </w:pPr>
      <w:r>
        <w:rPr>
          <w:rStyle w:val="Funotenzeichen"/>
        </w:rPr>
        <w:footnoteRef/>
      </w:r>
      <w:r>
        <w:t xml:space="preserve"> In der zuvor diskutierten Regelung von 2021 waren die Regeln harscher. Siehe: </w:t>
      </w:r>
      <w:hyperlink r:id="rId595" w:history="1">
        <w:r w:rsidRPr="00B0620C">
          <w:rPr>
            <w:rStyle w:val="Hyperlink"/>
          </w:rPr>
          <w:t>https://www.stadtwerke-solingen.de/blog/spitzenlastglaettung-strom-drosseln-abschaltbare-verbrauchseinrichtungen/</w:t>
        </w:r>
      </w:hyperlink>
      <w:r>
        <w:t xml:space="preserve"> - Zugegriffen: 04.07.2024. </w:t>
      </w:r>
    </w:p>
  </w:footnote>
  <w:footnote w:id="766">
    <w:p w14:paraId="0A841C17" w14:textId="77777777" w:rsidR="00B74A76" w:rsidRDefault="00B74A76" w:rsidP="00B74A76">
      <w:pPr>
        <w:pStyle w:val="Funotentext"/>
      </w:pPr>
      <w:r>
        <w:rPr>
          <w:rStyle w:val="Funotenzeichen"/>
        </w:rPr>
        <w:footnoteRef/>
      </w:r>
      <w:r>
        <w:t xml:space="preserve"> Christian Geinitz. Wer zahlt die Milliarden für die Stromleitungen? FAZ, 12.04.2024.</w:t>
      </w:r>
    </w:p>
  </w:footnote>
  <w:footnote w:id="767">
    <w:p w14:paraId="0936513C" w14:textId="77777777" w:rsidR="00B74A76" w:rsidRDefault="00B74A76" w:rsidP="00B74A76">
      <w:pPr>
        <w:pStyle w:val="Funotentext"/>
      </w:pPr>
      <w:r>
        <w:rPr>
          <w:rStyle w:val="Funotenzeichen"/>
        </w:rPr>
        <w:footnoteRef/>
      </w:r>
      <w:r>
        <w:t xml:space="preserve"> Bundesrechnungshof 2024. Siehe Energiewende nicht auf Kurs: Nachsteuern dringend erforderlich: </w:t>
      </w:r>
      <w:hyperlink r:id="rId596" w:history="1">
        <w:r w:rsidRPr="00425B88">
          <w:rPr>
            <w:rStyle w:val="Hyperlink"/>
          </w:rPr>
          <w:t>https://www.bundesrechnungshof.de/SharedDocs/Kurzmeldungen/DE/2024/energiewende/kurzmeldung.html</w:t>
        </w:r>
      </w:hyperlink>
      <w:r>
        <w:t xml:space="preserve"> - Zugegriffen: 12.03.2024. </w:t>
      </w:r>
    </w:p>
  </w:footnote>
  <w:footnote w:id="768">
    <w:p w14:paraId="03D72B17" w14:textId="77777777" w:rsidR="00B74A76" w:rsidRDefault="00B74A76" w:rsidP="00B74A76">
      <w:pPr>
        <w:pStyle w:val="Funotentext"/>
      </w:pPr>
      <w:r>
        <w:rPr>
          <w:rStyle w:val="Funotenzeichen"/>
        </w:rPr>
        <w:footnoteRef/>
      </w:r>
      <w:r>
        <w:t xml:space="preserve"> Bundesrechnungshof 2024: 22.</w:t>
      </w:r>
    </w:p>
  </w:footnote>
  <w:footnote w:id="769">
    <w:p w14:paraId="709CBEFC" w14:textId="77777777" w:rsidR="00B74A76" w:rsidRDefault="00B74A76" w:rsidP="00B74A76">
      <w:pPr>
        <w:pStyle w:val="Funotentext"/>
      </w:pPr>
      <w:r>
        <w:rPr>
          <w:rStyle w:val="Funotenzeichen"/>
        </w:rPr>
        <w:footnoteRef/>
      </w:r>
      <w:r>
        <w:t xml:space="preserve"> S. 6, siehe: </w:t>
      </w:r>
      <w:hyperlink r:id="rId597" w:history="1">
        <w:r w:rsidRPr="00425B88">
          <w:rPr>
            <w:rStyle w:val="Hyperlink"/>
          </w:rPr>
          <w:t>https://www.netzentwicklungsplan.de/sites/default/files/2023-12/NEP%20kompakt_2037_2045_V2023_2E.pdf</w:t>
        </w:r>
      </w:hyperlink>
      <w:r>
        <w:t xml:space="preserve"> – Zugegriffen: 12.03.2024.</w:t>
      </w:r>
    </w:p>
  </w:footnote>
  <w:footnote w:id="770">
    <w:p w14:paraId="4857BB23" w14:textId="77777777" w:rsidR="00B74A76" w:rsidRDefault="00B74A76" w:rsidP="00B74A76">
      <w:pPr>
        <w:pStyle w:val="Funotentext"/>
      </w:pPr>
      <w:r>
        <w:rPr>
          <w:rStyle w:val="Funotenzeichen"/>
        </w:rPr>
        <w:footnoteRef/>
      </w:r>
      <w:r>
        <w:t xml:space="preserve"> </w:t>
      </w:r>
      <w:r w:rsidRPr="0017263C">
        <w:t>Bundesrechnungshof 2024: 34.</w:t>
      </w:r>
    </w:p>
  </w:footnote>
  <w:footnote w:id="771">
    <w:p w14:paraId="68B315A3" w14:textId="77777777" w:rsidR="00B74A76" w:rsidRPr="005A07D8" w:rsidRDefault="00B74A76" w:rsidP="00B74A76">
      <w:pPr>
        <w:pStyle w:val="Funotentext"/>
      </w:pPr>
      <w:r>
        <w:rPr>
          <w:rStyle w:val="Funotenzeichen"/>
        </w:rPr>
        <w:footnoteRef/>
      </w:r>
      <w:r w:rsidRPr="00831186">
        <w:t xml:space="preserve"> Hanna Decker. </w:t>
      </w:r>
      <w:r w:rsidRPr="005A07D8">
        <w:t>Netzbetreiber Amprion. K</w:t>
      </w:r>
      <w:r>
        <w:t>ein Kohleausstieg ohne Gaseinstieg.</w:t>
      </w:r>
    </w:p>
  </w:footnote>
  <w:footnote w:id="772">
    <w:p w14:paraId="6CB8964E" w14:textId="77777777" w:rsidR="003A3DF2" w:rsidRDefault="003A3DF2" w:rsidP="003A3DF2">
      <w:pPr>
        <w:pStyle w:val="Funotentext"/>
      </w:pPr>
      <w:r>
        <w:rPr>
          <w:rStyle w:val="Funotenzeichen"/>
        </w:rPr>
        <w:footnoteRef/>
      </w:r>
      <w:r>
        <w:t xml:space="preserve"> S. 34. BMWK. </w:t>
      </w:r>
      <w:r w:rsidRPr="00005D64">
        <w:t>Technologieübersicht. Das deutsche Höchstspannungsnetz</w:t>
      </w:r>
      <w:r>
        <w:t xml:space="preserve">, 2014. Siehe: </w:t>
      </w:r>
      <w:hyperlink r:id="rId598" w:history="1">
        <w:r w:rsidRPr="001A7901">
          <w:rPr>
            <w:rStyle w:val="Hyperlink"/>
          </w:rPr>
          <w:t>https://www.bmwk.de/Redaktion/DE/Publikationen/Energie/technologieuebersicht.html</w:t>
        </w:r>
      </w:hyperlink>
      <w:r>
        <w:t xml:space="preserve"> - Zugegriffen: 26.05.2025. </w:t>
      </w:r>
    </w:p>
  </w:footnote>
  <w:footnote w:id="773">
    <w:p w14:paraId="78C33501" w14:textId="77777777" w:rsidR="00804DEF" w:rsidRDefault="00804DEF" w:rsidP="00804DEF">
      <w:pPr>
        <w:pStyle w:val="Funotentext"/>
      </w:pPr>
      <w:r>
        <w:rPr>
          <w:rStyle w:val="Funotenzeichen"/>
        </w:rPr>
        <w:footnoteRef/>
      </w:r>
      <w:r>
        <w:t xml:space="preserve"> S. 7 und S. 10. Siehe: </w:t>
      </w:r>
      <w:hyperlink r:id="rId599" w:history="1">
        <w:r w:rsidRPr="004546B5">
          <w:rPr>
            <w:rStyle w:val="Hyperlink"/>
          </w:rPr>
          <w:t>https://www.netzerotc.com/wp-content/uploads/2023/09/NZTC-Hydrogen-Backbone-Link-Report-2.pdf?vgo_ee=zzFXxf0YZ6MFJDlSOW%2Bm5CC92CTtH0nJ8VOUF6Y5AuEMAxFIig%3D%3D%3AVJB75a0EtqMf2HHg5yOMAkuDoICt8NAx</w:t>
        </w:r>
      </w:hyperlink>
      <w:r>
        <w:t xml:space="preserve"> – Zugegriffen: 05.01.2025. </w:t>
      </w:r>
    </w:p>
  </w:footnote>
  <w:footnote w:id="774">
    <w:p w14:paraId="39520BF2" w14:textId="77777777" w:rsidR="00B74A76" w:rsidRDefault="00B74A76" w:rsidP="00B74A76">
      <w:pPr>
        <w:pStyle w:val="Funotentext"/>
      </w:pPr>
      <w:r>
        <w:rPr>
          <w:rStyle w:val="Funotenzeichen"/>
        </w:rPr>
        <w:footnoteRef/>
      </w:r>
      <w:r w:rsidRPr="005A07D8">
        <w:t xml:space="preserve"> Christian Geinitz. </w:t>
      </w:r>
      <w:r>
        <w:t>Wer zahlt die Milliarden für die Stromleitungen? FAZ, 12.04.2024.</w:t>
      </w:r>
    </w:p>
  </w:footnote>
  <w:footnote w:id="775">
    <w:p w14:paraId="1BA114D0" w14:textId="77777777" w:rsidR="00B74A76" w:rsidRDefault="00B74A76" w:rsidP="00B74A76">
      <w:pPr>
        <w:pStyle w:val="Funotentext"/>
      </w:pPr>
      <w:r>
        <w:rPr>
          <w:rStyle w:val="Funotenzeichen"/>
        </w:rPr>
        <w:footnoteRef/>
      </w:r>
      <w:r>
        <w:t xml:space="preserve"> Die Box basiert auf Informationen auf den folgenden Artikel der FAZ: Nadine Bös, Hanna Decker. Aufstellen statt verbuddeln. FAZ, 08.06.2024. S. 20, Unternehmen. </w:t>
      </w:r>
    </w:p>
  </w:footnote>
  <w:footnote w:id="776">
    <w:p w14:paraId="0DA8377F" w14:textId="77777777" w:rsidR="00B74A76" w:rsidRDefault="00B74A76" w:rsidP="00B74A76">
      <w:pPr>
        <w:pStyle w:val="Funotentext"/>
      </w:pPr>
      <w:r>
        <w:rPr>
          <w:rStyle w:val="Funotenzeichen"/>
        </w:rPr>
        <w:footnoteRef/>
      </w:r>
      <w:r>
        <w:t xml:space="preserve"> Christian Geinitz. Wer zahlt die Milliarden für die Stromleitungen? FAZ, 12.04.2024.</w:t>
      </w:r>
    </w:p>
  </w:footnote>
  <w:footnote w:id="777">
    <w:p w14:paraId="0965C501" w14:textId="77777777" w:rsidR="00B74A76" w:rsidRDefault="00B74A76" w:rsidP="00B74A76">
      <w:pPr>
        <w:pStyle w:val="Funotentext"/>
      </w:pPr>
      <w:r>
        <w:rPr>
          <w:rStyle w:val="Funotenzeichen"/>
        </w:rPr>
        <w:footnoteRef/>
      </w:r>
      <w:r>
        <w:t xml:space="preserve"> Reiner Burger. Der große Graben. FAZ, 03.07.2024. </w:t>
      </w:r>
    </w:p>
  </w:footnote>
  <w:footnote w:id="778">
    <w:p w14:paraId="20435DE1" w14:textId="77777777" w:rsidR="00B74A76" w:rsidRDefault="00B74A76" w:rsidP="00B74A76">
      <w:pPr>
        <w:pStyle w:val="Funotentext"/>
      </w:pPr>
      <w:r>
        <w:rPr>
          <w:rStyle w:val="Funotenzeichen"/>
        </w:rPr>
        <w:footnoteRef/>
      </w:r>
      <w:r>
        <w:t xml:space="preserve"> Dies wurde fünf Jahre lang von Wissenschaftlern aus Göttingen untersucht. NDR. Welche Auswirkungen haben Erdkabeltrassen auf die Landwirtschaft. 21.08.2024. </w:t>
      </w:r>
    </w:p>
  </w:footnote>
  <w:footnote w:id="779">
    <w:p w14:paraId="53754226" w14:textId="77777777" w:rsidR="00B74A76" w:rsidRDefault="00B74A76" w:rsidP="00B74A76">
      <w:pPr>
        <w:pStyle w:val="Funotentext"/>
      </w:pPr>
      <w:r>
        <w:rPr>
          <w:rStyle w:val="Funotenzeichen"/>
        </w:rPr>
        <w:footnoteRef/>
      </w:r>
      <w:r>
        <w:t xml:space="preserve"> Thorsten Winter. Hoffnung auf Ökostromtrasse nahe der A45. FAZ, 06.09.2024. </w:t>
      </w:r>
    </w:p>
  </w:footnote>
  <w:footnote w:id="780">
    <w:p w14:paraId="16AF5629" w14:textId="0992AA2C" w:rsidR="00CF5A77" w:rsidRDefault="00CF5A77">
      <w:pPr>
        <w:pStyle w:val="Funotentext"/>
      </w:pPr>
      <w:r>
        <w:rPr>
          <w:rStyle w:val="Funotenzeichen"/>
        </w:rPr>
        <w:footnoteRef/>
      </w:r>
      <w:r>
        <w:t xml:space="preserve"> Siehe: </w:t>
      </w:r>
      <w:hyperlink r:id="rId600" w:history="1">
        <w:r w:rsidRPr="00530E42">
          <w:rPr>
            <w:rStyle w:val="Hyperlink"/>
          </w:rPr>
          <w:t>https://www.bundesnetzagentur.de/DE/Beschlusskammern/BK_Start.html</w:t>
        </w:r>
      </w:hyperlink>
      <w:r>
        <w:t xml:space="preserve"> - Zugegriffen: 22.04.2025. </w:t>
      </w:r>
    </w:p>
  </w:footnote>
  <w:footnote w:id="781">
    <w:p w14:paraId="6AFA60B1" w14:textId="38E16A6D" w:rsidR="00DF2C73" w:rsidRDefault="00DF2C73">
      <w:pPr>
        <w:pStyle w:val="Funotentext"/>
      </w:pPr>
      <w:r>
        <w:rPr>
          <w:rStyle w:val="Funotenzeichen"/>
        </w:rPr>
        <w:footnoteRef/>
      </w:r>
      <w:r>
        <w:t xml:space="preserve"> </w:t>
      </w:r>
      <w:r w:rsidR="00CF5A77">
        <w:t xml:space="preserve">Siehe: </w:t>
      </w:r>
      <w:hyperlink r:id="rId601" w:history="1">
        <w:r w:rsidR="00CF5A77" w:rsidRPr="00530E42">
          <w:rPr>
            <w:rStyle w:val="Hyperlink"/>
          </w:rPr>
          <w:t>https://www.bundesnetzagentur.de/DE/Beschlusskammern/BK04/BK4_71_NetzE/BK4_71_Ind_NetzE_Strom/BK4_Ind_NetzEntg_Strom.html</w:t>
        </w:r>
      </w:hyperlink>
      <w:r w:rsidR="00CF5A77">
        <w:t xml:space="preserve"> - Zugegriffen: 22.04.2025. </w:t>
      </w:r>
    </w:p>
  </w:footnote>
  <w:footnote w:id="782">
    <w:p w14:paraId="5D968B12" w14:textId="49E69869" w:rsidR="00CF5A77" w:rsidRDefault="00CF5A77">
      <w:pPr>
        <w:pStyle w:val="Funotentext"/>
      </w:pPr>
      <w:r>
        <w:rPr>
          <w:rStyle w:val="Funotenzeichen"/>
        </w:rPr>
        <w:footnoteRef/>
      </w:r>
      <w:r>
        <w:t xml:space="preserve"> Siehe: </w:t>
      </w:r>
      <w:hyperlink r:id="rId602" w:history="1">
        <w:r w:rsidRPr="00530E42">
          <w:rPr>
            <w:rStyle w:val="Hyperlink"/>
          </w:rPr>
          <w:t>https://www.bundesnetzagentur.de/DE/Beschlusskammern/1_GZ/BK4-GZ/2024/BK4-24-0027/BK4-24-0027_Eckpunktepapier_24072024.pdf?__blob=publicationFile&amp;v=4</w:t>
        </w:r>
      </w:hyperlink>
      <w:r>
        <w:t xml:space="preserve"> – Zugegriffen: 22.04.2025. </w:t>
      </w:r>
    </w:p>
  </w:footnote>
  <w:footnote w:id="783">
    <w:p w14:paraId="54779B99" w14:textId="77777777" w:rsidR="00B74A76" w:rsidRDefault="00B74A76" w:rsidP="00B74A76">
      <w:pPr>
        <w:pStyle w:val="Funotentext"/>
      </w:pPr>
      <w:r>
        <w:rPr>
          <w:rStyle w:val="Funotenzeichen"/>
        </w:rPr>
        <w:footnoteRef/>
      </w:r>
      <w:r>
        <w:t xml:space="preserve"> Bundesrechnungshof 2024: 34.</w:t>
      </w:r>
    </w:p>
  </w:footnote>
  <w:footnote w:id="784">
    <w:p w14:paraId="0B9916B9" w14:textId="77777777" w:rsidR="00B74A76" w:rsidRDefault="00B74A76" w:rsidP="00B74A76">
      <w:pPr>
        <w:pStyle w:val="Funotentext"/>
      </w:pPr>
      <w:r>
        <w:rPr>
          <w:rStyle w:val="Funotenzeichen"/>
        </w:rPr>
        <w:footnoteRef/>
      </w:r>
      <w:r>
        <w:t xml:space="preserve"> Bundesrechnungshof 2024: 34</w:t>
      </w:r>
    </w:p>
  </w:footnote>
  <w:footnote w:id="785">
    <w:p w14:paraId="0B097E64" w14:textId="77777777" w:rsidR="00B74A76" w:rsidRDefault="00B74A76" w:rsidP="00B74A76">
      <w:pPr>
        <w:pStyle w:val="Funotentext"/>
      </w:pPr>
      <w:r>
        <w:rPr>
          <w:rStyle w:val="Funotenzeichen"/>
        </w:rPr>
        <w:footnoteRef/>
      </w:r>
      <w:r>
        <w:t xml:space="preserve"> Bundesrechnungshof 2024: 36.</w:t>
      </w:r>
    </w:p>
  </w:footnote>
  <w:footnote w:id="786">
    <w:p w14:paraId="06428B3D" w14:textId="77777777" w:rsidR="00B74A76" w:rsidRDefault="00B74A76" w:rsidP="00B74A76">
      <w:pPr>
        <w:pStyle w:val="Funotentext"/>
      </w:pPr>
      <w:r>
        <w:rPr>
          <w:rStyle w:val="Funotenzeichen"/>
        </w:rPr>
        <w:footnoteRef/>
      </w:r>
      <w:r>
        <w:t xml:space="preserve"> Bundesrechnungshof 2024: 35.</w:t>
      </w:r>
    </w:p>
  </w:footnote>
  <w:footnote w:id="787">
    <w:p w14:paraId="41E44C85" w14:textId="77777777" w:rsidR="00B74A76" w:rsidRDefault="00B74A76" w:rsidP="00B74A76">
      <w:pPr>
        <w:pStyle w:val="Funotentext"/>
      </w:pPr>
      <w:r>
        <w:rPr>
          <w:rStyle w:val="Funotenzeichen"/>
        </w:rPr>
        <w:footnoteRef/>
      </w:r>
      <w:r>
        <w:t xml:space="preserve"> Siehe S. 64: Agora. Die Energiewende in Deutschland: Stand der Dinge 2024, 07.01.2025. Siehe: </w:t>
      </w:r>
      <w:hyperlink r:id="rId603" w:history="1">
        <w:r w:rsidRPr="00E34DD2">
          <w:rPr>
            <w:rStyle w:val="Hyperlink"/>
          </w:rPr>
          <w:t>https://www.agora-energiewende.de/publikationen/die-energiewende-in-deutschland-stand-der-dinge-2024</w:t>
        </w:r>
      </w:hyperlink>
      <w:r>
        <w:t xml:space="preserve"> - Zugegriffen: 08.01.2025.  </w:t>
      </w:r>
    </w:p>
  </w:footnote>
  <w:footnote w:id="788">
    <w:p w14:paraId="6E586E58" w14:textId="77777777" w:rsidR="00B74A76" w:rsidRDefault="00B74A76" w:rsidP="00B74A76">
      <w:pPr>
        <w:pStyle w:val="Funotentext"/>
      </w:pPr>
      <w:r>
        <w:rPr>
          <w:rStyle w:val="Funotenzeichen"/>
        </w:rPr>
        <w:footnoteRef/>
      </w:r>
      <w:r>
        <w:t xml:space="preserve"> Siehe S. 64 und S. 65 eine Deutschlandkarte: Agora. Die Energiewende in Deutschland: Stand der Dinge 2024, 07.01.2025. Siehe: </w:t>
      </w:r>
      <w:hyperlink r:id="rId604" w:history="1">
        <w:r w:rsidRPr="00E34DD2">
          <w:rPr>
            <w:rStyle w:val="Hyperlink"/>
          </w:rPr>
          <w:t>https://www.agora-energiewende.de/publikationen/die-energiewende-in-deutschland-stand-der-dinge-2024</w:t>
        </w:r>
      </w:hyperlink>
      <w:r>
        <w:t xml:space="preserve"> - Zugegriffen: 08.01.2025.  </w:t>
      </w:r>
    </w:p>
  </w:footnote>
  <w:footnote w:id="789">
    <w:p w14:paraId="518E129D" w14:textId="77777777" w:rsidR="00B74A76" w:rsidRDefault="00B74A76" w:rsidP="00B74A76">
      <w:pPr>
        <w:pStyle w:val="Funotentext"/>
      </w:pPr>
      <w:r>
        <w:rPr>
          <w:rStyle w:val="Funotenzeichen"/>
        </w:rPr>
        <w:footnoteRef/>
      </w:r>
      <w:r>
        <w:t xml:space="preserve"> Siehe S. 66: Agora. Die Energiewende in Deutschland: Stand der Dinge 2024, 07.01.2025. Siehe: </w:t>
      </w:r>
      <w:hyperlink r:id="rId605" w:history="1">
        <w:r w:rsidRPr="00E34DD2">
          <w:rPr>
            <w:rStyle w:val="Hyperlink"/>
          </w:rPr>
          <w:t>https://www.agora-energiewende.de/publikationen/die-energiewende-in-deutschland-stand-der-dinge-2024</w:t>
        </w:r>
      </w:hyperlink>
      <w:r>
        <w:t xml:space="preserve"> - Zugegriffen: 08.01.2025.  </w:t>
      </w:r>
    </w:p>
  </w:footnote>
  <w:footnote w:id="790">
    <w:p w14:paraId="526CF98F" w14:textId="77777777" w:rsidR="00B74A76" w:rsidRDefault="00B74A76" w:rsidP="00B74A76">
      <w:pPr>
        <w:pStyle w:val="Funotentext"/>
      </w:pPr>
      <w:r>
        <w:rPr>
          <w:rStyle w:val="Funotenzeichen"/>
        </w:rPr>
        <w:footnoteRef/>
      </w:r>
      <w:r>
        <w:t xml:space="preserve"> Siehe S. 66: Agora. Die Energiewende in Deutschland: Stand der Dinge 2024, 07.01.2025. Siehe: </w:t>
      </w:r>
      <w:hyperlink r:id="rId606" w:history="1">
        <w:r w:rsidRPr="00E34DD2">
          <w:rPr>
            <w:rStyle w:val="Hyperlink"/>
          </w:rPr>
          <w:t>https://www.agora-energiewende.de/publikationen/die-energiewende-in-deutschland-stand-der-dinge-2024</w:t>
        </w:r>
      </w:hyperlink>
      <w:r>
        <w:t xml:space="preserve"> - Zugegriffen: 08.01.2025.  </w:t>
      </w:r>
    </w:p>
  </w:footnote>
  <w:footnote w:id="791">
    <w:p w14:paraId="39AECBB3" w14:textId="77777777" w:rsidR="00B74A76" w:rsidRDefault="00B74A76" w:rsidP="00B74A76">
      <w:pPr>
        <w:pStyle w:val="Funotentext"/>
      </w:pPr>
      <w:r>
        <w:rPr>
          <w:rStyle w:val="Funotenzeichen"/>
        </w:rPr>
        <w:footnoteRef/>
      </w:r>
      <w:r>
        <w:t xml:space="preserve"> Bundesrechnungshof 2024: 41.</w:t>
      </w:r>
    </w:p>
  </w:footnote>
  <w:footnote w:id="792">
    <w:p w14:paraId="01C96953" w14:textId="77777777" w:rsidR="00B74A76" w:rsidRPr="00AC1DAB" w:rsidRDefault="00B74A76" w:rsidP="00B74A76">
      <w:pPr>
        <w:pStyle w:val="Funotentext"/>
      </w:pPr>
      <w:r>
        <w:rPr>
          <w:rStyle w:val="Funotenzeichen"/>
        </w:rPr>
        <w:footnoteRef/>
      </w:r>
      <w:r>
        <w:t xml:space="preserve"> FAZ. Habeck will Netzentgelte dämpfen. </w:t>
      </w:r>
      <w:r w:rsidRPr="00741BAE">
        <w:t xml:space="preserve">FAZ, 22.03.2024. </w:t>
      </w:r>
      <w:r w:rsidRPr="00AC1DAB">
        <w:t xml:space="preserve">In: </w:t>
      </w:r>
      <w:hyperlink r:id="rId607" w:history="1">
        <w:r w:rsidRPr="00AC1DAB">
          <w:rPr>
            <w:rStyle w:val="Hyperlink"/>
          </w:rPr>
          <w:t>https://www.faz.net/-gqe-bo5qt</w:t>
        </w:r>
      </w:hyperlink>
      <w:r w:rsidRPr="00AC1DAB">
        <w:t xml:space="preserve"> </w:t>
      </w:r>
      <w:r>
        <w:t>–</w:t>
      </w:r>
      <w:r w:rsidRPr="00AC1DAB">
        <w:t xml:space="preserve"> Z</w:t>
      </w:r>
      <w:r>
        <w:t xml:space="preserve">ugegriffen: 24.03.2024. </w:t>
      </w:r>
    </w:p>
  </w:footnote>
  <w:footnote w:id="793">
    <w:p w14:paraId="26DA39B8" w14:textId="77777777" w:rsidR="00B74A76" w:rsidRDefault="00B74A76" w:rsidP="00B74A76">
      <w:pPr>
        <w:pStyle w:val="Funotentext"/>
      </w:pPr>
      <w:r>
        <w:rPr>
          <w:rStyle w:val="Funotenzeichen"/>
        </w:rPr>
        <w:footnoteRef/>
      </w:r>
      <w:r>
        <w:t xml:space="preserve"> Christian Geinitz. Wer zahl die Milliarden für die Stromleitungen? FAZ, 12.04.2024.</w:t>
      </w:r>
    </w:p>
  </w:footnote>
  <w:footnote w:id="794">
    <w:p w14:paraId="1CE513E7" w14:textId="77777777" w:rsidR="00B74A76" w:rsidRDefault="00B74A76" w:rsidP="00B74A76">
      <w:pPr>
        <w:pStyle w:val="Funotentext"/>
      </w:pPr>
      <w:r>
        <w:rPr>
          <w:rStyle w:val="Funotenzeichen"/>
        </w:rPr>
        <w:footnoteRef/>
      </w:r>
      <w:r>
        <w:t xml:space="preserve"> Siehe die Übersicht in </w:t>
      </w:r>
      <w:r w:rsidRPr="001627C2">
        <w:t>Bundesnetzagentur Monitoringbericht 2023</w:t>
      </w:r>
      <w:r>
        <w:t xml:space="preserve">: 135. Siehe: </w:t>
      </w:r>
      <w:hyperlink r:id="rId608" w:history="1">
        <w:r w:rsidRPr="008708CC">
          <w:rPr>
            <w:rStyle w:val="Hyperlink"/>
          </w:rPr>
          <w:t>https://data.bundesnetzagentur.de/Bundesnetzagentur/SharedDocs/Mediathek/Monitoringberichte/MonitoringberichtEnergie2023.pdf</w:t>
        </w:r>
      </w:hyperlink>
      <w:r>
        <w:t xml:space="preserve"> - Zugegriffen: 20.05.2024.</w:t>
      </w:r>
    </w:p>
  </w:footnote>
  <w:footnote w:id="795">
    <w:p w14:paraId="1B39370C" w14:textId="77777777" w:rsidR="00B74A76" w:rsidRDefault="00B74A76" w:rsidP="00B74A76">
      <w:pPr>
        <w:pStyle w:val="Funotentext"/>
      </w:pPr>
      <w:r>
        <w:rPr>
          <w:rStyle w:val="Funotenzeichen"/>
        </w:rPr>
        <w:footnoteRef/>
      </w:r>
      <w:r>
        <w:t xml:space="preserve"> Bundesnetzagentur: ‚Netzengpassmanagement‘, mitsamt einer Vielzahl von Infos und Berichten: </w:t>
      </w:r>
      <w:hyperlink r:id="rId609" w:history="1">
        <w:r w:rsidRPr="008708CC">
          <w:rPr>
            <w:rStyle w:val="Hyperlink"/>
          </w:rPr>
          <w:t>https://www.bundesnetzagentur.de/DE/Fachthemen/ElektrizitaetundGas/Versorgungssicherheit/Netzengpassmanagement/start.html</w:t>
        </w:r>
      </w:hyperlink>
      <w:r>
        <w:t xml:space="preserve"> - Zugegriffen: 20.05.2024. </w:t>
      </w:r>
    </w:p>
  </w:footnote>
  <w:footnote w:id="796">
    <w:p w14:paraId="7E33EB1D" w14:textId="5565086E" w:rsidR="00A27E7C" w:rsidRDefault="00A27E7C">
      <w:pPr>
        <w:pStyle w:val="Funotentext"/>
      </w:pPr>
      <w:r>
        <w:rPr>
          <w:rStyle w:val="Funotenzeichen"/>
        </w:rPr>
        <w:footnoteRef/>
      </w:r>
      <w:r>
        <w:t xml:space="preserve"> Siehe: </w:t>
      </w:r>
      <w:hyperlink r:id="rId610" w:history="1">
        <w:r w:rsidRPr="00530E42">
          <w:rPr>
            <w:rStyle w:val="Hyperlink"/>
          </w:rPr>
          <w:t>https://www.energy-charts.info/charts/energy_redispatch/chart.htm?l=de&amp;c=DE</w:t>
        </w:r>
      </w:hyperlink>
      <w:r>
        <w:t xml:space="preserve"> – Zugegriffen: 22.04.2025. </w:t>
      </w:r>
    </w:p>
  </w:footnote>
  <w:footnote w:id="797">
    <w:p w14:paraId="23D27707" w14:textId="695E8059" w:rsidR="00A27E7C" w:rsidRDefault="00A27E7C">
      <w:pPr>
        <w:pStyle w:val="Funotentext"/>
      </w:pPr>
      <w:r>
        <w:rPr>
          <w:rStyle w:val="Funotenzeichen"/>
        </w:rPr>
        <w:footnoteRef/>
      </w:r>
      <w:r>
        <w:t xml:space="preserve"> Siehe: </w:t>
      </w:r>
      <w:hyperlink r:id="rId611" w:history="1">
        <w:r w:rsidRPr="00530E42">
          <w:rPr>
            <w:rStyle w:val="Hyperlink"/>
          </w:rPr>
          <w:t>https://www.energy-charts.info/charts/energy_redispatch/chart.htm?l=de&amp;c=DE&amp;redispatch=redispatch_energies_costs_overall</w:t>
        </w:r>
      </w:hyperlink>
      <w:r>
        <w:t xml:space="preserve"> – Zugegriffen: 22.04.2025. </w:t>
      </w:r>
    </w:p>
  </w:footnote>
  <w:footnote w:id="798">
    <w:p w14:paraId="70843D1F" w14:textId="77777777" w:rsidR="00192268" w:rsidRDefault="00192268" w:rsidP="00192268">
      <w:pPr>
        <w:pStyle w:val="Funotentext"/>
      </w:pPr>
      <w:r>
        <w:rPr>
          <w:rStyle w:val="Funotenzeichen"/>
        </w:rPr>
        <w:footnoteRef/>
      </w:r>
      <w:r>
        <w:t xml:space="preserve"> Siehe: </w:t>
      </w:r>
      <w:hyperlink r:id="rId612" w:history="1">
        <w:r w:rsidRPr="003516DB">
          <w:rPr>
            <w:rStyle w:val="Hyperlink"/>
          </w:rPr>
          <w:t>https://www.next-kraftwerke.de/wissen/netzfrequenz</w:t>
        </w:r>
      </w:hyperlink>
      <w:r>
        <w:t xml:space="preserve"> - Zugegriffen: 11.04.2025. </w:t>
      </w:r>
    </w:p>
  </w:footnote>
  <w:footnote w:id="799">
    <w:p w14:paraId="756F1A51" w14:textId="65C6F275" w:rsidR="00BA3F74" w:rsidRDefault="00BA3F74">
      <w:pPr>
        <w:pStyle w:val="Funotentext"/>
      </w:pPr>
      <w:r>
        <w:rPr>
          <w:rStyle w:val="Funotenzeichen"/>
        </w:rPr>
        <w:footnoteRef/>
      </w:r>
      <w:r>
        <w:t xml:space="preserve"> Siehe </w:t>
      </w:r>
      <w:proofErr w:type="gramStart"/>
      <w:r>
        <w:t>EnBW</w:t>
      </w:r>
      <w:r w:rsidR="00150496">
        <w:t xml:space="preserve"> Webseite</w:t>
      </w:r>
      <w:proofErr w:type="gramEnd"/>
      <w:r w:rsidR="00150496">
        <w:t xml:space="preserve">: </w:t>
      </w:r>
      <w:hyperlink r:id="rId613" w:history="1">
        <w:r w:rsidR="00150496" w:rsidRPr="005F0F5C">
          <w:rPr>
            <w:rStyle w:val="Hyperlink"/>
          </w:rPr>
          <w:t>https://www.interconnector.de/energieblog/redispatch-2-0-was-anlagenbetreiber-jetzt-wissen-muessen/</w:t>
        </w:r>
      </w:hyperlink>
      <w:r w:rsidR="00150496">
        <w:t xml:space="preserve"> - Zugegriffen: 28.05.2025. </w:t>
      </w:r>
    </w:p>
  </w:footnote>
  <w:footnote w:id="800">
    <w:p w14:paraId="394F0F99" w14:textId="77777777" w:rsidR="00B74A76" w:rsidRDefault="00B74A76" w:rsidP="00B74A76">
      <w:pPr>
        <w:pStyle w:val="Funotentext"/>
      </w:pPr>
      <w:r>
        <w:rPr>
          <w:rStyle w:val="Funotenzeichen"/>
        </w:rPr>
        <w:footnoteRef/>
      </w:r>
      <w:r>
        <w:t xml:space="preserve"> </w:t>
      </w:r>
      <w:r w:rsidRPr="00784A6D">
        <w:t xml:space="preserve">Quartalsbericht Netzengpassmanagement 04/2024, </w:t>
      </w:r>
      <w:r>
        <w:t>S. 13.</w:t>
      </w:r>
    </w:p>
  </w:footnote>
  <w:footnote w:id="801">
    <w:p w14:paraId="7D018EB0" w14:textId="77777777" w:rsidR="00B74A76" w:rsidRDefault="00B74A76" w:rsidP="00B74A76">
      <w:pPr>
        <w:pStyle w:val="Funotentext"/>
      </w:pPr>
      <w:r>
        <w:rPr>
          <w:rStyle w:val="Funotenzeichen"/>
        </w:rPr>
        <w:footnoteRef/>
      </w:r>
      <w:r>
        <w:t xml:space="preserve"> Quartalsbericht Netzengpassmanagement 04/2024, S. 15. Siehe: </w:t>
      </w:r>
      <w:hyperlink r:id="rId614" w:history="1">
        <w:r w:rsidRPr="008708CC">
          <w:rPr>
            <w:rStyle w:val="Hyperlink"/>
          </w:rPr>
          <w:t>https://www.bundesnetzagentur.de/SharedDocs/Downloads/DE/Sachgebiete/Energie/Unternehmen_Institutionen/Versorgungssicherheit/Engpassmanagement/QuartalszahlenQ4_2023.pdf?__blob=publicationFile&amp;v=2</w:t>
        </w:r>
      </w:hyperlink>
      <w:r>
        <w:t xml:space="preserve"> – Zugegriffen: 20.05.2024. </w:t>
      </w:r>
    </w:p>
  </w:footnote>
  <w:footnote w:id="802">
    <w:p w14:paraId="52D908CD" w14:textId="55B05911" w:rsidR="00AD1F72" w:rsidRDefault="00AD1F72" w:rsidP="00D70AD7">
      <w:pPr>
        <w:pStyle w:val="Funotentext"/>
      </w:pPr>
      <w:r>
        <w:rPr>
          <w:rStyle w:val="Funotenzeichen"/>
        </w:rPr>
        <w:footnoteRef/>
      </w:r>
      <w:r>
        <w:t xml:space="preserve"> „</w:t>
      </w:r>
      <w:r w:rsidRPr="00AD1F72">
        <w:t>Ist der Strompreis an der Börse beispielsweise moderat hoch, erzeugen Kraftwerke und Windparks im Norden Deutschlands viel Strom, obwohl er nicht in die Verbrauchszentren des Südens abtransportiert werden kann. Gleichzeitig stehen Gaskraftwerke in Bayern still, sodass die lokale Stromnachfrage nicht gedeckt werden kann.</w:t>
      </w:r>
      <w:r>
        <w:t xml:space="preserve">“ </w:t>
      </w:r>
      <w:r w:rsidR="00D70AD7">
        <w:t xml:space="preserve">Zwölf Energieökonomen. Der deutsche Strommarkt braucht lokale Preise. </w:t>
      </w:r>
      <w:r>
        <w:t xml:space="preserve">FAZ, 10.07.2024. Siehe auch Lion Hirth in Geladen Batteriepodcast, 02.02.2025: </w:t>
      </w:r>
      <w:hyperlink r:id="rId615" w:history="1">
        <w:r w:rsidRPr="008C226F">
          <w:rPr>
            <w:rStyle w:val="Hyperlink"/>
          </w:rPr>
          <w:t>https://www.youtube.com/watch?v=XywqozHsqno&amp;t=714s</w:t>
        </w:r>
      </w:hyperlink>
      <w:r>
        <w:t xml:space="preserve"> – Zugegriffen: 05.02.2025.  </w:t>
      </w:r>
    </w:p>
  </w:footnote>
  <w:footnote w:id="803">
    <w:p w14:paraId="13A405D6" w14:textId="7A317537" w:rsidR="00D70AD7" w:rsidRDefault="00D70AD7">
      <w:pPr>
        <w:pStyle w:val="Funotentext"/>
      </w:pPr>
      <w:r>
        <w:rPr>
          <w:rStyle w:val="Funotenzeichen"/>
        </w:rPr>
        <w:footnoteRef/>
      </w:r>
      <w:r>
        <w:t xml:space="preserve"> </w:t>
      </w:r>
      <w:r w:rsidRPr="00D70AD7">
        <w:t xml:space="preserve">Siehe auch Lion Hirth in Geladen Batteriepodcast, 02.02.2025: </w:t>
      </w:r>
      <w:hyperlink r:id="rId616" w:history="1">
        <w:r w:rsidRPr="00D70AD7">
          <w:rPr>
            <w:rStyle w:val="Hyperlink"/>
          </w:rPr>
          <w:t>https://www.youtube.com/watch?v=XywqozHsqno&amp;t=714s</w:t>
        </w:r>
      </w:hyperlink>
      <w:r w:rsidRPr="00D70AD7">
        <w:t xml:space="preserve"> – Zugegriffen: 05.02.2025.  </w:t>
      </w:r>
    </w:p>
  </w:footnote>
  <w:footnote w:id="804">
    <w:p w14:paraId="12132D08" w14:textId="53AF1276" w:rsidR="001A4896" w:rsidRDefault="001A4896">
      <w:pPr>
        <w:pStyle w:val="Funotentext"/>
      </w:pPr>
      <w:r>
        <w:rPr>
          <w:rStyle w:val="Funotenzeichen"/>
        </w:rPr>
        <w:footnoteRef/>
      </w:r>
      <w:r>
        <w:t xml:space="preserve"> Siehe: </w:t>
      </w:r>
      <w:hyperlink r:id="rId617" w:history="1">
        <w:r w:rsidRPr="00366B8A">
          <w:rPr>
            <w:rStyle w:val="Hyperlink"/>
          </w:rPr>
          <w:t>https://www.metropolregionnuernberg.de/</w:t>
        </w:r>
      </w:hyperlink>
      <w:r>
        <w:t xml:space="preserve"> - Zugegriffen: 08.06.2025. </w:t>
      </w:r>
    </w:p>
  </w:footnote>
  <w:footnote w:id="805">
    <w:p w14:paraId="00BEBDAB" w14:textId="41B6433A" w:rsidR="002733AB" w:rsidRDefault="002733AB">
      <w:pPr>
        <w:pStyle w:val="Funotentext"/>
      </w:pPr>
      <w:r>
        <w:rPr>
          <w:rStyle w:val="Funotenzeichen"/>
        </w:rPr>
        <w:footnoteRef/>
      </w:r>
      <w:r>
        <w:t xml:space="preserve"> Geladen Batteriepodcast, </w:t>
      </w:r>
      <w:r w:rsidR="00EE3DE5">
        <w:t xml:space="preserve">12.10.2025, siehe: </w:t>
      </w:r>
      <w:hyperlink r:id="rId618" w:history="1">
        <w:r w:rsidR="00EE3DE5" w:rsidRPr="001900C7">
          <w:rPr>
            <w:rStyle w:val="Hyperlink"/>
          </w:rPr>
          <w:t>https://www.youtube.com/watch?v=vaerIpR1K48</w:t>
        </w:r>
      </w:hyperlink>
      <w:r w:rsidR="00EE3DE5">
        <w:t xml:space="preserve"> – Zugegriffen: 17.10.2025. </w:t>
      </w:r>
    </w:p>
  </w:footnote>
  <w:footnote w:id="806">
    <w:p w14:paraId="0E3B9A00" w14:textId="77777777" w:rsidR="00B74A76" w:rsidRDefault="00B74A76" w:rsidP="00B74A76">
      <w:pPr>
        <w:pStyle w:val="Funotentext"/>
      </w:pPr>
      <w:r>
        <w:rPr>
          <w:rStyle w:val="Funotenzeichen"/>
        </w:rPr>
        <w:footnoteRef/>
      </w:r>
      <w:r>
        <w:t xml:space="preserve"> Bericht. </w:t>
      </w:r>
      <w:proofErr w:type="spellStart"/>
      <w:r>
        <w:t>Netzanpassmanagement</w:t>
      </w:r>
      <w:proofErr w:type="spellEnd"/>
      <w:r>
        <w:t xml:space="preserve"> Gesamtjahr 2022: 3-5.</w:t>
      </w:r>
    </w:p>
  </w:footnote>
  <w:footnote w:id="807">
    <w:p w14:paraId="1F8FB763" w14:textId="77777777" w:rsidR="00B74A76" w:rsidRDefault="00B74A76" w:rsidP="00B74A76">
      <w:pPr>
        <w:pStyle w:val="Funotentext"/>
      </w:pPr>
      <w:r>
        <w:rPr>
          <w:rStyle w:val="Funotenzeichen"/>
        </w:rPr>
        <w:footnoteRef/>
      </w:r>
      <w:r>
        <w:t xml:space="preserve"> Hanna Decker. Kein Kohleausstieg ohne Gaseinstieg. FAZ, 11.04.2024. </w:t>
      </w:r>
    </w:p>
  </w:footnote>
  <w:footnote w:id="808">
    <w:p w14:paraId="677B0C15" w14:textId="77777777" w:rsidR="00B74A76" w:rsidRDefault="00B74A76" w:rsidP="00B74A76">
      <w:pPr>
        <w:pStyle w:val="Funotentext"/>
      </w:pPr>
      <w:r>
        <w:rPr>
          <w:rStyle w:val="Funotenzeichen"/>
        </w:rPr>
        <w:footnoteRef/>
      </w:r>
      <w:r>
        <w:t xml:space="preserve"> Hanna Decker. Kein Kohleausstieg ohne Gaseinstieg. FAZ, 11.04.2024. </w:t>
      </w:r>
    </w:p>
  </w:footnote>
  <w:footnote w:id="809">
    <w:p w14:paraId="60AD6EFD" w14:textId="7DEEF18B" w:rsidR="005478A8" w:rsidRDefault="005478A8">
      <w:pPr>
        <w:pStyle w:val="Funotentext"/>
      </w:pPr>
      <w:r>
        <w:rPr>
          <w:rStyle w:val="Funotenzeichen"/>
        </w:rPr>
        <w:footnoteRef/>
      </w:r>
      <w:r>
        <w:t xml:space="preserve"> BMWK Roadmap Systemstabilität 2023: 17. </w:t>
      </w:r>
    </w:p>
  </w:footnote>
  <w:footnote w:id="810">
    <w:p w14:paraId="27266468" w14:textId="681CABEE" w:rsidR="005478A8" w:rsidRDefault="005478A8">
      <w:pPr>
        <w:pStyle w:val="Funotentext"/>
      </w:pPr>
      <w:r>
        <w:rPr>
          <w:rStyle w:val="Funotenzeichen"/>
        </w:rPr>
        <w:footnoteRef/>
      </w:r>
      <w:r>
        <w:t xml:space="preserve"> Siehe: </w:t>
      </w:r>
      <w:hyperlink r:id="rId619" w:history="1">
        <w:r w:rsidRPr="00E2084F">
          <w:rPr>
            <w:rStyle w:val="Hyperlink"/>
          </w:rPr>
          <w:t>https://www.bmwk.de/Redaktion/DE/Dossier/roadmap-systemstabilitaet.html</w:t>
        </w:r>
      </w:hyperlink>
      <w:r>
        <w:t xml:space="preserve"> - Zugegriffen: 02.06.2025. </w:t>
      </w:r>
    </w:p>
  </w:footnote>
  <w:footnote w:id="811">
    <w:p w14:paraId="768B6787" w14:textId="77777777" w:rsidR="00B74A76" w:rsidRDefault="00B74A76" w:rsidP="00B74A76">
      <w:pPr>
        <w:pStyle w:val="Funotentext"/>
      </w:pPr>
      <w:r>
        <w:rPr>
          <w:rStyle w:val="Funotenzeichen"/>
        </w:rPr>
        <w:footnoteRef/>
      </w:r>
      <w:r>
        <w:t xml:space="preserve"> Bundesverband Erneuerbarer Energien, </w:t>
      </w:r>
      <w:proofErr w:type="spellStart"/>
      <w:r>
        <w:t>Youtube</w:t>
      </w:r>
      <w:proofErr w:type="spellEnd"/>
      <w:r>
        <w:t xml:space="preserve">, 20.01.2025: </w:t>
      </w:r>
      <w:hyperlink r:id="rId620" w:history="1">
        <w:r w:rsidRPr="008C2B53">
          <w:rPr>
            <w:rStyle w:val="Hyperlink"/>
          </w:rPr>
          <w:t>https://www.youtube.com/watch?v=ft213bIC8L4</w:t>
        </w:r>
      </w:hyperlink>
      <w:r>
        <w:t xml:space="preserve"> – Zugegriffen: 01.02.2025. </w:t>
      </w:r>
    </w:p>
  </w:footnote>
  <w:footnote w:id="812">
    <w:p w14:paraId="11788DDA" w14:textId="4D0CC303" w:rsidR="00150496" w:rsidRDefault="00150496">
      <w:pPr>
        <w:pStyle w:val="Funotentext"/>
      </w:pPr>
      <w:r>
        <w:rPr>
          <w:rStyle w:val="Funotenzeichen"/>
        </w:rPr>
        <w:footnoteRef/>
      </w:r>
      <w:r>
        <w:t xml:space="preserve"> Siehe: </w:t>
      </w:r>
      <w:hyperlink r:id="rId621" w:history="1">
        <w:r w:rsidR="000E5939" w:rsidRPr="005F0F5C">
          <w:rPr>
            <w:rStyle w:val="Hyperlink"/>
          </w:rPr>
          <w:t>https://www.interconnector.de/energieblog/redispatch-2-0-was-anlagenbetreiber-jetzt-wissen-muessen/</w:t>
        </w:r>
      </w:hyperlink>
      <w:r w:rsidR="000E5939">
        <w:t xml:space="preserve"> - Zugegriffen: 28.05.2025. </w:t>
      </w:r>
    </w:p>
  </w:footnote>
  <w:footnote w:id="813">
    <w:p w14:paraId="4B42FA94" w14:textId="19D57E2E" w:rsidR="000E5939" w:rsidRDefault="000E5939">
      <w:pPr>
        <w:pStyle w:val="Funotentext"/>
      </w:pPr>
      <w:r>
        <w:rPr>
          <w:rStyle w:val="Funotenzeichen"/>
        </w:rPr>
        <w:footnoteRef/>
      </w:r>
      <w:r>
        <w:t xml:space="preserve"> </w:t>
      </w:r>
      <w:r w:rsidR="00AD3740">
        <w:t xml:space="preserve">Siehe: </w:t>
      </w:r>
      <w:hyperlink r:id="rId622" w:history="1">
        <w:r w:rsidR="00AD3740" w:rsidRPr="005F0F5C">
          <w:rPr>
            <w:rStyle w:val="Hyperlink"/>
          </w:rPr>
          <w:t>https://www.interconnector.de/</w:t>
        </w:r>
      </w:hyperlink>
      <w:r w:rsidR="00AD3740">
        <w:t xml:space="preserve">, siehe auch das </w:t>
      </w:r>
      <w:proofErr w:type="spellStart"/>
      <w:r w:rsidR="00AD3740">
        <w:t>Youtube</w:t>
      </w:r>
      <w:proofErr w:type="spellEnd"/>
      <w:r w:rsidR="00AD3740">
        <w:t xml:space="preserve"> Video: </w:t>
      </w:r>
      <w:hyperlink r:id="rId623" w:history="1">
        <w:r w:rsidR="00AD3740" w:rsidRPr="005F0F5C">
          <w:rPr>
            <w:rStyle w:val="Hyperlink"/>
          </w:rPr>
          <w:t>https://www.youtube.com/watch?v=2isal2dq1kM&amp;t=1s</w:t>
        </w:r>
      </w:hyperlink>
      <w:r w:rsidR="00AD3740">
        <w:t xml:space="preserve"> – Zugegriffen: 28.05.2025. </w:t>
      </w:r>
    </w:p>
  </w:footnote>
  <w:footnote w:id="814">
    <w:p w14:paraId="0EDBF584" w14:textId="77777777" w:rsidR="00787F06" w:rsidRDefault="00787F06" w:rsidP="00787F06">
      <w:pPr>
        <w:pStyle w:val="Funotentext"/>
      </w:pPr>
      <w:r>
        <w:rPr>
          <w:rStyle w:val="Funotenzeichen"/>
        </w:rPr>
        <w:footnoteRef/>
      </w:r>
      <w:r>
        <w:t xml:space="preserve"> Christian Geinitz. Wer zahl die Milliarden für die Stromleitungen? FAZ, 12.04.2024.</w:t>
      </w:r>
    </w:p>
  </w:footnote>
  <w:footnote w:id="815">
    <w:p w14:paraId="7011772D" w14:textId="73906621" w:rsidR="00F046E9" w:rsidRDefault="00F046E9">
      <w:pPr>
        <w:pStyle w:val="Funotentext"/>
      </w:pPr>
      <w:r>
        <w:rPr>
          <w:rStyle w:val="Funotenzeichen"/>
        </w:rPr>
        <w:footnoteRef/>
      </w:r>
      <w:r>
        <w:t xml:space="preserve"> Siehe: </w:t>
      </w:r>
      <w:hyperlink r:id="rId624" w:history="1">
        <w:r w:rsidRPr="00C627DD">
          <w:rPr>
            <w:rStyle w:val="Hyperlink"/>
          </w:rPr>
          <w:t>https://www.schleswig-holstein.de/DE/landesregierung/ministerien-behoerden/V/Presse/PI/2025/05/250507_Netzengpassbericht2024</w:t>
        </w:r>
      </w:hyperlink>
      <w:r>
        <w:t xml:space="preserve"> - Zugegriffen: 17.06.2025. </w:t>
      </w:r>
    </w:p>
  </w:footnote>
  <w:footnote w:id="816">
    <w:p w14:paraId="4BADB0AA" w14:textId="77777777" w:rsidR="00787F06" w:rsidRDefault="00787F06" w:rsidP="00787F06">
      <w:pPr>
        <w:pStyle w:val="Funotentext"/>
      </w:pPr>
      <w:r>
        <w:rPr>
          <w:rStyle w:val="Funotenzeichen"/>
        </w:rPr>
        <w:footnoteRef/>
      </w:r>
      <w:r>
        <w:t xml:space="preserve"> Bundesnetzagentur: ‚Netzengpassmanagement‘: </w:t>
      </w:r>
      <w:hyperlink r:id="rId625" w:history="1">
        <w:r w:rsidRPr="008708CC">
          <w:rPr>
            <w:rStyle w:val="Hyperlink"/>
          </w:rPr>
          <w:t>https://www.bundesnetzagentur.de/DE/Fachthemen/ElektrizitaetundGas/Versorgungssicherheit/Netzengpassmanagement/start.html</w:t>
        </w:r>
      </w:hyperlink>
      <w:r>
        <w:t xml:space="preserve"> - Zugegriffen: 20.05.2024. </w:t>
      </w:r>
    </w:p>
  </w:footnote>
  <w:footnote w:id="817">
    <w:p w14:paraId="5D0FA771" w14:textId="77777777" w:rsidR="00B74A76" w:rsidRDefault="00B74A76" w:rsidP="00B74A76">
      <w:pPr>
        <w:pStyle w:val="Funotentext"/>
      </w:pPr>
      <w:r>
        <w:rPr>
          <w:rStyle w:val="Funotenzeichen"/>
        </w:rPr>
        <w:footnoteRef/>
      </w:r>
      <w:r>
        <w:t xml:space="preserve"> Hanna Decker. Kein Kohleausstieg ohne Gaseinstieg. FAZ, 11.04.2024. </w:t>
      </w:r>
    </w:p>
  </w:footnote>
  <w:footnote w:id="818">
    <w:p w14:paraId="7E551FF6" w14:textId="77777777" w:rsidR="00B74A76" w:rsidRDefault="00B74A76" w:rsidP="00B74A76">
      <w:pPr>
        <w:pStyle w:val="Funotentext"/>
      </w:pPr>
      <w:r>
        <w:rPr>
          <w:rStyle w:val="Funotenzeichen"/>
        </w:rPr>
        <w:footnoteRef/>
      </w:r>
      <w:r>
        <w:t xml:space="preserve"> FAZ. Deutsch-niederländischer Strom-Deal auf den letzten Metern. FAZ, Unternehmen, 12.03.2024.</w:t>
      </w:r>
    </w:p>
  </w:footnote>
  <w:footnote w:id="819">
    <w:p w14:paraId="22B8273D" w14:textId="77777777" w:rsidR="00B74A76" w:rsidRPr="00D27ADE" w:rsidRDefault="00B74A76" w:rsidP="00B74A76">
      <w:pPr>
        <w:pStyle w:val="Funotentext"/>
      </w:pPr>
      <w:r>
        <w:rPr>
          <w:rStyle w:val="Funotenzeichen"/>
        </w:rPr>
        <w:footnoteRef/>
      </w:r>
      <w:r w:rsidRPr="00D27ADE">
        <w:t xml:space="preserve"> FAZ. Tennet-Verkauf an </w:t>
      </w:r>
      <w:r>
        <w:t>KfW könnte platzen. FAZ, 16.05.2024.</w:t>
      </w:r>
    </w:p>
  </w:footnote>
  <w:footnote w:id="820">
    <w:p w14:paraId="0DC62734" w14:textId="77777777" w:rsidR="00B74A76" w:rsidRDefault="00B74A76" w:rsidP="00B74A76">
      <w:pPr>
        <w:pStyle w:val="Funotentext"/>
      </w:pPr>
      <w:r>
        <w:rPr>
          <w:rStyle w:val="Funotenzeichen"/>
        </w:rPr>
        <w:footnoteRef/>
      </w:r>
      <w:r>
        <w:t xml:space="preserve"> FAZ. Bund kann sich Stromnetz nicht leisten. FAZ, 21.06.2024. </w:t>
      </w:r>
    </w:p>
  </w:footnote>
  <w:footnote w:id="821">
    <w:p w14:paraId="05DAB9C8" w14:textId="77777777" w:rsidR="00B74A76" w:rsidRPr="00BA1E0B" w:rsidRDefault="00B74A76" w:rsidP="00B74A76">
      <w:pPr>
        <w:pStyle w:val="Funotentext"/>
      </w:pPr>
      <w:r>
        <w:rPr>
          <w:rStyle w:val="Funotenzeichen"/>
        </w:rPr>
        <w:footnoteRef/>
      </w:r>
      <w:r w:rsidRPr="00BA1E0B">
        <w:t xml:space="preserve"> Klaus Max Smolka, Manfred Sch</w:t>
      </w:r>
      <w:r>
        <w:t xml:space="preserve">äfers. Verkauf des deutschen Tennet-Netzes gescheitert. FAZ, 21.06.2024. </w:t>
      </w:r>
    </w:p>
  </w:footnote>
  <w:footnote w:id="822">
    <w:p w14:paraId="3315D080" w14:textId="77777777" w:rsidR="00B74A76" w:rsidRDefault="00B74A76" w:rsidP="00B74A76">
      <w:pPr>
        <w:pStyle w:val="Funotentext"/>
      </w:pPr>
      <w:r>
        <w:rPr>
          <w:rStyle w:val="Funotenzeichen"/>
        </w:rPr>
        <w:footnoteRef/>
      </w:r>
      <w:r>
        <w:t xml:space="preserve"> Staatskredit für Tennet, FAZ, 18.09.2024. </w:t>
      </w:r>
    </w:p>
  </w:footnote>
  <w:footnote w:id="823">
    <w:p w14:paraId="66EC83BB" w14:textId="77777777" w:rsidR="00B74A76" w:rsidRPr="00E419CF" w:rsidRDefault="00B74A76" w:rsidP="00B74A76">
      <w:pPr>
        <w:pStyle w:val="Funotentext"/>
      </w:pPr>
      <w:r>
        <w:rPr>
          <w:rStyle w:val="Funotenzeichen"/>
        </w:rPr>
        <w:footnoteRef/>
      </w:r>
      <w:r w:rsidRPr="00E419CF">
        <w:t xml:space="preserve"> Klaus Max Smolka. Tennet setz</w:t>
      </w:r>
      <w:r>
        <w:t xml:space="preserve">t Plan B in Gang. FAZ, 16.10.2024. </w:t>
      </w:r>
    </w:p>
  </w:footnote>
  <w:footnote w:id="824">
    <w:p w14:paraId="1A8696D8" w14:textId="77777777" w:rsidR="00B74A76" w:rsidRDefault="00B74A76" w:rsidP="00B74A76">
      <w:pPr>
        <w:pStyle w:val="Funotentext"/>
      </w:pPr>
      <w:r>
        <w:rPr>
          <w:rStyle w:val="Funotenzeichen"/>
        </w:rPr>
        <w:footnoteRef/>
      </w:r>
      <w:r w:rsidRPr="00403F32">
        <w:t xml:space="preserve"> Jonas Jansen. </w:t>
      </w:r>
      <w:r>
        <w:t xml:space="preserve">Milliarden für die Stromnetze. FAZ, Unternehmen, 14.03.2024. Jonas Jansen. Teure Energiewende. FAZ, Unternehmen, 14.03.2024. </w:t>
      </w:r>
    </w:p>
  </w:footnote>
  <w:footnote w:id="825">
    <w:p w14:paraId="3855A440" w14:textId="77777777" w:rsidR="00B74A76" w:rsidRDefault="00B74A76" w:rsidP="00B74A76">
      <w:pPr>
        <w:pStyle w:val="Funotentext"/>
      </w:pPr>
      <w:r>
        <w:rPr>
          <w:rStyle w:val="Funotenzeichen"/>
        </w:rPr>
        <w:footnoteRef/>
      </w:r>
      <w:r>
        <w:t xml:space="preserve"> Hanna Decker. Kein Kohleausstieg ohne Gaseinstieg. FAZ, 11.04.2024. </w:t>
      </w:r>
    </w:p>
  </w:footnote>
  <w:footnote w:id="826">
    <w:p w14:paraId="3E320851" w14:textId="0B377164" w:rsidR="003C0380" w:rsidRDefault="003C0380">
      <w:pPr>
        <w:pStyle w:val="Funotentext"/>
      </w:pPr>
      <w:r>
        <w:rPr>
          <w:rStyle w:val="Funotenzeichen"/>
        </w:rPr>
        <w:footnoteRef/>
      </w:r>
      <w:r>
        <w:t xml:space="preserve"> Bernd Freytag. EnBW bittet das Land zur Kasse. FAZ, 27.03.2025.</w:t>
      </w:r>
    </w:p>
  </w:footnote>
  <w:footnote w:id="827">
    <w:p w14:paraId="56BEE49D" w14:textId="02554BD1" w:rsidR="000D3C43" w:rsidRDefault="000D3C43">
      <w:pPr>
        <w:pStyle w:val="Funotentext"/>
      </w:pPr>
      <w:r>
        <w:rPr>
          <w:rStyle w:val="Funotenzeichen"/>
        </w:rPr>
        <w:footnoteRef/>
      </w:r>
      <w:r>
        <w:t xml:space="preserve"> </w:t>
      </w:r>
      <w:r w:rsidR="00EB3485">
        <w:t xml:space="preserve">Siehe Update der Nationalen Wasserstoffstrategie: Turbo für die H2-Wirtschaft, 26.07.2023, siehe: </w:t>
      </w:r>
      <w:hyperlink r:id="rId626" w:history="1">
        <w:r w:rsidR="00EB3485" w:rsidRPr="00CF4D77">
          <w:rPr>
            <w:rStyle w:val="Hyperlink"/>
          </w:rPr>
          <w:t>https://www.bmbf.de/bmbf/de/forschung/energiewende-und-nachhaltiges-wirtschaften/nationale-wasserstoffstrategie/nationale-wasserstoffstrategie_node.html</w:t>
        </w:r>
      </w:hyperlink>
      <w:r w:rsidR="00EB3485">
        <w:t xml:space="preserve"> - Zugegriffen: 15.08.2024. Dort befindet sich auch die Datei: Fortschreibung der Nationalen Wasserstoffstrategie. </w:t>
      </w:r>
    </w:p>
  </w:footnote>
  <w:footnote w:id="828">
    <w:p w14:paraId="172CC4DA" w14:textId="05FF74AB" w:rsidR="00EB3485" w:rsidRDefault="00EB3485">
      <w:pPr>
        <w:pStyle w:val="Funotentext"/>
      </w:pPr>
      <w:r>
        <w:rPr>
          <w:rStyle w:val="Funotenzeichen"/>
        </w:rPr>
        <w:footnoteRef/>
      </w:r>
      <w:r>
        <w:t xml:space="preserve"> Siehe Fußnote zuvor, ebd., Fortschreibung der Nationalen Wasserstoffstrategie, NWS 2023, S. 3-4.</w:t>
      </w:r>
    </w:p>
  </w:footnote>
  <w:footnote w:id="829">
    <w:p w14:paraId="7DF1E0ED" w14:textId="77777777" w:rsidR="00943232" w:rsidRDefault="00943232" w:rsidP="00943232">
      <w:pPr>
        <w:pStyle w:val="Funotentext"/>
      </w:pPr>
      <w:r>
        <w:rPr>
          <w:rStyle w:val="Funotenzeichen"/>
        </w:rPr>
        <w:footnoteRef/>
      </w:r>
      <w:r>
        <w:t xml:space="preserve"> Siehe die Webseite Wasserstoffrat: </w:t>
      </w:r>
      <w:hyperlink r:id="rId627" w:history="1">
        <w:r w:rsidRPr="00806D66">
          <w:rPr>
            <w:rStyle w:val="Hyperlink"/>
          </w:rPr>
          <w:t>https://www.wasserstoffrat.de/</w:t>
        </w:r>
      </w:hyperlink>
    </w:p>
  </w:footnote>
  <w:footnote w:id="830">
    <w:p w14:paraId="434EDA42" w14:textId="77777777" w:rsidR="00943232" w:rsidRDefault="00943232" w:rsidP="00943232">
      <w:pPr>
        <w:pStyle w:val="Funotentext"/>
      </w:pPr>
      <w:r>
        <w:rPr>
          <w:rStyle w:val="Funotenzeichen"/>
        </w:rPr>
        <w:footnoteRef/>
      </w:r>
      <w:r>
        <w:t xml:space="preserve"> Siehe die </w:t>
      </w:r>
      <w:proofErr w:type="gramStart"/>
      <w:r>
        <w:t>BMWK Infoseite</w:t>
      </w:r>
      <w:proofErr w:type="gramEnd"/>
      <w:r>
        <w:t xml:space="preserve"> zur Nationalen Wasserstoffstrategie: </w:t>
      </w:r>
      <w:hyperlink r:id="rId628" w:history="1">
        <w:r w:rsidRPr="0039637B">
          <w:rPr>
            <w:rStyle w:val="Hyperlink"/>
          </w:rPr>
          <w:t>https://www.bmwk.de/Redaktion/DE/Wasserstoff/home.html</w:t>
        </w:r>
      </w:hyperlink>
      <w:r>
        <w:t xml:space="preserve"> - Zugegriffen: 26.11.2023. Siehe Fortschreibung der Nationalen Wasserstoffstrategie NWS 2023: 2-4. Siehe: </w:t>
      </w:r>
      <w:hyperlink r:id="rId629" w:history="1">
        <w:r w:rsidRPr="00FF3D28">
          <w:rPr>
            <w:rStyle w:val="Hyperlink"/>
          </w:rPr>
          <w:t>https://www.bmbf.de/SharedDocs/Downloads/de/2023/230726-fortschreibung-nws.pdf?__blob=publicationFile&amp;v=1</w:t>
        </w:r>
      </w:hyperlink>
      <w:r>
        <w:t xml:space="preserve"> – Zugegriffen: 26.11.2023.</w:t>
      </w:r>
    </w:p>
  </w:footnote>
  <w:footnote w:id="831">
    <w:p w14:paraId="159B8197" w14:textId="601C55AE" w:rsidR="00943232" w:rsidRPr="00943232" w:rsidRDefault="00943232">
      <w:pPr>
        <w:pStyle w:val="Funotentext"/>
      </w:pPr>
      <w:r>
        <w:rPr>
          <w:rStyle w:val="Funotenzeichen"/>
        </w:rPr>
        <w:footnoteRef/>
      </w:r>
      <w:r w:rsidRPr="00943232">
        <w:t xml:space="preserve"> </w:t>
      </w:r>
      <w:proofErr w:type="spellStart"/>
      <w:r w:rsidRPr="00943232">
        <w:t>One</w:t>
      </w:r>
      <w:proofErr w:type="spellEnd"/>
      <w:r w:rsidRPr="00943232">
        <w:t xml:space="preserve">-Stop-Shop-Wasserstoff, Bundesregierung: </w:t>
      </w:r>
      <w:hyperlink r:id="rId630" w:history="1">
        <w:r w:rsidRPr="00943232">
          <w:rPr>
            <w:rStyle w:val="Hyperlink"/>
          </w:rPr>
          <w:t>https://www.bmwk.de/Redaktion/DE/Wasserstoff/home.html</w:t>
        </w:r>
      </w:hyperlink>
    </w:p>
  </w:footnote>
  <w:footnote w:id="832">
    <w:p w14:paraId="781E24A4" w14:textId="2AC82DAA" w:rsidR="005940F2" w:rsidRDefault="005940F2">
      <w:pPr>
        <w:pStyle w:val="Funotentext"/>
      </w:pPr>
      <w:r>
        <w:rPr>
          <w:rStyle w:val="Funotenzeichen"/>
        </w:rPr>
        <w:footnoteRef/>
      </w:r>
      <w:r>
        <w:t xml:space="preserve"> Wasserstoff Kompass: </w:t>
      </w:r>
      <w:hyperlink r:id="rId631" w:history="1">
        <w:r w:rsidRPr="005940F2">
          <w:rPr>
            <w:rStyle w:val="Hyperlink"/>
          </w:rPr>
          <w:t>https://www.wasserstoff-kompass.de/</w:t>
        </w:r>
      </w:hyperlink>
    </w:p>
  </w:footnote>
  <w:footnote w:id="833">
    <w:p w14:paraId="40A35673" w14:textId="2D6B9827" w:rsidR="005940F2" w:rsidRDefault="005940F2">
      <w:pPr>
        <w:pStyle w:val="Funotentext"/>
      </w:pPr>
      <w:r>
        <w:rPr>
          <w:rStyle w:val="Funotenzeichen"/>
        </w:rPr>
        <w:footnoteRef/>
      </w:r>
      <w:r>
        <w:t xml:space="preserve"> Wasserstoff Kompass, Elektrolyse Monitor: </w:t>
      </w:r>
      <w:hyperlink r:id="rId632" w:history="1">
        <w:r w:rsidRPr="005940F2">
          <w:rPr>
            <w:rStyle w:val="Hyperlink"/>
          </w:rPr>
          <w:t>https://www.wasserstoff-kompass.de/elektrolyse-monitor</w:t>
        </w:r>
      </w:hyperlink>
    </w:p>
  </w:footnote>
  <w:footnote w:id="834">
    <w:p w14:paraId="321FE689" w14:textId="77777777" w:rsidR="00515485" w:rsidRDefault="00515485" w:rsidP="00515485">
      <w:pPr>
        <w:pStyle w:val="Funotentext"/>
      </w:pPr>
      <w:r>
        <w:rPr>
          <w:rStyle w:val="Funotenzeichen"/>
        </w:rPr>
        <w:footnoteRef/>
      </w:r>
      <w:r>
        <w:t xml:space="preserve"> Siehe: </w:t>
      </w:r>
      <w:hyperlink r:id="rId633" w:history="1">
        <w:r w:rsidRPr="0088482B">
          <w:rPr>
            <w:rStyle w:val="Hyperlink"/>
          </w:rPr>
          <w:t>https://www.bundesnetzagentur.de/DE/Fachthemen/ElektrizitaetundGas/Wasserstoff/Ausblick/start.html</w:t>
        </w:r>
      </w:hyperlink>
      <w:r>
        <w:t xml:space="preserve"> - Zugegriffen: 03.11.2023.</w:t>
      </w:r>
    </w:p>
  </w:footnote>
  <w:footnote w:id="835">
    <w:p w14:paraId="0CDBE26D" w14:textId="77777777" w:rsidR="00515485" w:rsidRDefault="00515485" w:rsidP="00515485">
      <w:pPr>
        <w:pStyle w:val="Funotentext"/>
      </w:pPr>
      <w:r>
        <w:rPr>
          <w:rStyle w:val="Funotenzeichen"/>
        </w:rPr>
        <w:footnoteRef/>
      </w:r>
      <w:r>
        <w:t xml:space="preserve"> Christian Geinitz. Ein Wasserstoffnetz für 20 Milliarden. FAZ, 14.11.2023. </w:t>
      </w:r>
    </w:p>
  </w:footnote>
  <w:footnote w:id="836">
    <w:p w14:paraId="6A8A1C1A" w14:textId="77777777" w:rsidR="00515485" w:rsidRDefault="00515485" w:rsidP="00515485">
      <w:pPr>
        <w:pStyle w:val="Funotentext"/>
      </w:pPr>
      <w:r>
        <w:rPr>
          <w:rStyle w:val="Funotenzeichen"/>
        </w:rPr>
        <w:footnoteRef/>
      </w:r>
      <w:r>
        <w:t xml:space="preserve"> S. 3, in: </w:t>
      </w:r>
      <w:r w:rsidRPr="00FD1A6E">
        <w:t xml:space="preserve">National Hydrogen </w:t>
      </w:r>
      <w:proofErr w:type="spellStart"/>
      <w:r w:rsidRPr="00FD1A6E">
        <w:t>Strategy</w:t>
      </w:r>
      <w:proofErr w:type="spellEnd"/>
      <w:r w:rsidRPr="00FD1A6E">
        <w:t xml:space="preserve"> </w:t>
      </w:r>
      <w:r>
        <w:t xml:space="preserve">Update </w:t>
      </w:r>
      <w:r w:rsidRPr="00FD1A6E">
        <w:t>2023</w:t>
      </w:r>
      <w:r>
        <w:t xml:space="preserve">. In: </w:t>
      </w:r>
      <w:hyperlink r:id="rId634" w:history="1">
        <w:r w:rsidRPr="00667364">
          <w:rPr>
            <w:rStyle w:val="Hyperlink"/>
          </w:rPr>
          <w:t>https://www.bmwk.de/Redaktion/EN/Publikationen/Energie/national-hydrogen-strategy-update.pdf?__blob=publicationFile&amp;v=2</w:t>
        </w:r>
      </w:hyperlink>
      <w:r>
        <w:t xml:space="preserve"> – Zugegriffen: 16.11.2024. </w:t>
      </w:r>
    </w:p>
  </w:footnote>
  <w:footnote w:id="837">
    <w:p w14:paraId="4F650D9A" w14:textId="77777777" w:rsidR="00515485" w:rsidRDefault="00515485" w:rsidP="00515485">
      <w:pPr>
        <w:pStyle w:val="Funotentext"/>
      </w:pPr>
      <w:r>
        <w:rPr>
          <w:rStyle w:val="Funotenzeichen"/>
        </w:rPr>
        <w:footnoteRef/>
      </w:r>
      <w:r>
        <w:t xml:space="preserve"> Das Wasserstoffbeschleunigungsgesetz wird erwähnt in der Stellungnahme zur Fortschreibung der Nationalen Wasserstoffstrategie, Wasserstoffrat, 24. Juli 2023. In: </w:t>
      </w:r>
      <w:hyperlink r:id="rId635" w:history="1">
        <w:r w:rsidRPr="0039637B">
          <w:rPr>
            <w:rStyle w:val="Hyperlink"/>
          </w:rPr>
          <w:t>https://www.wasserstoffrat.de/fileadmin/wasserstoffrat/media/Dokumente/2023/2023-07-24-NWR_Stellungnahme_Fortschreibung-der-NWS.pdf</w:t>
        </w:r>
      </w:hyperlink>
      <w:r>
        <w:t xml:space="preserve"> </w:t>
      </w:r>
    </w:p>
  </w:footnote>
  <w:footnote w:id="838">
    <w:p w14:paraId="3226DB55" w14:textId="77777777" w:rsidR="00B327E6" w:rsidRDefault="00B327E6" w:rsidP="00B327E6">
      <w:pPr>
        <w:pStyle w:val="Funotentext"/>
      </w:pPr>
      <w:r>
        <w:rPr>
          <w:rStyle w:val="Funotenzeichen"/>
        </w:rPr>
        <w:footnoteRef/>
      </w:r>
      <w:r>
        <w:t xml:space="preserve"> Siehe: </w:t>
      </w:r>
      <w:hyperlink r:id="rId636" w:history="1">
        <w:r w:rsidRPr="00965A0F">
          <w:rPr>
            <w:rStyle w:val="Hyperlink"/>
          </w:rPr>
          <w:t>https://www.bundesnetzagentur.de/SharedDocs/Pressemitteilungen/DE/2024/20241022_H2Kernnetz.html</w:t>
        </w:r>
      </w:hyperlink>
      <w:r>
        <w:t xml:space="preserve"> - Zugegriffen: 07.01.2024. </w:t>
      </w:r>
    </w:p>
  </w:footnote>
  <w:footnote w:id="839">
    <w:p w14:paraId="17B92858" w14:textId="77777777" w:rsidR="00B327E6" w:rsidRDefault="00B327E6" w:rsidP="00B327E6">
      <w:pPr>
        <w:pStyle w:val="Funotentext"/>
      </w:pPr>
      <w:r>
        <w:rPr>
          <w:rStyle w:val="Funotenzeichen"/>
        </w:rPr>
        <w:footnoteRef/>
      </w:r>
      <w:r>
        <w:t xml:space="preserve"> Siehe: </w:t>
      </w:r>
      <w:hyperlink r:id="rId637" w:history="1">
        <w:r w:rsidRPr="00965A0F">
          <w:rPr>
            <w:rStyle w:val="Hyperlink"/>
          </w:rPr>
          <w:t>https://www.bundesnetzagentur.de/DE/Fachthemen/ElektrizitaetundGas/Wasserstoff/Kernnetz/start.html</w:t>
        </w:r>
      </w:hyperlink>
      <w:r>
        <w:t xml:space="preserve"> - Zugegriffen: 07.01.2025. </w:t>
      </w:r>
    </w:p>
  </w:footnote>
  <w:footnote w:id="840">
    <w:p w14:paraId="354D7C7E" w14:textId="77777777" w:rsidR="00B327E6" w:rsidRDefault="00B327E6" w:rsidP="00B327E6">
      <w:pPr>
        <w:pStyle w:val="Funotentext"/>
      </w:pPr>
      <w:r>
        <w:rPr>
          <w:rStyle w:val="Funotenzeichen"/>
        </w:rPr>
        <w:footnoteRef/>
      </w:r>
      <w:r>
        <w:t xml:space="preserve"> Siehe: </w:t>
      </w:r>
      <w:hyperlink r:id="rId638" w:history="1">
        <w:r w:rsidRPr="00965A0F">
          <w:rPr>
            <w:rStyle w:val="Hyperlink"/>
          </w:rPr>
          <w:t>https://www.schleswig-holstein.de/DE/landesregierung/ministerien-behoerden/V/Presse/PI/2024/10/241022_H2_Netz</w:t>
        </w:r>
      </w:hyperlink>
      <w:r>
        <w:t xml:space="preserve"> - Zugegriffen: 07.01.2025. </w:t>
      </w:r>
    </w:p>
  </w:footnote>
  <w:footnote w:id="841">
    <w:p w14:paraId="086F38AE" w14:textId="035DABBA" w:rsidR="000D099F" w:rsidRDefault="000D099F">
      <w:pPr>
        <w:pStyle w:val="Funotentext"/>
      </w:pPr>
      <w:r>
        <w:rPr>
          <w:rStyle w:val="Funotenzeichen"/>
        </w:rPr>
        <w:footnoteRef/>
      </w:r>
      <w:r>
        <w:t xml:space="preserve"> Siehe: </w:t>
      </w:r>
      <w:hyperlink r:id="rId639" w:history="1">
        <w:r w:rsidRPr="00366B8A">
          <w:rPr>
            <w:rStyle w:val="Hyperlink"/>
          </w:rPr>
          <w:t>https://www.bmwk.de/Redaktion/DE/Downloads/G/green-paper-transformation-gas-wasserstoff-verteilernetze.pdf?__blob=publicationFile&amp;v=4</w:t>
        </w:r>
      </w:hyperlink>
      <w:r>
        <w:t xml:space="preserve"> – Zugegriffen: 08.05.2025. </w:t>
      </w:r>
    </w:p>
  </w:footnote>
  <w:footnote w:id="842">
    <w:p w14:paraId="72C7A5F5" w14:textId="77777777" w:rsidR="00515485" w:rsidRDefault="00515485" w:rsidP="00515485">
      <w:pPr>
        <w:pStyle w:val="Funotentext"/>
      </w:pPr>
      <w:r>
        <w:rPr>
          <w:rStyle w:val="Funotenzeichen"/>
        </w:rPr>
        <w:footnoteRef/>
      </w:r>
      <w:r>
        <w:t xml:space="preserve"> Siehe die KO NEP Webseite: </w:t>
      </w:r>
      <w:hyperlink r:id="rId640" w:history="1">
        <w:r w:rsidRPr="00091313">
          <w:rPr>
            <w:rStyle w:val="Hyperlink"/>
          </w:rPr>
          <w:t>https://ko-nep.de/</w:t>
        </w:r>
      </w:hyperlink>
    </w:p>
  </w:footnote>
  <w:footnote w:id="843">
    <w:p w14:paraId="7036A01D" w14:textId="77777777" w:rsidR="00515485" w:rsidRDefault="00515485" w:rsidP="00515485">
      <w:pPr>
        <w:pStyle w:val="Funotentext"/>
      </w:pPr>
      <w:r>
        <w:rPr>
          <w:rStyle w:val="Funotenzeichen"/>
        </w:rPr>
        <w:footnoteRef/>
      </w:r>
      <w:r>
        <w:t xml:space="preserve"> </w:t>
      </w:r>
      <w:r w:rsidRPr="00091313">
        <w:t xml:space="preserve">Netzentwicklungsplan Gas 2022-2032 Ergänzungen zum </w:t>
      </w:r>
      <w:proofErr w:type="spellStart"/>
      <w:r w:rsidRPr="00091313">
        <w:t>Szenariorahmen</w:t>
      </w:r>
      <w:proofErr w:type="spellEnd"/>
      <w:r w:rsidRPr="00091313">
        <w:t xml:space="preserve">. Stand: 26. September 2022, siehe: </w:t>
      </w:r>
      <w:hyperlink r:id="rId641" w:history="1">
        <w:r w:rsidRPr="00091313">
          <w:rPr>
            <w:rStyle w:val="Hyperlink"/>
          </w:rPr>
          <w:t>https://fnb-gas.de/wp-content/uploads/2024/02/2022_09_23_DE_Ergaenzung-zum-SR-NEP-Gas-2022-2032.pdf</w:t>
        </w:r>
      </w:hyperlink>
      <w:r w:rsidRPr="00091313">
        <w:t xml:space="preserve"> - Zugegriffen: 04.04.2025.</w:t>
      </w:r>
    </w:p>
  </w:footnote>
  <w:footnote w:id="844">
    <w:p w14:paraId="7AA958F7" w14:textId="77777777" w:rsidR="00515485" w:rsidRDefault="00515485" w:rsidP="00515485">
      <w:pPr>
        <w:pStyle w:val="Funotentext"/>
      </w:pPr>
      <w:r>
        <w:rPr>
          <w:rStyle w:val="Funotenzeichen"/>
        </w:rPr>
        <w:footnoteRef/>
      </w:r>
      <w:r>
        <w:t xml:space="preserve"> Monitoringbericht Energiewende 2024: 174.</w:t>
      </w:r>
    </w:p>
  </w:footnote>
  <w:footnote w:id="845">
    <w:p w14:paraId="4DC6F33E" w14:textId="77777777" w:rsidR="00515485" w:rsidRDefault="00515485" w:rsidP="00515485">
      <w:pPr>
        <w:pStyle w:val="Funotentext"/>
      </w:pPr>
      <w:r>
        <w:rPr>
          <w:rStyle w:val="Funotenzeichen"/>
        </w:rPr>
        <w:footnoteRef/>
      </w:r>
      <w:r>
        <w:t xml:space="preserve"> S. 59, siehe: </w:t>
      </w:r>
      <w:proofErr w:type="spellStart"/>
      <w:r w:rsidRPr="00A5343E">
        <w:t>Szenariorahmen</w:t>
      </w:r>
      <w:proofErr w:type="spellEnd"/>
      <w:r w:rsidRPr="00A5343E">
        <w:t xml:space="preserve"> zum Netzentwicklungsplan Strom, 2037/2045, Version 2025, Entwurf der Übertragungsnetzbetreiber, Juni 2024.</w:t>
      </w:r>
      <w:r>
        <w:t xml:space="preserve">, siehe: </w:t>
      </w:r>
      <w:hyperlink r:id="rId642" w:history="1">
        <w:r w:rsidRPr="004A4BFF">
          <w:rPr>
            <w:rStyle w:val="Hyperlink"/>
          </w:rPr>
          <w:t>https://www.netzentwicklungsplan.de/sites/default/files/2024-07/Szenariorahmenentwurf_NEP2037_2025_1.pdf</w:t>
        </w:r>
      </w:hyperlink>
      <w:r>
        <w:t xml:space="preserve"> - Zugegriffen: 30.04.2025. </w:t>
      </w:r>
    </w:p>
  </w:footnote>
  <w:footnote w:id="846">
    <w:p w14:paraId="646E6092" w14:textId="77777777" w:rsidR="00515485" w:rsidRPr="00883D3E" w:rsidRDefault="00515485" w:rsidP="00515485">
      <w:pPr>
        <w:pStyle w:val="Funotentext"/>
      </w:pPr>
      <w:r>
        <w:rPr>
          <w:rStyle w:val="Funotenzeichen"/>
        </w:rPr>
        <w:footnoteRef/>
      </w:r>
      <w:r w:rsidRPr="00883D3E">
        <w:t xml:space="preserve"> Pressemitteilung</w:t>
      </w:r>
      <w:r>
        <w:t>, 30.04.2025</w:t>
      </w:r>
      <w:r w:rsidRPr="00883D3E">
        <w:t xml:space="preserve">: </w:t>
      </w:r>
      <w:hyperlink r:id="rId643" w:history="1">
        <w:r w:rsidRPr="004A4BFF">
          <w:rPr>
            <w:rStyle w:val="Hyperlink"/>
          </w:rPr>
          <w:t>https://www.bundesnetzagentur.de/SharedDocs/Pressemitteilungen/DE/2025/20250430_Szenariorahmen.html</w:t>
        </w:r>
      </w:hyperlink>
      <w:r>
        <w:t xml:space="preserve"> - Zugegriffen: 30.04.2025.</w:t>
      </w:r>
    </w:p>
  </w:footnote>
  <w:footnote w:id="847">
    <w:p w14:paraId="797BB314" w14:textId="77777777" w:rsidR="00515485" w:rsidRDefault="00515485" w:rsidP="00515485">
      <w:pPr>
        <w:pStyle w:val="Funotentext"/>
      </w:pPr>
      <w:r>
        <w:rPr>
          <w:rStyle w:val="Funotenzeichen"/>
        </w:rPr>
        <w:footnoteRef/>
      </w:r>
      <w:r>
        <w:t xml:space="preserve"> </w:t>
      </w:r>
      <w:proofErr w:type="spellStart"/>
      <w:r>
        <w:t>Szenariorahmen</w:t>
      </w:r>
      <w:proofErr w:type="spellEnd"/>
      <w:r>
        <w:t xml:space="preserve"> zum </w:t>
      </w:r>
      <w:r w:rsidRPr="00245F3B">
        <w:t>Netzentwicklungsplan Strom, 2037/2045, Version 2025</w:t>
      </w:r>
      <w:r>
        <w:t>, Entwurf der Übertragungsnetzbetreiber, Juni 2024.</w:t>
      </w:r>
    </w:p>
  </w:footnote>
  <w:footnote w:id="848">
    <w:p w14:paraId="1991F1A4" w14:textId="77777777" w:rsidR="00515485" w:rsidRDefault="00515485" w:rsidP="00515485">
      <w:pPr>
        <w:pStyle w:val="Funotentext"/>
      </w:pPr>
      <w:r>
        <w:rPr>
          <w:rStyle w:val="Funotenzeichen"/>
        </w:rPr>
        <w:footnoteRef/>
      </w:r>
      <w:r>
        <w:t xml:space="preserve"> </w:t>
      </w:r>
      <w:r w:rsidRPr="00A5343E">
        <w:t xml:space="preserve">Bedarfsermittlung 2025-2037/2045. Genehmigung des </w:t>
      </w:r>
      <w:proofErr w:type="spellStart"/>
      <w:r w:rsidRPr="00A5343E">
        <w:t>Szenariorahmens</w:t>
      </w:r>
      <w:proofErr w:type="spellEnd"/>
      <w:r w:rsidRPr="00A5343E">
        <w:t xml:space="preserve"> für den Netzentwicklungsplan Strom 2025-2037/2045, Bundesnetzagentur April 2025</w:t>
      </w:r>
      <w:r>
        <w:t>.</w:t>
      </w:r>
    </w:p>
  </w:footnote>
  <w:footnote w:id="849">
    <w:p w14:paraId="0EEFDF4C" w14:textId="77777777" w:rsidR="00515485" w:rsidRDefault="00515485" w:rsidP="00515485">
      <w:pPr>
        <w:pStyle w:val="Funotentext"/>
      </w:pPr>
      <w:r>
        <w:rPr>
          <w:rStyle w:val="Funotenzeichen"/>
        </w:rPr>
        <w:footnoteRef/>
      </w:r>
      <w:r>
        <w:t xml:space="preserve"> Siehe: </w:t>
      </w:r>
      <w:hyperlink r:id="rId644" w:history="1">
        <w:r w:rsidRPr="004A4BFF">
          <w:rPr>
            <w:rStyle w:val="Hyperlink"/>
          </w:rPr>
          <w:t>https://www.bundesnetzagentur.de/DE/Fachthemen/ElektrizitaetundGas/NEP/Strom/start.html</w:t>
        </w:r>
      </w:hyperlink>
      <w:r>
        <w:t xml:space="preserve"> - Zugegriffen: 30.04.2025. </w:t>
      </w:r>
    </w:p>
  </w:footnote>
  <w:footnote w:id="850">
    <w:p w14:paraId="23561B5C" w14:textId="77777777" w:rsidR="00515485" w:rsidRDefault="00515485" w:rsidP="00515485">
      <w:pPr>
        <w:pStyle w:val="Funotentext"/>
      </w:pPr>
      <w:r>
        <w:rPr>
          <w:rStyle w:val="Funotenzeichen"/>
        </w:rPr>
        <w:footnoteRef/>
      </w:r>
      <w:r>
        <w:t xml:space="preserve"> Siehe: </w:t>
      </w:r>
      <w:hyperlink r:id="rId645" w:history="1">
        <w:r w:rsidRPr="004A4BFF">
          <w:rPr>
            <w:rStyle w:val="Hyperlink"/>
          </w:rPr>
          <w:t>https://www.bundesnetzagentur.de/DE/Fachthemen/ElektrizitaetundGas/NEP/Gas/start.html</w:t>
        </w:r>
      </w:hyperlink>
      <w:r>
        <w:t xml:space="preserve"> - Zugegriffen: 20.04.2025. </w:t>
      </w:r>
    </w:p>
  </w:footnote>
  <w:footnote w:id="851">
    <w:p w14:paraId="39646D77" w14:textId="3DC87877" w:rsidR="00515485" w:rsidRDefault="00515485" w:rsidP="00515485">
      <w:pPr>
        <w:pStyle w:val="Funotentext"/>
      </w:pPr>
      <w:r>
        <w:rPr>
          <w:rStyle w:val="Funotenzeichen"/>
        </w:rPr>
        <w:footnoteRef/>
      </w:r>
      <w:r>
        <w:t xml:space="preserve"> </w:t>
      </w:r>
      <w:r w:rsidR="00933054">
        <w:t xml:space="preserve">Wobei eben auch eine regionale Dimension beachtet wird, oben wurde das lange Zitat schon wiedergegeben. </w:t>
      </w:r>
      <w:r>
        <w:t xml:space="preserve">S. 53-54, Bedarfsermittlung 2025-2037/2045. Genehmigung des </w:t>
      </w:r>
      <w:proofErr w:type="spellStart"/>
      <w:r>
        <w:t>Szenariorahmens</w:t>
      </w:r>
      <w:proofErr w:type="spellEnd"/>
      <w:r>
        <w:t xml:space="preserve"> für den Netzentwicklungsplan Strom 2025-2037/2045, Bundesnetzagentur April 2025, siehe: </w:t>
      </w:r>
      <w:hyperlink r:id="rId646" w:history="1">
        <w:r w:rsidRPr="004A4BFF">
          <w:rPr>
            <w:rStyle w:val="Hyperlink"/>
          </w:rPr>
          <w:t>https://www.bundesnetzagentur.de/DE/Fachthemen/ElektrizitaetundGas/NEP/DL_Szenariorahmen/Genehm_SR_2025Strom.pdf?__blob=publicationFile&amp;v=2</w:t>
        </w:r>
      </w:hyperlink>
      <w:r>
        <w:t xml:space="preserve"> – Zugegriffen: 30.04.2025. </w:t>
      </w:r>
    </w:p>
  </w:footnote>
  <w:footnote w:id="852">
    <w:p w14:paraId="5CC84E49" w14:textId="77777777" w:rsidR="00515485" w:rsidRDefault="00515485" w:rsidP="00515485">
      <w:pPr>
        <w:pStyle w:val="Funotentext"/>
      </w:pPr>
      <w:r>
        <w:rPr>
          <w:rStyle w:val="Funotenzeichen"/>
        </w:rPr>
        <w:footnoteRef/>
      </w:r>
      <w:r>
        <w:t xml:space="preserve"> Siehe: </w:t>
      </w:r>
      <w:r w:rsidRPr="00964D5E">
        <w:t>Anlage 4: Langfristprognosen für Wasserstoff sowie methanreduzierende Meldungen der Verteilernetzbetrei</w:t>
      </w:r>
      <w:r>
        <w:t xml:space="preserve">ber. Siehe: </w:t>
      </w:r>
      <w:hyperlink r:id="rId647" w:history="1">
        <w:r w:rsidRPr="004A4BFF">
          <w:rPr>
            <w:rStyle w:val="Hyperlink"/>
          </w:rPr>
          <w:t>https://www.bundesnetzagentur.de/DE/Fachthemen/ElektrizitaetundGas/NEP/Gas/start.html</w:t>
        </w:r>
      </w:hyperlink>
      <w:r>
        <w:t xml:space="preserve"> - Zugegriffen: 30.04.2025.  </w:t>
      </w:r>
    </w:p>
  </w:footnote>
  <w:footnote w:id="853">
    <w:p w14:paraId="5E276F4D" w14:textId="445B5739" w:rsidR="002A4E95" w:rsidRDefault="002A4E95">
      <w:pPr>
        <w:pStyle w:val="Funotentext"/>
      </w:pPr>
      <w:r>
        <w:rPr>
          <w:rStyle w:val="Funotenzeichen"/>
        </w:rPr>
        <w:footnoteRef/>
      </w:r>
      <w:r>
        <w:t xml:space="preserve"> Siehe: </w:t>
      </w:r>
      <w:hyperlink r:id="rId648" w:history="1">
        <w:r w:rsidRPr="00366B8A">
          <w:rPr>
            <w:rStyle w:val="Hyperlink"/>
          </w:rPr>
          <w:t>https://www.h2-powerd.de/</w:t>
        </w:r>
      </w:hyperlink>
      <w:r>
        <w:t xml:space="preserve"> </w:t>
      </w:r>
    </w:p>
  </w:footnote>
  <w:footnote w:id="854">
    <w:p w14:paraId="5B01A06D" w14:textId="77777777" w:rsidR="00D7070B" w:rsidRDefault="00D7070B" w:rsidP="00D7070B">
      <w:pPr>
        <w:pStyle w:val="Funotentext"/>
      </w:pPr>
      <w:r>
        <w:rPr>
          <w:rStyle w:val="Funotenzeichen"/>
        </w:rPr>
        <w:footnoteRef/>
      </w:r>
      <w:r>
        <w:t xml:space="preserve"> S. 9, </w:t>
      </w:r>
      <w:r w:rsidRPr="00D04FF5">
        <w:t xml:space="preserve">Grundlagenpapier Nationaler Wasserstoffrat. Treibhausgaseinsparungen und der damit verbundene Wasserstoffbedarf in Deutschland, 1. Februar 2023. Siehe: </w:t>
      </w:r>
      <w:hyperlink r:id="rId649" w:history="1">
        <w:r w:rsidRPr="00E25C2E">
          <w:rPr>
            <w:rStyle w:val="Hyperlink"/>
          </w:rPr>
          <w:t>https://www.wasserstoffrat.de/fileadmin/wasserstoffrat/media/Dokumente/2023/2023-02-01_NWR_Grundlagenpapier_H2-Bedarf_2.pdf</w:t>
        </w:r>
      </w:hyperlink>
      <w:r w:rsidRPr="00D04FF5">
        <w:t xml:space="preserve"> - Zugegriffen: 13.10.2023.</w:t>
      </w:r>
    </w:p>
  </w:footnote>
  <w:footnote w:id="855">
    <w:p w14:paraId="68745EA5" w14:textId="77777777" w:rsidR="00D7070B" w:rsidRDefault="00D7070B" w:rsidP="00D7070B">
      <w:pPr>
        <w:pStyle w:val="Funotentext"/>
      </w:pPr>
      <w:r>
        <w:rPr>
          <w:rStyle w:val="Funotenzeichen"/>
        </w:rPr>
        <w:footnoteRef/>
      </w:r>
      <w:r>
        <w:t xml:space="preserve"> Siehe Pressemitteilung vom 5 May 2022: </w:t>
      </w:r>
      <w:hyperlink r:id="rId650" w:history="1">
        <w:r w:rsidRPr="00C52C50">
          <w:rPr>
            <w:rStyle w:val="Hyperlink"/>
          </w:rPr>
          <w:t>https://ec.europa.eu/commission/presscorner/detail/en/ip_22_2829</w:t>
        </w:r>
      </w:hyperlink>
      <w:r>
        <w:t xml:space="preserve"> - Zugegriffen: 07.12.2023. </w:t>
      </w:r>
    </w:p>
  </w:footnote>
  <w:footnote w:id="856">
    <w:p w14:paraId="535FD31B" w14:textId="77777777" w:rsidR="00D7070B" w:rsidRPr="000E4CC3" w:rsidRDefault="00D7070B" w:rsidP="00D7070B">
      <w:pPr>
        <w:pStyle w:val="Funotentext"/>
      </w:pPr>
      <w:r>
        <w:rPr>
          <w:rStyle w:val="Funotenzeichen"/>
        </w:rPr>
        <w:footnoteRef/>
      </w:r>
      <w:r w:rsidRPr="000E4CC3">
        <w:t xml:space="preserve"> Fact Sheet Hydrogen Bank: </w:t>
      </w:r>
      <w:hyperlink r:id="rId651" w:history="1">
        <w:r w:rsidRPr="000E4CC3">
          <w:rPr>
            <w:rStyle w:val="Hyperlink"/>
          </w:rPr>
          <w:t>https://ec.europa.eu/commission/presscorner/detail/en/fs_23_1610</w:t>
        </w:r>
      </w:hyperlink>
      <w:r w:rsidRPr="000E4CC3">
        <w:t xml:space="preserve"> - Zu</w:t>
      </w:r>
      <w:r>
        <w:t xml:space="preserve">gegriffen: 22.12.2023. </w:t>
      </w:r>
    </w:p>
  </w:footnote>
  <w:footnote w:id="857">
    <w:p w14:paraId="623DE42C" w14:textId="77777777" w:rsidR="00284D75" w:rsidRDefault="00284D75" w:rsidP="00284D75">
      <w:pPr>
        <w:pStyle w:val="Funotentext"/>
      </w:pPr>
      <w:r>
        <w:rPr>
          <w:rStyle w:val="Funotenzeichen"/>
        </w:rPr>
        <w:footnoteRef/>
      </w:r>
      <w:r>
        <w:t xml:space="preserve"> S. 40-44, Europäischer Rechnungshof, Sonderbericht 11. Die Industriepolitik der EU im Bereich Wasserstoff. 2024. Siehe: </w:t>
      </w:r>
      <w:hyperlink r:id="rId652" w:history="1">
        <w:r w:rsidRPr="00AA613D">
          <w:rPr>
            <w:rStyle w:val="Hyperlink"/>
          </w:rPr>
          <w:t>https://www.eca.europa.eu/de/publications/SR-2024-11</w:t>
        </w:r>
      </w:hyperlink>
      <w:r>
        <w:t xml:space="preserve"> - Zugegriffen: 21.07.2024. Die </w:t>
      </w:r>
      <w:proofErr w:type="spellStart"/>
      <w:r>
        <w:t>Zusätzlichkeit</w:t>
      </w:r>
      <w:proofErr w:type="spellEnd"/>
      <w:r>
        <w:t xml:space="preserve"> wird definiert in der delegierten Verordnung (EU) 2023/1184, 10.12.2023, siehe hier: </w:t>
      </w:r>
      <w:hyperlink r:id="rId653" w:history="1">
        <w:r w:rsidRPr="009555F3">
          <w:rPr>
            <w:rStyle w:val="Hyperlink"/>
          </w:rPr>
          <w:t>https://eur-lex.europa.eu/legal-content/DE/TXT/?uri=uriserv:OJ.L_.2023.157.01.0011.01.DEU</w:t>
        </w:r>
      </w:hyperlink>
      <w:r>
        <w:t xml:space="preserve"> – Zugegriffen: 20.06.2025. </w:t>
      </w:r>
    </w:p>
  </w:footnote>
  <w:footnote w:id="858">
    <w:p w14:paraId="7B6762D1" w14:textId="77777777" w:rsidR="00284D75" w:rsidRDefault="00284D75" w:rsidP="00284D75">
      <w:pPr>
        <w:pStyle w:val="Funotentext"/>
      </w:pPr>
      <w:r>
        <w:rPr>
          <w:rStyle w:val="Funotenzeichen"/>
        </w:rPr>
        <w:footnoteRef/>
      </w:r>
      <w:r>
        <w:t xml:space="preserve"> Siehe: </w:t>
      </w:r>
      <w:hyperlink r:id="rId654" w:history="1">
        <w:r w:rsidRPr="009555F3">
          <w:rPr>
            <w:rStyle w:val="Hyperlink"/>
          </w:rPr>
          <w:t>https://eur-lex.europa.eu/legal-content/DE/ALL/?uri=PI_COM:C(2023)7930</w:t>
        </w:r>
      </w:hyperlink>
      <w:r>
        <w:t xml:space="preserve"> – Zugegriffen: 20.06.2025.</w:t>
      </w:r>
    </w:p>
  </w:footnote>
  <w:footnote w:id="859">
    <w:p w14:paraId="4846EF46" w14:textId="77777777" w:rsidR="00284D75" w:rsidRDefault="00284D75" w:rsidP="00284D75">
      <w:pPr>
        <w:pStyle w:val="Funotentext"/>
      </w:pPr>
      <w:r>
        <w:rPr>
          <w:rStyle w:val="Funotenzeichen"/>
        </w:rPr>
        <w:footnoteRef/>
      </w:r>
      <w:r>
        <w:t xml:space="preserve"> S. 38, Europäischer Rechnungshof, Sonderbericht 11. Die Industriepolitik der EU im Bereich Wasserstoff. 2024. Siehe: </w:t>
      </w:r>
      <w:hyperlink r:id="rId655" w:history="1">
        <w:r w:rsidRPr="00AA613D">
          <w:rPr>
            <w:rStyle w:val="Hyperlink"/>
          </w:rPr>
          <w:t>https://www.eca.europa.eu/de/publications/SR-2024-11</w:t>
        </w:r>
      </w:hyperlink>
      <w:r>
        <w:t xml:space="preserve"> - Zugegriffen: 21.07.2024.</w:t>
      </w:r>
    </w:p>
  </w:footnote>
  <w:footnote w:id="860">
    <w:p w14:paraId="64563A4D" w14:textId="77777777" w:rsidR="00284D75" w:rsidRDefault="00284D75" w:rsidP="00284D75">
      <w:pPr>
        <w:pStyle w:val="Funotentext"/>
      </w:pPr>
      <w:r>
        <w:rPr>
          <w:rStyle w:val="Funotenzeichen"/>
        </w:rPr>
        <w:footnoteRef/>
      </w:r>
      <w:r>
        <w:t xml:space="preserve"> S. 37, Europäischer Rechnungshof, Sonderbericht 11. Die Industriepolitik der EU im Bereich Wasserstoff. 2024. Siehe: </w:t>
      </w:r>
      <w:hyperlink r:id="rId656" w:history="1">
        <w:r w:rsidRPr="00AA613D">
          <w:rPr>
            <w:rStyle w:val="Hyperlink"/>
          </w:rPr>
          <w:t>https://www.eca.europa.eu/de/publications/SR-2024-11</w:t>
        </w:r>
      </w:hyperlink>
      <w:r>
        <w:t xml:space="preserve"> - Zugegriffen: 21.07.2024.</w:t>
      </w:r>
    </w:p>
  </w:footnote>
  <w:footnote w:id="861">
    <w:p w14:paraId="5B078F10" w14:textId="77777777" w:rsidR="00284D75" w:rsidRDefault="00284D75" w:rsidP="00284D75">
      <w:pPr>
        <w:pStyle w:val="Funotentext"/>
      </w:pPr>
      <w:r>
        <w:rPr>
          <w:rStyle w:val="Funotenzeichen"/>
        </w:rPr>
        <w:footnoteRef/>
      </w:r>
      <w:r>
        <w:t xml:space="preserve"> Siehe TEN-E Verordnung: </w:t>
      </w:r>
      <w:hyperlink r:id="rId657" w:history="1">
        <w:r w:rsidRPr="009555F3">
          <w:rPr>
            <w:rStyle w:val="Hyperlink"/>
          </w:rPr>
          <w:t>https://eur-lex.europa.eu/legal-content/DE/TXT/?uri=uriserv:OJ.L_.2022.152.01.0045.01.DEU</w:t>
        </w:r>
      </w:hyperlink>
      <w:r>
        <w:t xml:space="preserve"> – Zugegriffen: 22.06.2025. </w:t>
      </w:r>
    </w:p>
  </w:footnote>
  <w:footnote w:id="862">
    <w:p w14:paraId="4C0832A7" w14:textId="77777777" w:rsidR="00284D75" w:rsidRDefault="00284D75" w:rsidP="00284D75">
      <w:pPr>
        <w:pStyle w:val="Funotentext"/>
      </w:pPr>
      <w:r>
        <w:rPr>
          <w:rStyle w:val="Funotenzeichen"/>
        </w:rPr>
        <w:footnoteRef/>
      </w:r>
      <w:r>
        <w:t xml:space="preserve"> Siehe: </w:t>
      </w:r>
      <w:hyperlink r:id="rId658" w:history="1">
        <w:r w:rsidRPr="009555F3">
          <w:rPr>
            <w:rStyle w:val="Hyperlink"/>
          </w:rPr>
          <w:t>https://www.entsog.eu/sites/default/files/2024-02/entsog_roadmap_2050_A4_web_200219.pdf</w:t>
        </w:r>
      </w:hyperlink>
      <w:r>
        <w:t xml:space="preserve"> - Zugegriffen: 22.06.2025. </w:t>
      </w:r>
    </w:p>
  </w:footnote>
  <w:footnote w:id="863">
    <w:p w14:paraId="619CA7BF" w14:textId="77777777" w:rsidR="00D359FF" w:rsidRPr="003C2BF8" w:rsidRDefault="00D359FF" w:rsidP="00D359FF">
      <w:pPr>
        <w:pStyle w:val="Funotentext"/>
      </w:pPr>
      <w:r>
        <w:rPr>
          <w:rStyle w:val="Funotenzeichen"/>
        </w:rPr>
        <w:footnoteRef/>
      </w:r>
      <w:r w:rsidRPr="003C2BF8">
        <w:t xml:space="preserve"> Quelle: </w:t>
      </w:r>
      <w:hyperlink r:id="rId659" w:history="1">
        <w:r w:rsidRPr="003C2BF8">
          <w:rPr>
            <w:rStyle w:val="Hyperlink"/>
          </w:rPr>
          <w:t>https://www.umweltbundesamt.de/daten/energie/stromverbrauch</w:t>
        </w:r>
      </w:hyperlink>
      <w:r w:rsidRPr="003C2BF8">
        <w:t xml:space="preserve"> - Zu</w:t>
      </w:r>
      <w:r>
        <w:t>gegriffen: 14.10.2023.</w:t>
      </w:r>
    </w:p>
  </w:footnote>
  <w:footnote w:id="864">
    <w:p w14:paraId="6507834E" w14:textId="4A93826E" w:rsidR="0060141C" w:rsidRDefault="0060141C">
      <w:pPr>
        <w:pStyle w:val="Funotentext"/>
      </w:pPr>
      <w:r>
        <w:rPr>
          <w:rStyle w:val="Funotenzeichen"/>
        </w:rPr>
        <w:footnoteRef/>
      </w:r>
      <w:r>
        <w:t xml:space="preserve"> Siehe: </w:t>
      </w:r>
      <w:hyperlink r:id="rId660" w:history="1">
        <w:r w:rsidRPr="00AA613D">
          <w:rPr>
            <w:rStyle w:val="Hyperlink"/>
          </w:rPr>
          <w:t>https://ec.europa.eu/docsroom/documents/50014</w:t>
        </w:r>
      </w:hyperlink>
      <w:r>
        <w:t xml:space="preserve"> - Zugegriffen: 21.07.2024. </w:t>
      </w:r>
    </w:p>
  </w:footnote>
  <w:footnote w:id="865">
    <w:p w14:paraId="75DCF447" w14:textId="33439218" w:rsidR="0090643C" w:rsidRDefault="0090643C">
      <w:pPr>
        <w:pStyle w:val="Funotentext"/>
      </w:pPr>
      <w:r>
        <w:rPr>
          <w:rStyle w:val="Funotenzeichen"/>
        </w:rPr>
        <w:footnoteRef/>
      </w:r>
      <w:r>
        <w:t xml:space="preserve"> Siehe Wasserstoff Kompass: </w:t>
      </w:r>
      <w:hyperlink r:id="rId661" w:anchor="/klima-und-ressourcen" w:history="1">
        <w:r w:rsidRPr="00CF4D77">
          <w:rPr>
            <w:rStyle w:val="Hyperlink"/>
          </w:rPr>
          <w:t>https://www.wasserstoff-kompass.de/handlungsfelder#/klima-und-ressourcen</w:t>
        </w:r>
      </w:hyperlink>
      <w:r>
        <w:t xml:space="preserve"> - Zugegriffen: 15.08.2024.  </w:t>
      </w:r>
    </w:p>
  </w:footnote>
  <w:footnote w:id="866">
    <w:p w14:paraId="1515BE96" w14:textId="6988FEB2" w:rsidR="00633B29" w:rsidRDefault="00633B29" w:rsidP="00633B29">
      <w:pPr>
        <w:pStyle w:val="Funotentext"/>
      </w:pPr>
      <w:r>
        <w:rPr>
          <w:rStyle w:val="Funotenzeichen"/>
        </w:rPr>
        <w:footnoteRef/>
      </w:r>
      <w:r>
        <w:t xml:space="preserve"> Insgesamt sind in Deutschland 17 Hochöfen aktiv und 7 Warmwalzanlagen (2019). </w:t>
      </w:r>
      <w:r w:rsidRPr="00566A7C">
        <w:t xml:space="preserve">Sprecher et al. 2019. Siehe: </w:t>
      </w:r>
      <w:hyperlink r:id="rId662" w:history="1">
        <w:r w:rsidRPr="00566A7C">
          <w:rPr>
            <w:rStyle w:val="Hyperlink"/>
          </w:rPr>
          <w:t>https://www.umweltbundesamt.de/sites/default/files/medien/1410/publikationen/2019-01-21_texte_07-2019_abwaermenutzungspotenziale-huettenwerke.pdf</w:t>
        </w:r>
      </w:hyperlink>
      <w:r w:rsidRPr="00566A7C">
        <w:t xml:space="preserve"> - Zugegriffen: 20.10.2024.</w:t>
      </w:r>
    </w:p>
  </w:footnote>
  <w:footnote w:id="867">
    <w:p w14:paraId="010538B8" w14:textId="77777777" w:rsidR="00462DA8" w:rsidRDefault="00462DA8" w:rsidP="00462DA8">
      <w:pPr>
        <w:pStyle w:val="Funotentext"/>
      </w:pPr>
      <w:r>
        <w:rPr>
          <w:rStyle w:val="Funotenzeichen"/>
        </w:rPr>
        <w:footnoteRef/>
      </w:r>
      <w:r>
        <w:t xml:space="preserve"> Marcus Theurer. Die Wasserstoff-Lücke. FAZ, 09.06.2024.</w:t>
      </w:r>
    </w:p>
  </w:footnote>
  <w:footnote w:id="868">
    <w:p w14:paraId="291D1207" w14:textId="77777777" w:rsidR="00217425" w:rsidRDefault="00217425" w:rsidP="00217425">
      <w:pPr>
        <w:pStyle w:val="Funotentext"/>
      </w:pPr>
      <w:r>
        <w:rPr>
          <w:rStyle w:val="Funotenzeichen"/>
        </w:rPr>
        <w:footnoteRef/>
      </w:r>
      <w:r>
        <w:t xml:space="preserve"> Langfristszenarien für die Transformation des Energiesystems in Deutschland. Treibhausgasneutrale Hauptszenarien. Modul Energieangebot, 01.12.2021, S. 15 (in den Szenarien TN-H2-G, 75 % und TN-Strom, 65 %). Siehe: </w:t>
      </w:r>
      <w:hyperlink r:id="rId663" w:history="1">
        <w:r w:rsidRPr="00A0302A">
          <w:rPr>
            <w:rStyle w:val="Hyperlink"/>
          </w:rPr>
          <w:t>https://langfristszenarien.de/enertile-explorer-wAssets/docs/LFS3-Langbericht-Energieangebot-final.pdf</w:t>
        </w:r>
      </w:hyperlink>
      <w:r>
        <w:t xml:space="preserve"> - Zugegriffen: 19.07.2024.</w:t>
      </w:r>
    </w:p>
  </w:footnote>
  <w:footnote w:id="869">
    <w:p w14:paraId="42797B8D" w14:textId="77777777" w:rsidR="00C758D0" w:rsidRPr="00811271" w:rsidRDefault="00C758D0" w:rsidP="00C758D0">
      <w:pPr>
        <w:pStyle w:val="Funotentext"/>
      </w:pPr>
      <w:r>
        <w:rPr>
          <w:rStyle w:val="Funotenzeichen"/>
        </w:rPr>
        <w:footnoteRef/>
      </w:r>
      <w:r w:rsidRPr="00811271">
        <w:t xml:space="preserve"> Quelle: </w:t>
      </w:r>
      <w:hyperlink r:id="rId664" w:history="1">
        <w:r w:rsidRPr="00811271">
          <w:rPr>
            <w:rStyle w:val="Hyperlink"/>
          </w:rPr>
          <w:t>https://www.umweltbundesamt.de/bild/stromerzeugung-aus-erneuerbaren-energien-im-jahr</w:t>
        </w:r>
      </w:hyperlink>
      <w:r w:rsidRPr="00811271">
        <w:t xml:space="preserve"> - Zu</w:t>
      </w:r>
      <w:r>
        <w:t>gegriffen: 13.10.2023.</w:t>
      </w:r>
    </w:p>
  </w:footnote>
  <w:footnote w:id="870">
    <w:p w14:paraId="38752FF2" w14:textId="0DF61E4C" w:rsidR="00250817" w:rsidRDefault="00250817">
      <w:pPr>
        <w:pStyle w:val="Funotentext"/>
      </w:pPr>
      <w:r>
        <w:rPr>
          <w:rStyle w:val="Funotenzeichen"/>
        </w:rPr>
        <w:footnoteRef/>
      </w:r>
      <w:r>
        <w:t xml:space="preserve"> Siehe Lena Ganschow. Industrie in Gefahr – Wo bleibt der Wasserstoff? Doku ARD Wissen 2024, siehe auf </w:t>
      </w:r>
      <w:proofErr w:type="spellStart"/>
      <w:r>
        <w:t>Youtube</w:t>
      </w:r>
      <w:proofErr w:type="spellEnd"/>
      <w:r>
        <w:t xml:space="preserve"> Kanal Neues Wissen: </w:t>
      </w:r>
      <w:hyperlink r:id="rId665" w:history="1">
        <w:r w:rsidRPr="00366B8A">
          <w:rPr>
            <w:rStyle w:val="Hyperlink"/>
          </w:rPr>
          <w:t>https://www.youtube.com/watch?v=kHEF9GLpp0A</w:t>
        </w:r>
      </w:hyperlink>
      <w:r>
        <w:t xml:space="preserve"> – Zugegriffen: 08.06.2025. </w:t>
      </w:r>
    </w:p>
  </w:footnote>
  <w:footnote w:id="871">
    <w:p w14:paraId="07DB7DE9" w14:textId="77777777" w:rsidR="00B90DE5" w:rsidRDefault="00B90DE5" w:rsidP="00B90DE5">
      <w:pPr>
        <w:pStyle w:val="Funotentext"/>
      </w:pPr>
      <w:r>
        <w:rPr>
          <w:rStyle w:val="Funotenzeichen"/>
        </w:rPr>
        <w:footnoteRef/>
      </w:r>
      <w:r>
        <w:t xml:space="preserve"> Ab Minute 27:00, siehe: </w:t>
      </w:r>
      <w:r w:rsidRPr="00E20373">
        <w:t>Deutschlands Chance: Wasserstoff-Technik "Made in Germany" - Prof. Markus Hölzle &amp; Dr. David Wenger</w:t>
      </w:r>
      <w:r>
        <w:t xml:space="preserve">, Geladen Batteriepodcast, 29.06.2025: </w:t>
      </w:r>
      <w:hyperlink r:id="rId666" w:history="1">
        <w:r w:rsidRPr="009C6F34">
          <w:rPr>
            <w:rStyle w:val="Hyperlink"/>
          </w:rPr>
          <w:t>https://www.youtube.com/watch?v=YGVlD7PAaIY&amp;list=PLgT6DO8XUkP5oGh1ed710Lw5YvTpesX0U</w:t>
        </w:r>
      </w:hyperlink>
      <w:r>
        <w:t xml:space="preserve"> – Zugegriffen: 29.06.2025. </w:t>
      </w:r>
    </w:p>
  </w:footnote>
  <w:footnote w:id="872">
    <w:p w14:paraId="4246B5A1" w14:textId="77777777" w:rsidR="008B7E2F" w:rsidRDefault="008B7E2F" w:rsidP="008B7E2F">
      <w:pPr>
        <w:pStyle w:val="Funotentext"/>
      </w:pPr>
      <w:r>
        <w:rPr>
          <w:rStyle w:val="Funotenzeichen"/>
        </w:rPr>
        <w:footnoteRef/>
      </w:r>
      <w:r>
        <w:t xml:space="preserve"> Siehe: </w:t>
      </w:r>
      <w:hyperlink r:id="rId667" w:history="1">
        <w:r w:rsidRPr="00EC4D47">
          <w:rPr>
            <w:rStyle w:val="Hyperlink"/>
          </w:rPr>
          <w:t>https://www.wasserstoff-leitprojekte.de/leitprojekte/transhyde</w:t>
        </w:r>
      </w:hyperlink>
      <w:r>
        <w:t xml:space="preserve"> - Zugegriffen: 26.12.2024. </w:t>
      </w:r>
    </w:p>
  </w:footnote>
  <w:footnote w:id="873">
    <w:p w14:paraId="2DB2AFA4" w14:textId="77777777" w:rsidR="008B7E2F" w:rsidRDefault="008B7E2F" w:rsidP="008B7E2F">
      <w:pPr>
        <w:pStyle w:val="Funotentext"/>
      </w:pPr>
      <w:r>
        <w:rPr>
          <w:rStyle w:val="Funotenzeichen"/>
        </w:rPr>
        <w:footnoteRef/>
      </w:r>
      <w:r>
        <w:t xml:space="preserve"> Siehe: </w:t>
      </w:r>
      <w:hyperlink r:id="rId668" w:history="1">
        <w:r w:rsidRPr="006527D9">
          <w:rPr>
            <w:rStyle w:val="Hyperlink"/>
          </w:rPr>
          <w:t>https://www.umsicht.fraunhofer.de/de/greenhydrogen/ammoniak-wasserstoffspeicher.html</w:t>
        </w:r>
      </w:hyperlink>
      <w:r>
        <w:t xml:space="preserve"> - Zugegriffen: 14.10.2024. </w:t>
      </w:r>
    </w:p>
  </w:footnote>
  <w:footnote w:id="874">
    <w:p w14:paraId="760CB54E" w14:textId="79726A92" w:rsidR="00654DAE" w:rsidRDefault="00654DAE">
      <w:pPr>
        <w:pStyle w:val="Funotentext"/>
      </w:pPr>
      <w:r>
        <w:rPr>
          <w:rStyle w:val="Funotenzeichen"/>
        </w:rPr>
        <w:footnoteRef/>
      </w:r>
      <w:r>
        <w:t xml:space="preserve"> </w:t>
      </w:r>
      <w:r w:rsidR="00591B4B">
        <w:t xml:space="preserve">BMWK Importstrategie Wasserstoff und Wasserstoffderivate 24.07.2024, siehe: </w:t>
      </w:r>
      <w:hyperlink r:id="rId669" w:history="1">
        <w:r w:rsidR="00591B4B" w:rsidRPr="00CF4D77">
          <w:rPr>
            <w:rStyle w:val="Hyperlink"/>
          </w:rPr>
          <w:t>https://www.bmwk.de/Redaktion/DE/Publikationen/Energie/importstrategie-wasserstoff.pdf?__blob=publicationFile&amp;v=18</w:t>
        </w:r>
      </w:hyperlink>
      <w:r w:rsidR="00591B4B">
        <w:t xml:space="preserve"> – Zugegriffen: 15.08.2024. </w:t>
      </w:r>
    </w:p>
  </w:footnote>
  <w:footnote w:id="875">
    <w:p w14:paraId="37623625" w14:textId="77777777" w:rsidR="00112190" w:rsidRDefault="00112190" w:rsidP="00112190">
      <w:pPr>
        <w:pStyle w:val="Funotentext"/>
      </w:pPr>
      <w:r>
        <w:rPr>
          <w:rStyle w:val="Funotenzeichen"/>
        </w:rPr>
        <w:footnoteRef/>
      </w:r>
      <w:r>
        <w:t xml:space="preserve"> Siehe: </w:t>
      </w:r>
      <w:hyperlink r:id="rId670" w:history="1">
        <w:r w:rsidRPr="00E92795">
          <w:rPr>
            <w:rStyle w:val="Hyperlink"/>
          </w:rPr>
          <w:t>https://www.h2-global.de/pages/green-news</w:t>
        </w:r>
      </w:hyperlink>
      <w:r>
        <w:t xml:space="preserve"> - Zugegriffen: 27.12.2023. </w:t>
      </w:r>
    </w:p>
  </w:footnote>
  <w:footnote w:id="876">
    <w:p w14:paraId="4DC3FF29" w14:textId="771A6B2D" w:rsidR="00112190" w:rsidRDefault="00112190" w:rsidP="00112190">
      <w:pPr>
        <w:pStyle w:val="Funotentext"/>
      </w:pPr>
      <w:r>
        <w:rPr>
          <w:rStyle w:val="Funotenzeichen"/>
        </w:rPr>
        <w:footnoteRef/>
      </w:r>
      <w:r>
        <w:t xml:space="preserve"> Siehe: </w:t>
      </w:r>
      <w:hyperlink r:id="rId671" w:history="1">
        <w:r w:rsidRPr="00C54310">
          <w:rPr>
            <w:rStyle w:val="Hyperlink"/>
          </w:rPr>
          <w:t>https://h2globalcluster.eu/</w:t>
        </w:r>
      </w:hyperlink>
    </w:p>
  </w:footnote>
  <w:footnote w:id="877">
    <w:p w14:paraId="732099F0" w14:textId="77777777" w:rsidR="00112190" w:rsidRPr="00CB4B14" w:rsidRDefault="00112190" w:rsidP="00112190">
      <w:pPr>
        <w:pStyle w:val="Funotentext"/>
      </w:pPr>
      <w:r>
        <w:rPr>
          <w:rStyle w:val="Funotenzeichen"/>
        </w:rPr>
        <w:footnoteRef/>
      </w:r>
      <w:r w:rsidRPr="00CB4B14">
        <w:t xml:space="preserve"> </w:t>
      </w:r>
      <w:hyperlink r:id="rId672" w:history="1">
        <w:r w:rsidRPr="00CB4B14">
          <w:rPr>
            <w:rStyle w:val="Hyperlink"/>
          </w:rPr>
          <w:t>https://www.euractiv.de/section/energie-und-umwelt/news/europas-wasserstoffbank-legt-los-800-millionen-euro-sollen-den-markt-anheizen/</w:t>
        </w:r>
      </w:hyperlink>
      <w:r w:rsidRPr="00CB4B14">
        <w:t xml:space="preserve"> - Zu</w:t>
      </w:r>
      <w:r>
        <w:t xml:space="preserve">gegriffen: 27.12.2023. </w:t>
      </w:r>
    </w:p>
  </w:footnote>
  <w:footnote w:id="878">
    <w:p w14:paraId="44BE886B" w14:textId="77777777" w:rsidR="00112190" w:rsidRDefault="00112190" w:rsidP="00112190">
      <w:pPr>
        <w:pStyle w:val="Funotentext"/>
      </w:pPr>
      <w:r>
        <w:rPr>
          <w:rStyle w:val="Funotenzeichen"/>
        </w:rPr>
        <w:footnoteRef/>
      </w:r>
      <w:r>
        <w:t xml:space="preserve"> Siehe: </w:t>
      </w:r>
      <w:hyperlink r:id="rId673" w:history="1">
        <w:r w:rsidRPr="00E92795">
          <w:rPr>
            <w:rStyle w:val="Hyperlink"/>
          </w:rPr>
          <w:t>https://www.h2-global.de/post/900-million-eur-market-ramp-up-green-hydrogen</w:t>
        </w:r>
      </w:hyperlink>
      <w:r>
        <w:t xml:space="preserve"> - Zugegriffen: 22.12.2023. </w:t>
      </w:r>
    </w:p>
  </w:footnote>
  <w:footnote w:id="879">
    <w:p w14:paraId="70779FBC" w14:textId="7CEC038C" w:rsidR="00135230" w:rsidRDefault="00135230">
      <w:pPr>
        <w:pStyle w:val="Funotentext"/>
      </w:pPr>
      <w:r>
        <w:rPr>
          <w:rStyle w:val="Funotenzeichen"/>
        </w:rPr>
        <w:footnoteRef/>
      </w:r>
      <w:r>
        <w:t xml:space="preserve"> Siehe die Webseite der SEFE: </w:t>
      </w:r>
      <w:hyperlink r:id="rId674" w:history="1">
        <w:r w:rsidRPr="00135230">
          <w:rPr>
            <w:rStyle w:val="Hyperlink"/>
          </w:rPr>
          <w:t>https://www.sefe.eu/</w:t>
        </w:r>
      </w:hyperlink>
    </w:p>
  </w:footnote>
  <w:footnote w:id="880">
    <w:p w14:paraId="1F871F20" w14:textId="0E42A436" w:rsidR="00C54310" w:rsidRDefault="00C54310">
      <w:pPr>
        <w:pStyle w:val="Funotentext"/>
      </w:pPr>
      <w:r>
        <w:rPr>
          <w:rStyle w:val="Funotenzeichen"/>
        </w:rPr>
        <w:footnoteRef/>
      </w:r>
      <w:r>
        <w:t xml:space="preserve"> Siehe: </w:t>
      </w:r>
      <w:hyperlink r:id="rId675" w:history="1">
        <w:r w:rsidRPr="00610882">
          <w:rPr>
            <w:rStyle w:val="Hyperlink"/>
          </w:rPr>
          <w:t>https://de.wikipedia.org/wiki/Securing_Energy_for_Europe</w:t>
        </w:r>
      </w:hyperlink>
      <w:r>
        <w:t xml:space="preserve"> - Zugegriffen: 07.02.2025. </w:t>
      </w:r>
    </w:p>
  </w:footnote>
  <w:footnote w:id="881">
    <w:p w14:paraId="56A5E624" w14:textId="4FA4AC1D" w:rsidR="00BE705E" w:rsidRDefault="00BE705E">
      <w:pPr>
        <w:pStyle w:val="Funotentext"/>
      </w:pPr>
      <w:r>
        <w:rPr>
          <w:rStyle w:val="Funotenzeichen"/>
        </w:rPr>
        <w:footnoteRef/>
      </w:r>
      <w:r>
        <w:t xml:space="preserve"> Siehe: Vertrag für Wasserstoff. FAZ, 12.07.2024. Sowie, undatiert, </w:t>
      </w:r>
      <w:proofErr w:type="spellStart"/>
      <w:r>
        <w:t>Results</w:t>
      </w:r>
      <w:proofErr w:type="spellEnd"/>
      <w:r>
        <w:t xml:space="preserve"> oft he </w:t>
      </w:r>
      <w:proofErr w:type="spellStart"/>
      <w:r>
        <w:t>pilot</w:t>
      </w:r>
      <w:proofErr w:type="spellEnd"/>
      <w:r>
        <w:t xml:space="preserve"> </w:t>
      </w:r>
      <w:proofErr w:type="spellStart"/>
      <w:r>
        <w:t>auction</w:t>
      </w:r>
      <w:proofErr w:type="spellEnd"/>
      <w:r>
        <w:t xml:space="preserve"> – Lot 1: </w:t>
      </w:r>
      <w:hyperlink r:id="rId676" w:history="1">
        <w:r w:rsidRPr="004E7EE4">
          <w:rPr>
            <w:rStyle w:val="Hyperlink"/>
          </w:rPr>
          <w:t>https://www.h2-global.org/news</w:t>
        </w:r>
      </w:hyperlink>
      <w:r>
        <w:t xml:space="preserve"> - Zugegriffen: 12.07.2024. </w:t>
      </w:r>
    </w:p>
  </w:footnote>
  <w:footnote w:id="882">
    <w:p w14:paraId="48CF5FB6" w14:textId="1AB118C5" w:rsidR="009544F2" w:rsidRDefault="009544F2">
      <w:pPr>
        <w:pStyle w:val="Funotentext"/>
      </w:pPr>
      <w:r>
        <w:rPr>
          <w:rStyle w:val="Funotenzeichen"/>
        </w:rPr>
        <w:footnoteRef/>
      </w:r>
      <w:r>
        <w:t xml:space="preserve"> Siehe: </w:t>
      </w:r>
      <w:hyperlink r:id="rId677" w:history="1">
        <w:r w:rsidRPr="0053503A">
          <w:rPr>
            <w:rStyle w:val="Hyperlink"/>
          </w:rPr>
          <w:t>https://adnoc.ae/</w:t>
        </w:r>
      </w:hyperlink>
    </w:p>
  </w:footnote>
  <w:footnote w:id="883">
    <w:p w14:paraId="464A119C" w14:textId="5FB28CBA" w:rsidR="009544F2" w:rsidRDefault="009544F2">
      <w:pPr>
        <w:pStyle w:val="Funotentext"/>
      </w:pPr>
      <w:r>
        <w:rPr>
          <w:rStyle w:val="Funotenzeichen"/>
        </w:rPr>
        <w:footnoteRef/>
      </w:r>
      <w:r>
        <w:t xml:space="preserve"> Siehe: </w:t>
      </w:r>
      <w:hyperlink r:id="rId678" w:history="1">
        <w:r w:rsidRPr="0053503A">
          <w:rPr>
            <w:rStyle w:val="Hyperlink"/>
          </w:rPr>
          <w:t>https://oci-global.com/</w:t>
        </w:r>
      </w:hyperlink>
    </w:p>
  </w:footnote>
  <w:footnote w:id="884">
    <w:p w14:paraId="15A7610D" w14:textId="11C21CEF" w:rsidR="00BE705E" w:rsidRDefault="00BE705E">
      <w:pPr>
        <w:pStyle w:val="Funotentext"/>
      </w:pPr>
      <w:r>
        <w:rPr>
          <w:rStyle w:val="Funotenzeichen"/>
        </w:rPr>
        <w:footnoteRef/>
      </w:r>
      <w:r>
        <w:t xml:space="preserve"> Vertrag für Wasserstoff. FAZ, 12.07.2024. </w:t>
      </w:r>
    </w:p>
  </w:footnote>
  <w:footnote w:id="885">
    <w:p w14:paraId="57A7A347" w14:textId="735ACCA2" w:rsidR="006B0EA9" w:rsidRDefault="006B0EA9">
      <w:pPr>
        <w:pStyle w:val="Funotentext"/>
      </w:pPr>
      <w:r>
        <w:rPr>
          <w:rStyle w:val="Funotenzeichen"/>
        </w:rPr>
        <w:footnoteRef/>
      </w:r>
      <w:r>
        <w:t xml:space="preserve"> S</w:t>
      </w:r>
      <w:r w:rsidRPr="006B0EA9">
        <w:t xml:space="preserve">iehe: undatiert, </w:t>
      </w:r>
      <w:proofErr w:type="spellStart"/>
      <w:r w:rsidRPr="006B0EA9">
        <w:t>Results</w:t>
      </w:r>
      <w:proofErr w:type="spellEnd"/>
      <w:r w:rsidRPr="006B0EA9">
        <w:t xml:space="preserve"> </w:t>
      </w:r>
      <w:proofErr w:type="spellStart"/>
      <w:r w:rsidRPr="006B0EA9">
        <w:t>of</w:t>
      </w:r>
      <w:proofErr w:type="spellEnd"/>
      <w:r w:rsidRPr="006B0EA9">
        <w:t xml:space="preserve"> </w:t>
      </w:r>
      <w:proofErr w:type="spellStart"/>
      <w:r w:rsidRPr="006B0EA9">
        <w:t>the</w:t>
      </w:r>
      <w:proofErr w:type="spellEnd"/>
      <w:r w:rsidRPr="006B0EA9">
        <w:t xml:space="preserve"> </w:t>
      </w:r>
      <w:proofErr w:type="spellStart"/>
      <w:r w:rsidRPr="006B0EA9">
        <w:t>pilot</w:t>
      </w:r>
      <w:proofErr w:type="spellEnd"/>
      <w:r w:rsidRPr="006B0EA9">
        <w:t xml:space="preserve"> </w:t>
      </w:r>
      <w:proofErr w:type="spellStart"/>
      <w:r w:rsidRPr="006B0EA9">
        <w:t>auction</w:t>
      </w:r>
      <w:proofErr w:type="spellEnd"/>
      <w:r w:rsidRPr="006B0EA9">
        <w:t xml:space="preserve"> – Lot 1: </w:t>
      </w:r>
      <w:hyperlink r:id="rId679" w:history="1">
        <w:r w:rsidRPr="0053503A">
          <w:rPr>
            <w:rStyle w:val="Hyperlink"/>
          </w:rPr>
          <w:t>https://www.h2-global.org/news</w:t>
        </w:r>
      </w:hyperlink>
      <w:r w:rsidRPr="006B0EA9">
        <w:t xml:space="preserve"> - Zugegriffen: 12.07.2024.</w:t>
      </w:r>
    </w:p>
  </w:footnote>
  <w:footnote w:id="886">
    <w:p w14:paraId="0AB329C0" w14:textId="3DD17648" w:rsidR="00BE705E" w:rsidRDefault="00BE705E">
      <w:pPr>
        <w:pStyle w:val="Funotentext"/>
      </w:pPr>
      <w:r>
        <w:rPr>
          <w:rStyle w:val="Funotenzeichen"/>
        </w:rPr>
        <w:footnoteRef/>
      </w:r>
      <w:r>
        <w:t xml:space="preserve"> </w:t>
      </w:r>
      <w:r w:rsidR="006B0EA9">
        <w:t>Diese Informationen bei H2Global, s</w:t>
      </w:r>
      <w:r>
        <w:t xml:space="preserve">iehe: undatiert, </w:t>
      </w:r>
      <w:proofErr w:type="spellStart"/>
      <w:r>
        <w:t>Results</w:t>
      </w:r>
      <w:proofErr w:type="spellEnd"/>
      <w:r>
        <w:t xml:space="preserve"> </w:t>
      </w:r>
      <w:proofErr w:type="spellStart"/>
      <w:r>
        <w:t>of</w:t>
      </w:r>
      <w:proofErr w:type="spellEnd"/>
      <w:r>
        <w:t xml:space="preserve"> </w:t>
      </w:r>
      <w:proofErr w:type="spellStart"/>
      <w:r>
        <w:t>the</w:t>
      </w:r>
      <w:proofErr w:type="spellEnd"/>
      <w:r>
        <w:t xml:space="preserve"> </w:t>
      </w:r>
      <w:proofErr w:type="spellStart"/>
      <w:r>
        <w:t>pilot</w:t>
      </w:r>
      <w:proofErr w:type="spellEnd"/>
      <w:r>
        <w:t xml:space="preserve"> </w:t>
      </w:r>
      <w:proofErr w:type="spellStart"/>
      <w:r>
        <w:t>auction</w:t>
      </w:r>
      <w:proofErr w:type="spellEnd"/>
      <w:r>
        <w:t xml:space="preserve"> – Lot 1: </w:t>
      </w:r>
      <w:hyperlink r:id="rId680" w:history="1">
        <w:r w:rsidRPr="004E7EE4">
          <w:rPr>
            <w:rStyle w:val="Hyperlink"/>
          </w:rPr>
          <w:t>https://www.h2-global.org/news</w:t>
        </w:r>
      </w:hyperlink>
      <w:r>
        <w:t xml:space="preserve"> - Zugegriffen: 12.07.2024. </w:t>
      </w:r>
      <w:r w:rsidR="004076A4">
        <w:t xml:space="preserve">Ain Sokhna findet sich nicht in Abu Dhabi bzw. in den UAE. </w:t>
      </w:r>
    </w:p>
  </w:footnote>
  <w:footnote w:id="887">
    <w:p w14:paraId="159D7F10" w14:textId="2A692D64" w:rsidR="002F614B" w:rsidRDefault="002F614B">
      <w:pPr>
        <w:pStyle w:val="Funotentext"/>
      </w:pPr>
      <w:r>
        <w:rPr>
          <w:rStyle w:val="Funotenzeichen"/>
        </w:rPr>
        <w:footnoteRef/>
      </w:r>
      <w:r>
        <w:t xml:space="preserve"> Vertrag für Wasserstoff. FAZ, 12.07.2024. </w:t>
      </w:r>
    </w:p>
  </w:footnote>
  <w:footnote w:id="888">
    <w:p w14:paraId="5449C1A3" w14:textId="18C7E016" w:rsidR="00BE705E" w:rsidRDefault="00BE705E">
      <w:pPr>
        <w:pStyle w:val="Funotentext"/>
      </w:pPr>
      <w:r>
        <w:rPr>
          <w:rStyle w:val="Funotenzeichen"/>
        </w:rPr>
        <w:footnoteRef/>
      </w:r>
      <w:r>
        <w:t xml:space="preserve"> Vertrag für Wasserstoff. FAZ, 12.07.2024. </w:t>
      </w:r>
    </w:p>
  </w:footnote>
  <w:footnote w:id="889">
    <w:p w14:paraId="22F0F1EA" w14:textId="781C020E" w:rsidR="006B0EA9" w:rsidRPr="006B0EA9" w:rsidRDefault="006B0EA9">
      <w:pPr>
        <w:pStyle w:val="Funotentext"/>
      </w:pPr>
      <w:r>
        <w:rPr>
          <w:rStyle w:val="Funotenzeichen"/>
        </w:rPr>
        <w:footnoteRef/>
      </w:r>
      <w:r w:rsidRPr="006B0EA9">
        <w:t xml:space="preserve"> Siehe: undatiert, </w:t>
      </w:r>
      <w:proofErr w:type="spellStart"/>
      <w:r w:rsidRPr="006B0EA9">
        <w:t>Results</w:t>
      </w:r>
      <w:proofErr w:type="spellEnd"/>
      <w:r w:rsidRPr="006B0EA9">
        <w:t xml:space="preserve"> oft he </w:t>
      </w:r>
      <w:proofErr w:type="spellStart"/>
      <w:r w:rsidRPr="006B0EA9">
        <w:t>pilot</w:t>
      </w:r>
      <w:proofErr w:type="spellEnd"/>
      <w:r w:rsidRPr="006B0EA9">
        <w:t xml:space="preserve"> </w:t>
      </w:r>
      <w:proofErr w:type="spellStart"/>
      <w:r w:rsidRPr="006B0EA9">
        <w:t>au</w:t>
      </w:r>
      <w:r>
        <w:t>ction</w:t>
      </w:r>
      <w:proofErr w:type="spellEnd"/>
      <w:r>
        <w:t xml:space="preserve"> – Lot 1: </w:t>
      </w:r>
      <w:hyperlink r:id="rId681" w:history="1">
        <w:r w:rsidRPr="004E7EE4">
          <w:rPr>
            <w:rStyle w:val="Hyperlink"/>
          </w:rPr>
          <w:t>https://www.h2-global.org/news</w:t>
        </w:r>
      </w:hyperlink>
      <w:r>
        <w:t xml:space="preserve"> - Zugegriffen: 12.07.2024. </w:t>
      </w:r>
    </w:p>
  </w:footnote>
  <w:footnote w:id="890">
    <w:p w14:paraId="2F65BE39" w14:textId="77777777" w:rsidR="00BC6953" w:rsidRDefault="00BC6953" w:rsidP="00BC6953">
      <w:pPr>
        <w:pStyle w:val="Funotentext"/>
      </w:pPr>
      <w:r>
        <w:rPr>
          <w:rStyle w:val="Funotenzeichen"/>
        </w:rPr>
        <w:footnoteRef/>
      </w:r>
      <w:r>
        <w:t xml:space="preserve"> Siehe: </w:t>
      </w:r>
      <w:hyperlink r:id="rId682" w:history="1">
        <w:r w:rsidRPr="006E46F6">
          <w:rPr>
            <w:rStyle w:val="Hyperlink"/>
          </w:rPr>
          <w:t>https://de.wikipedia.org/wiki/Solarpark_Benban</w:t>
        </w:r>
      </w:hyperlink>
      <w:r>
        <w:t xml:space="preserve"> - Zugegriffen: 25.07.2024. </w:t>
      </w:r>
    </w:p>
  </w:footnote>
  <w:footnote w:id="891">
    <w:p w14:paraId="6D3F4D9F" w14:textId="77777777" w:rsidR="00BC6953" w:rsidRDefault="00BC6953" w:rsidP="00BC6953">
      <w:pPr>
        <w:pStyle w:val="Funotentext"/>
      </w:pPr>
      <w:r>
        <w:rPr>
          <w:rStyle w:val="Funotenzeichen"/>
        </w:rPr>
        <w:footnoteRef/>
      </w:r>
      <w:r>
        <w:t xml:space="preserve"> Große U.S. Firmen sind hier </w:t>
      </w:r>
      <w:proofErr w:type="spellStart"/>
      <w:r>
        <w:t>NEXTracker</w:t>
      </w:r>
      <w:proofErr w:type="spellEnd"/>
      <w:r>
        <w:t xml:space="preserve">, Array Technologies, </w:t>
      </w:r>
      <w:proofErr w:type="spellStart"/>
      <w:r>
        <w:t>GameChange</w:t>
      </w:r>
      <w:proofErr w:type="spellEnd"/>
      <w:r>
        <w:t xml:space="preserve"> </w:t>
      </w:r>
      <w:proofErr w:type="spellStart"/>
      <w:r>
        <w:t>Sloar</w:t>
      </w:r>
      <w:proofErr w:type="spellEnd"/>
      <w:r>
        <w:t xml:space="preserve">, </w:t>
      </w:r>
      <w:proofErr w:type="gramStart"/>
      <w:r>
        <w:t>PV Hardware</w:t>
      </w:r>
      <w:proofErr w:type="gramEnd"/>
      <w:r>
        <w:t xml:space="preserve">, FTC Solar, </w:t>
      </w:r>
      <w:proofErr w:type="spellStart"/>
      <w:r>
        <w:t>AcerlorMittal</w:t>
      </w:r>
      <w:proofErr w:type="spellEnd"/>
      <w:r>
        <w:t xml:space="preserve"> </w:t>
      </w:r>
      <w:proofErr w:type="spellStart"/>
      <w:r>
        <w:t>Exosund</w:t>
      </w:r>
      <w:proofErr w:type="spellEnd"/>
      <w:r>
        <w:t xml:space="preserve">, Solar </w:t>
      </w:r>
      <w:proofErr w:type="spellStart"/>
      <w:r>
        <w:t>FlexRack</w:t>
      </w:r>
      <w:proofErr w:type="spellEnd"/>
      <w:r>
        <w:t xml:space="preserve">, </w:t>
      </w:r>
      <w:proofErr w:type="spellStart"/>
      <w:r>
        <w:t>Soltec</w:t>
      </w:r>
      <w:proofErr w:type="spellEnd"/>
      <w:r>
        <w:t>. Diese Firmen beginnen auch damit Agri-PV anzubieten. Überblick in DOE Solar 2022: 50-56.</w:t>
      </w:r>
    </w:p>
  </w:footnote>
  <w:footnote w:id="892">
    <w:p w14:paraId="550FDDDB" w14:textId="42ABADD7" w:rsidR="006A3B4A" w:rsidRDefault="006A3B4A">
      <w:pPr>
        <w:pStyle w:val="Funotentext"/>
      </w:pPr>
      <w:r>
        <w:rPr>
          <w:rStyle w:val="Funotenzeichen"/>
        </w:rPr>
        <w:footnoteRef/>
      </w:r>
      <w:r>
        <w:t xml:space="preserve"> Siehe: </w:t>
      </w:r>
      <w:hyperlink r:id="rId683" w:history="1">
        <w:r w:rsidRPr="00DC0190">
          <w:rPr>
            <w:rStyle w:val="Hyperlink"/>
          </w:rPr>
          <w:t>https://www.lee-nrw.de/themen/wasserstoff/</w:t>
        </w:r>
      </w:hyperlink>
      <w:r>
        <w:t xml:space="preserve"> - Zugegriffen: 06.02.2025. </w:t>
      </w:r>
    </w:p>
  </w:footnote>
  <w:footnote w:id="893">
    <w:p w14:paraId="631019D6" w14:textId="7677772E" w:rsidR="00BE3710" w:rsidRDefault="00BE3710">
      <w:pPr>
        <w:pStyle w:val="Funotentext"/>
      </w:pPr>
      <w:r>
        <w:rPr>
          <w:rStyle w:val="Funotenzeichen"/>
        </w:rPr>
        <w:footnoteRef/>
      </w:r>
      <w:r>
        <w:t xml:space="preserve"> Siehe: </w:t>
      </w:r>
      <w:hyperlink r:id="rId684" w:history="1">
        <w:r w:rsidRPr="00DC0190">
          <w:rPr>
            <w:rStyle w:val="Hyperlink"/>
          </w:rPr>
          <w:t>https://www.sefe-energy.eu/blog/detail/wasserstoffbedarf-waechst-erzeugung-und-import-heute-und-morgen.html</w:t>
        </w:r>
      </w:hyperlink>
      <w:r>
        <w:t xml:space="preserve"> - Zugegriffen: 06.02.2025.</w:t>
      </w:r>
    </w:p>
  </w:footnote>
  <w:footnote w:id="894">
    <w:p w14:paraId="44AD07C5" w14:textId="1DCE26AA" w:rsidR="00BE3710" w:rsidRDefault="00BE3710">
      <w:pPr>
        <w:pStyle w:val="Funotentext"/>
      </w:pPr>
      <w:r>
        <w:rPr>
          <w:rStyle w:val="Funotenzeichen"/>
        </w:rPr>
        <w:footnoteRef/>
      </w:r>
      <w:r>
        <w:t xml:space="preserve"> Siehe: </w:t>
      </w:r>
      <w:hyperlink r:id="rId685" w:history="1">
        <w:r w:rsidRPr="00BE3710">
          <w:rPr>
            <w:rStyle w:val="Hyperlink"/>
          </w:rPr>
          <w:t>https://gen2energy.com/</w:t>
        </w:r>
      </w:hyperlink>
    </w:p>
  </w:footnote>
  <w:footnote w:id="895">
    <w:p w14:paraId="2D386E83" w14:textId="24BB2B82" w:rsidR="00BE3710" w:rsidRDefault="00BE3710">
      <w:pPr>
        <w:pStyle w:val="Funotentext"/>
      </w:pPr>
      <w:r>
        <w:rPr>
          <w:rStyle w:val="Funotenzeichen"/>
        </w:rPr>
        <w:footnoteRef/>
      </w:r>
      <w:r>
        <w:t xml:space="preserve"> Siehe: </w:t>
      </w:r>
      <w:hyperlink r:id="rId686" w:history="1">
        <w:r w:rsidRPr="00DC0190">
          <w:rPr>
            <w:rStyle w:val="Hyperlink"/>
          </w:rPr>
          <w:t>https://gen2energy.com/projects/production-sites/?_gl=1*1v4ufib*_up*MQ..*_ga*MTAxMDQ0MzM0MS4xNzM4ODgxMDAz*_ga_2G9JLTXMYT*MTczODg4MTAwMi4xLjAuMTczODg4MTAwMi4wLjAuMA</w:t>
        </w:r>
      </w:hyperlink>
      <w:r w:rsidRPr="00BE3710">
        <w:t>..</w:t>
      </w:r>
      <w:r>
        <w:t xml:space="preserve"> – Zugegriffen: 06.02.2025. </w:t>
      </w:r>
    </w:p>
  </w:footnote>
  <w:footnote w:id="896">
    <w:p w14:paraId="296D794A" w14:textId="77777777" w:rsidR="00135230" w:rsidRDefault="00135230" w:rsidP="00135230">
      <w:pPr>
        <w:pStyle w:val="Funotentext"/>
      </w:pPr>
      <w:r>
        <w:rPr>
          <w:rStyle w:val="Funotenzeichen"/>
        </w:rPr>
        <w:footnoteRef/>
      </w:r>
      <w:r>
        <w:t xml:space="preserve"> Siehe Pressemittelungen, 03.02.2025: </w:t>
      </w:r>
      <w:hyperlink r:id="rId687" w:history="1">
        <w:r w:rsidRPr="00B5143D">
          <w:rPr>
            <w:rStyle w:val="Hyperlink"/>
          </w:rPr>
          <w:t>https://www.sefe.eu/newsroom/pressemitteilungen/sefe-und-acwa-power-schliessen-partnerschaft-zur-lieferung-von-jaehrlich-200000-tonnen-gruenem-wasserstoff-nach-deutschland-und-europa</w:t>
        </w:r>
      </w:hyperlink>
      <w:r>
        <w:t xml:space="preserve"> - Zugegriffen: 03.02.2025. </w:t>
      </w:r>
    </w:p>
  </w:footnote>
  <w:footnote w:id="897">
    <w:p w14:paraId="3C9EF21E" w14:textId="7FEA3C86" w:rsidR="00135230" w:rsidRDefault="00135230">
      <w:pPr>
        <w:pStyle w:val="Funotentext"/>
      </w:pPr>
      <w:r>
        <w:rPr>
          <w:rStyle w:val="Funotenzeichen"/>
        </w:rPr>
        <w:footnoteRef/>
      </w:r>
      <w:r>
        <w:t xml:space="preserve"> Siehe: </w:t>
      </w:r>
      <w:proofErr w:type="spellStart"/>
      <w:r>
        <w:t>Pressemitteliung</w:t>
      </w:r>
      <w:proofErr w:type="spellEnd"/>
      <w:r>
        <w:t xml:space="preserve">, 13.11.2024: </w:t>
      </w:r>
      <w:hyperlink r:id="rId688" w:history="1">
        <w:r w:rsidRPr="00DC0190">
          <w:rPr>
            <w:rStyle w:val="Hyperlink"/>
          </w:rPr>
          <w:t>https://www.sefe.eu/newsroom/pressemitteilungen/sefe-eletrobras-und-enertech-kooperation-zur-lieferung-von-200000-tonnen-gruenem-wasserstoff-nach-deutschland</w:t>
        </w:r>
      </w:hyperlink>
      <w:r>
        <w:t xml:space="preserve"> - Zugegriffen: 06.02.2025. </w:t>
      </w:r>
    </w:p>
  </w:footnote>
  <w:footnote w:id="898">
    <w:p w14:paraId="702485A4" w14:textId="77777777" w:rsidR="00477E07" w:rsidRDefault="00477E07" w:rsidP="00477E07">
      <w:pPr>
        <w:pStyle w:val="Funotentext"/>
      </w:pPr>
      <w:r>
        <w:rPr>
          <w:rStyle w:val="Funotenzeichen"/>
        </w:rPr>
        <w:footnoteRef/>
      </w:r>
      <w:r>
        <w:t xml:space="preserve"> Siehe: Pressemitteilung, 28.06.2024, Deutschland und Marokko vereinbaren Allianz für Klima und Energie. In: </w:t>
      </w:r>
      <w:hyperlink r:id="rId689" w:history="1">
        <w:r w:rsidRPr="00367CDD">
          <w:rPr>
            <w:rStyle w:val="Hyperlink"/>
          </w:rPr>
          <w:t>https://www.bmwk.de/Redaktion/DE/Pressemitteilungen/2024/06/20240628-deutschland-marokko-allianz-fuer-klima-und-energie.html</w:t>
        </w:r>
      </w:hyperlink>
      <w:r>
        <w:t xml:space="preserve"> - Zugegriffen: 28.06.2024. </w:t>
      </w:r>
    </w:p>
  </w:footnote>
  <w:footnote w:id="899">
    <w:p w14:paraId="272EBE9E" w14:textId="77777777" w:rsidR="00C868E7" w:rsidRDefault="00C868E7" w:rsidP="00C868E7">
      <w:pPr>
        <w:pStyle w:val="Funotentext"/>
      </w:pPr>
      <w:r>
        <w:rPr>
          <w:rStyle w:val="Funotenzeichen"/>
        </w:rPr>
        <w:footnoteRef/>
      </w:r>
      <w:r>
        <w:t xml:space="preserve"> Siehe: </w:t>
      </w:r>
      <w:hyperlink r:id="rId690" w:history="1">
        <w:r w:rsidRPr="00151089">
          <w:rPr>
            <w:rStyle w:val="Hyperlink"/>
          </w:rPr>
          <w:t>https://www.energy4climate.nrw/aktuelles/newsroom/uniper-und-thyssenkrupp-uhde-starten-pilotprojekt-fuer-ammoniak-cracker-in-nrw</w:t>
        </w:r>
      </w:hyperlink>
      <w:r>
        <w:t xml:space="preserve"> - Zugegriffen: 16.06.2025. </w:t>
      </w:r>
    </w:p>
  </w:footnote>
  <w:footnote w:id="900">
    <w:p w14:paraId="15F7B5FA" w14:textId="77777777" w:rsidR="001E0921" w:rsidRDefault="001E0921" w:rsidP="001E0921">
      <w:pPr>
        <w:pStyle w:val="Funotentext"/>
      </w:pPr>
      <w:r>
        <w:rPr>
          <w:rStyle w:val="Funotenzeichen"/>
        </w:rPr>
        <w:footnoteRef/>
      </w:r>
      <w:r>
        <w:t xml:space="preserve"> Christian Schubert. Wie Wasserstoff nach Deutschland kommen soll. FAZ, 19.07.2024. </w:t>
      </w:r>
    </w:p>
  </w:footnote>
  <w:footnote w:id="901">
    <w:p w14:paraId="488F2944" w14:textId="77777777" w:rsidR="00477E07" w:rsidRDefault="00477E07" w:rsidP="00477E07">
      <w:pPr>
        <w:pStyle w:val="Funotentext"/>
      </w:pPr>
      <w:r>
        <w:rPr>
          <w:rStyle w:val="Funotenzeichen"/>
        </w:rPr>
        <w:footnoteRef/>
      </w:r>
      <w:r>
        <w:t xml:space="preserve"> Christian Schubert. Wie Wasserstoff nach Deutschland kommen soll. FAZ, 19.07.2024. </w:t>
      </w:r>
    </w:p>
  </w:footnote>
  <w:footnote w:id="902">
    <w:p w14:paraId="3F95A01E" w14:textId="62D61F11" w:rsidR="0039385E" w:rsidRPr="0039385E" w:rsidRDefault="0039385E">
      <w:pPr>
        <w:pStyle w:val="Funotentext"/>
      </w:pPr>
      <w:r>
        <w:rPr>
          <w:rStyle w:val="Funotenzeichen"/>
        </w:rPr>
        <w:footnoteRef/>
      </w:r>
      <w:r w:rsidRPr="0039385E">
        <w:t xml:space="preserve"> Siehe: </w:t>
      </w:r>
      <w:hyperlink r:id="rId691" w:history="1">
        <w:r w:rsidRPr="0039385E">
          <w:rPr>
            <w:rStyle w:val="Hyperlink"/>
          </w:rPr>
          <w:t>https://www.vng.de/de/newsroom/2024-10-14-vng-ag-unterzeichnet-absichtserklaerung-zum-import-von-gruenem-wasserstoff</w:t>
        </w:r>
      </w:hyperlink>
      <w:r w:rsidRPr="0039385E">
        <w:t xml:space="preserve"> </w:t>
      </w:r>
      <w:r>
        <w:t>- Zugegriffen: 15.11.2024.</w:t>
      </w:r>
    </w:p>
  </w:footnote>
  <w:footnote w:id="903">
    <w:p w14:paraId="20CB3510" w14:textId="78AC387B" w:rsidR="0039385E" w:rsidRPr="0039385E" w:rsidRDefault="0039385E">
      <w:pPr>
        <w:pStyle w:val="Funotentext"/>
        <w:rPr>
          <w:lang w:val="es-ES"/>
        </w:rPr>
      </w:pPr>
      <w:r>
        <w:rPr>
          <w:rStyle w:val="Funotenzeichen"/>
        </w:rPr>
        <w:footnoteRef/>
      </w:r>
      <w:r w:rsidRPr="0039385E">
        <w:rPr>
          <w:lang w:val="es-ES"/>
        </w:rPr>
        <w:t xml:space="preserve"> </w:t>
      </w:r>
      <w:r w:rsidRPr="0039385E">
        <w:rPr>
          <w:lang w:val="es-ES"/>
        </w:rPr>
        <w:t xml:space="preserve">SouthH2Corridor: </w:t>
      </w:r>
      <w:hyperlink r:id="rId692" w:history="1">
        <w:r w:rsidRPr="00F203CA">
          <w:rPr>
            <w:rStyle w:val="Hyperlink"/>
            <w:lang w:val="es-ES"/>
          </w:rPr>
          <w:t>https://www.south2corridor.net/</w:t>
        </w:r>
      </w:hyperlink>
      <w:r>
        <w:rPr>
          <w:lang w:val="es-ES"/>
        </w:rPr>
        <w:t xml:space="preserve"> </w:t>
      </w:r>
    </w:p>
  </w:footnote>
  <w:footnote w:id="904">
    <w:p w14:paraId="271C1469" w14:textId="3D96762F" w:rsidR="007E794F" w:rsidRPr="007E794F" w:rsidRDefault="007E794F">
      <w:pPr>
        <w:pStyle w:val="Funotentext"/>
      </w:pPr>
      <w:r>
        <w:rPr>
          <w:rStyle w:val="Funotenzeichen"/>
        </w:rPr>
        <w:footnoteRef/>
      </w:r>
      <w:r w:rsidRPr="004D140D">
        <w:t xml:space="preserve"> Claudia Bröll, Lüderitz. </w:t>
      </w:r>
      <w:r w:rsidRPr="007E794F">
        <w:t>Erst Diamanten, jetzt gr</w:t>
      </w:r>
      <w:r>
        <w:t xml:space="preserve">üner Wasserstoff. FAZ, 13.09.2024. </w:t>
      </w:r>
    </w:p>
  </w:footnote>
  <w:footnote w:id="905">
    <w:p w14:paraId="6EDB1F65" w14:textId="77777777" w:rsidR="00A25C61" w:rsidRDefault="00A25C61" w:rsidP="00A25C61">
      <w:pPr>
        <w:pStyle w:val="Funotentext"/>
      </w:pPr>
      <w:r>
        <w:rPr>
          <w:rStyle w:val="Funotenzeichen"/>
        </w:rPr>
        <w:footnoteRef/>
      </w:r>
      <w:r>
        <w:t xml:space="preserve"> BMWK Pressemitteilung, 11.04.2025, </w:t>
      </w:r>
      <w:r w:rsidRPr="004F7A20">
        <w:t xml:space="preserve">Vom Bundesministerium für Wirtschaft und Klimaschutz gefördertes Wasserstoffprojekt </w:t>
      </w:r>
      <w:proofErr w:type="spellStart"/>
      <w:r w:rsidRPr="004F7A20">
        <w:t>Oshivela</w:t>
      </w:r>
      <w:proofErr w:type="spellEnd"/>
      <w:r w:rsidRPr="004F7A20">
        <w:t>/</w:t>
      </w:r>
      <w:proofErr w:type="spellStart"/>
      <w:r w:rsidRPr="004F7A20">
        <w:t>HyIron</w:t>
      </w:r>
      <w:proofErr w:type="spellEnd"/>
      <w:r w:rsidRPr="004F7A20">
        <w:t xml:space="preserve"> in Namibia eröffnet</w:t>
      </w:r>
      <w:r>
        <w:t xml:space="preserve">, siehe: </w:t>
      </w:r>
      <w:r w:rsidRPr="004F7A20">
        <w:t xml:space="preserve"> </w:t>
      </w:r>
      <w:hyperlink r:id="rId693" w:history="1">
        <w:r w:rsidRPr="00D72181">
          <w:rPr>
            <w:rStyle w:val="Hyperlink"/>
          </w:rPr>
          <w:t>https://www.bmwk.de/Redaktion/DE/Pressemitteilungen/2025/20250411-vom-bundesministerium-fuer-wirtschaft-und-klimaschutz-gefoerdertes-wasserstoffprojekt-oshivela-hyIronin-namibia-eroeffnet.html</w:t>
        </w:r>
      </w:hyperlink>
      <w:r>
        <w:t xml:space="preserve"> - Zugegriffen: 27.05.2025. </w:t>
      </w:r>
    </w:p>
  </w:footnote>
  <w:footnote w:id="906">
    <w:p w14:paraId="009CF2B3" w14:textId="7A13DE0B" w:rsidR="0077456A" w:rsidRDefault="0077456A">
      <w:pPr>
        <w:pStyle w:val="Funotentext"/>
      </w:pPr>
      <w:r>
        <w:rPr>
          <w:rStyle w:val="Funotenzeichen"/>
        </w:rPr>
        <w:footnoteRef/>
      </w:r>
      <w:r>
        <w:t xml:space="preserve"> Claudia Bröll, Kapstadt. Grüner Wasserstoff aus Angola. FAZ, 05.10.2024. </w:t>
      </w:r>
    </w:p>
  </w:footnote>
  <w:footnote w:id="907">
    <w:p w14:paraId="57B64ED6" w14:textId="6B27159E" w:rsidR="00A70EB1" w:rsidRDefault="00A70EB1">
      <w:pPr>
        <w:pStyle w:val="Funotentext"/>
      </w:pPr>
      <w:r>
        <w:rPr>
          <w:rStyle w:val="Funotenzeichen"/>
        </w:rPr>
        <w:footnoteRef/>
      </w:r>
      <w:r>
        <w:t xml:space="preserve"> </w:t>
      </w:r>
      <w:bookmarkStart w:id="52" w:name="_Hlk186198323"/>
      <w:r>
        <w:t xml:space="preserve">Siehe: </w:t>
      </w:r>
      <w:hyperlink r:id="rId694" w:anchor="user" w:history="1">
        <w:r w:rsidRPr="00684BD6">
          <w:rPr>
            <w:rStyle w:val="Hyperlink"/>
          </w:rPr>
          <w:t>https://maps.iee.fraunhofer.de/ptx-atlas/</w:t>
        </w:r>
      </w:hyperlink>
      <w:bookmarkEnd w:id="52"/>
    </w:p>
  </w:footnote>
  <w:footnote w:id="908">
    <w:p w14:paraId="4F8BCDB9" w14:textId="01866F91" w:rsidR="00A70EB1" w:rsidRDefault="00A70EB1">
      <w:pPr>
        <w:pStyle w:val="Funotentext"/>
      </w:pPr>
      <w:r>
        <w:rPr>
          <w:rStyle w:val="Funotenzeichen"/>
        </w:rPr>
        <w:footnoteRef/>
      </w:r>
      <w:r>
        <w:t xml:space="preserve"> Siehe: </w:t>
      </w:r>
      <w:hyperlink r:id="rId695" w:anchor="flaechenpotenzialanalyse" w:history="1">
        <w:r w:rsidRPr="00684BD6">
          <w:rPr>
            <w:rStyle w:val="Hyperlink"/>
          </w:rPr>
          <w:t>https://devkopsys.de/ptx-atlas/#flaechenpotenzialanalyse</w:t>
        </w:r>
      </w:hyperlink>
      <w:r>
        <w:t xml:space="preserve"> – Zugegriffen: 26.12.2024. </w:t>
      </w:r>
    </w:p>
  </w:footnote>
  <w:footnote w:id="909">
    <w:p w14:paraId="3596236C" w14:textId="5D7344CC" w:rsidR="001035C7" w:rsidRDefault="001035C7">
      <w:pPr>
        <w:pStyle w:val="Funotentext"/>
      </w:pPr>
      <w:r>
        <w:rPr>
          <w:rStyle w:val="Funotenzeichen"/>
        </w:rPr>
        <w:footnoteRef/>
      </w:r>
      <w:r>
        <w:t xml:space="preserve"> Siehe: </w:t>
      </w:r>
      <w:hyperlink r:id="rId696" w:history="1">
        <w:r w:rsidRPr="005F0F5C">
          <w:rPr>
            <w:rStyle w:val="Hyperlink"/>
          </w:rPr>
          <w:t>https://hypat.de/hypat/</w:t>
        </w:r>
      </w:hyperlink>
      <w:r>
        <w:t xml:space="preserve"> </w:t>
      </w:r>
    </w:p>
  </w:footnote>
  <w:footnote w:id="910">
    <w:p w14:paraId="6DF6A4BC" w14:textId="77777777" w:rsidR="00135230" w:rsidRDefault="00135230" w:rsidP="00135230">
      <w:pPr>
        <w:pStyle w:val="Funotentext"/>
      </w:pPr>
      <w:r>
        <w:rPr>
          <w:rStyle w:val="Funotenzeichen"/>
        </w:rPr>
        <w:footnoteRef/>
      </w:r>
      <w:r>
        <w:t xml:space="preserve"> Siehe: </w:t>
      </w:r>
      <w:hyperlink r:id="rId697" w:history="1">
        <w:r w:rsidRPr="00A0302A">
          <w:rPr>
            <w:rStyle w:val="Hyperlink"/>
          </w:rPr>
          <w:t>https://www.bmwk.de/Redaktion/DE/Pressemitteilungen/2024/07/20240715-ipcei-wasserstoff-projekte.html</w:t>
        </w:r>
      </w:hyperlink>
      <w:r>
        <w:t xml:space="preserve"> - Zugegriffen: 19.07.2024. </w:t>
      </w:r>
    </w:p>
  </w:footnote>
  <w:footnote w:id="911">
    <w:p w14:paraId="2A1AA7C6" w14:textId="77777777" w:rsidR="00135230" w:rsidRDefault="00135230" w:rsidP="00135230">
      <w:pPr>
        <w:pStyle w:val="Funotentext"/>
      </w:pPr>
      <w:r>
        <w:rPr>
          <w:rStyle w:val="Funotenzeichen"/>
        </w:rPr>
        <w:footnoteRef/>
      </w:r>
      <w:r>
        <w:t xml:space="preserve"> Siehe: </w:t>
      </w:r>
      <w:hyperlink r:id="rId698" w:history="1">
        <w:r w:rsidRPr="00A0302A">
          <w:rPr>
            <w:rStyle w:val="Hyperlink"/>
          </w:rPr>
          <w:t>https://www.bmwk.de/Redaktion/DE/Downloads/I/ipcei-deutsche-hy2infra-projekte.pdf?__blob=publicationFile&amp;v=7</w:t>
        </w:r>
      </w:hyperlink>
      <w:r>
        <w:t xml:space="preserve"> – Zugegriffen: 19.07.2024. </w:t>
      </w:r>
    </w:p>
  </w:footnote>
  <w:footnote w:id="912">
    <w:p w14:paraId="179ABEDF" w14:textId="77777777" w:rsidR="00036F91" w:rsidRDefault="00036F91" w:rsidP="00036F91">
      <w:pPr>
        <w:pStyle w:val="Funotentext"/>
      </w:pPr>
      <w:r>
        <w:rPr>
          <w:rStyle w:val="Funotenzeichen"/>
        </w:rPr>
        <w:footnoteRef/>
      </w:r>
      <w:r>
        <w:t xml:space="preserve"> Siehe konsolidierte Fassung: </w:t>
      </w:r>
      <w:hyperlink r:id="rId699" w:history="1">
        <w:r w:rsidRPr="00E93A6A">
          <w:rPr>
            <w:rStyle w:val="Hyperlink"/>
          </w:rPr>
          <w:t>https://eur-lex.europa.eu/legal-content/EN/TXT/?uri=CELEX:02018L2001-20240716</w:t>
        </w:r>
      </w:hyperlink>
      <w:r>
        <w:t xml:space="preserve"> – Zugegriffen: 30.09.2024. </w:t>
      </w:r>
    </w:p>
  </w:footnote>
  <w:footnote w:id="913">
    <w:p w14:paraId="26991F8B" w14:textId="77777777" w:rsidR="00036F91" w:rsidRDefault="00036F91" w:rsidP="00036F91">
      <w:pPr>
        <w:pStyle w:val="Funotentext"/>
      </w:pPr>
      <w:r>
        <w:rPr>
          <w:rStyle w:val="Funotenzeichen"/>
        </w:rPr>
        <w:footnoteRef/>
      </w:r>
      <w:r>
        <w:t xml:space="preserve"> Siehe konsolidierte Fassung: </w:t>
      </w:r>
      <w:hyperlink r:id="rId700" w:history="1">
        <w:r w:rsidRPr="00E93A6A">
          <w:rPr>
            <w:rStyle w:val="Hyperlink"/>
          </w:rPr>
          <w:t>https://eur-lex.europa.eu/legal-content/EN/TXT/?uri=CELEX:02023R1184-20240610</w:t>
        </w:r>
      </w:hyperlink>
      <w:r>
        <w:t xml:space="preserve"> – Zugegriffen: 30.09.2024.</w:t>
      </w:r>
    </w:p>
  </w:footnote>
  <w:footnote w:id="914">
    <w:p w14:paraId="5B5BE99E" w14:textId="0B2A238F" w:rsidR="00036F91" w:rsidRDefault="00036F91" w:rsidP="00036F91">
      <w:pPr>
        <w:pStyle w:val="Funotentext"/>
      </w:pPr>
      <w:r>
        <w:rPr>
          <w:rStyle w:val="Funotenzeichen"/>
        </w:rPr>
        <w:footnoteRef/>
      </w:r>
      <w:r>
        <w:t xml:space="preserve"> </w:t>
      </w:r>
      <w:r w:rsidR="0077456A">
        <w:t xml:space="preserve">Siehe: </w:t>
      </w:r>
      <w:hyperlink r:id="rId701" w:history="1">
        <w:r w:rsidR="0077456A" w:rsidRPr="00EF6750">
          <w:rPr>
            <w:rStyle w:val="Hyperlink"/>
          </w:rPr>
          <w:t>https://eur-lex.europa.eu/legal-content/DE/TXT/?uri=CELEX:32023R1185</w:t>
        </w:r>
      </w:hyperlink>
      <w:r w:rsidR="0077456A">
        <w:t xml:space="preserve"> – Zugegriffen: 30.09.2024. </w:t>
      </w:r>
    </w:p>
  </w:footnote>
  <w:footnote w:id="915">
    <w:p w14:paraId="3FB705FF" w14:textId="474DE8A4" w:rsidR="00AE05D4" w:rsidRDefault="00AE05D4">
      <w:pPr>
        <w:pStyle w:val="Funotentext"/>
      </w:pPr>
      <w:r>
        <w:rPr>
          <w:rStyle w:val="Funotenzeichen"/>
        </w:rPr>
        <w:footnoteRef/>
      </w:r>
      <w:r>
        <w:t xml:space="preserve"> Nadine Bös, Hendrik </w:t>
      </w:r>
      <w:proofErr w:type="spellStart"/>
      <w:proofErr w:type="gramStart"/>
      <w:r>
        <w:t>Kafsack.</w:t>
      </w:r>
      <w:r w:rsidRPr="00AE05D4">
        <w:t>‚</w:t>
      </w:r>
      <w:proofErr w:type="gramEnd"/>
      <w:r w:rsidRPr="00AE05D4">
        <w:t>Reguliert</w:t>
      </w:r>
      <w:proofErr w:type="spellEnd"/>
      <w:r w:rsidRPr="00AE05D4">
        <w:t xml:space="preserve"> die </w:t>
      </w:r>
      <w:proofErr w:type="gramStart"/>
      <w:r w:rsidRPr="00AE05D4">
        <w:t>EU Wasserstoff</w:t>
      </w:r>
      <w:proofErr w:type="gramEnd"/>
      <w:r w:rsidRPr="00AE05D4">
        <w:t xml:space="preserve"> zu Tode?</w:t>
      </w:r>
      <w:r>
        <w:t xml:space="preserve"> FAZ, 28.05.2025.</w:t>
      </w:r>
    </w:p>
  </w:footnote>
  <w:footnote w:id="916">
    <w:p w14:paraId="7F16A932" w14:textId="5A92AFC2" w:rsidR="004D1A0D" w:rsidRDefault="004D1A0D" w:rsidP="004D1A0D">
      <w:pPr>
        <w:pStyle w:val="Funotentext"/>
      </w:pPr>
      <w:r>
        <w:rPr>
          <w:rStyle w:val="Funotenzeichen"/>
        </w:rPr>
        <w:footnoteRef/>
      </w:r>
      <w:r>
        <w:t xml:space="preserve"> S. 36-38, S. 27, Europäischer Rechnungshof, Sonderbericht 11. Die Industriepolitik der EU im Bereich Wasserstoff. 2024. Siehe: </w:t>
      </w:r>
      <w:hyperlink r:id="rId702" w:history="1">
        <w:r w:rsidRPr="00AA613D">
          <w:rPr>
            <w:rStyle w:val="Hyperlink"/>
          </w:rPr>
          <w:t>https://www.eca.europa.eu/de/publications/SR-2024-11</w:t>
        </w:r>
      </w:hyperlink>
      <w:r>
        <w:t xml:space="preserve"> - Zugegriffen: 21.07.2024.  </w:t>
      </w:r>
    </w:p>
  </w:footnote>
  <w:footnote w:id="917">
    <w:p w14:paraId="4043D58B" w14:textId="1D8C4AB8" w:rsidR="004D1A0D" w:rsidRDefault="004D1A0D" w:rsidP="004D1A0D">
      <w:pPr>
        <w:pStyle w:val="Funotentext"/>
      </w:pPr>
      <w:r>
        <w:rPr>
          <w:rStyle w:val="Funotenzeichen"/>
        </w:rPr>
        <w:footnoteRef/>
      </w:r>
      <w:r>
        <w:t xml:space="preserve"> S. 40, Europäischer Rechnungshof, Sonderbericht 11. Die Industriepolitik der EU im Bereich Wasserstoff. 2024. Siehe: </w:t>
      </w:r>
      <w:hyperlink r:id="rId703" w:history="1">
        <w:r w:rsidRPr="00AA613D">
          <w:rPr>
            <w:rStyle w:val="Hyperlink"/>
          </w:rPr>
          <w:t>https://www.eca.europa.eu/de/publications/SR-2024-11</w:t>
        </w:r>
      </w:hyperlink>
      <w:r>
        <w:t xml:space="preserve"> - Zugegriffen: 21.07.2024.  </w:t>
      </w:r>
    </w:p>
  </w:footnote>
  <w:footnote w:id="918">
    <w:p w14:paraId="5C845101" w14:textId="77777777" w:rsidR="00112190" w:rsidRDefault="00112190" w:rsidP="00112190">
      <w:pPr>
        <w:pStyle w:val="Funotentext"/>
      </w:pPr>
      <w:r>
        <w:rPr>
          <w:rStyle w:val="Funotenzeichen"/>
        </w:rPr>
        <w:footnoteRef/>
      </w:r>
      <w:r>
        <w:t xml:space="preserve"> Siehe Bundesministerium für Wohnen, Stadtentwicklung und Bauwesen: </w:t>
      </w:r>
      <w:hyperlink r:id="rId704" w:history="1">
        <w:r w:rsidRPr="00122A48">
          <w:rPr>
            <w:rStyle w:val="Hyperlink"/>
          </w:rPr>
          <w:t>https://www.bmwsb.bund.de/Webs/BMWSB/DE/themen/stadt-wohnen/WPG/kommunale-waermeplanung.html</w:t>
        </w:r>
      </w:hyperlink>
      <w:r>
        <w:t xml:space="preserve"> - Zugegriffen: 11.11.2023. </w:t>
      </w:r>
    </w:p>
  </w:footnote>
  <w:footnote w:id="919">
    <w:p w14:paraId="5B246EED" w14:textId="77777777" w:rsidR="00112190" w:rsidRDefault="00112190" w:rsidP="00112190">
      <w:pPr>
        <w:pStyle w:val="Funotentext"/>
      </w:pPr>
      <w:r>
        <w:rPr>
          <w:rStyle w:val="Funotenzeichen"/>
        </w:rPr>
        <w:footnoteRef/>
      </w:r>
      <w:r>
        <w:t xml:space="preserve"> Siehe Bundeministerium für Wohnen, Stadtentwicklung und Bauwesen: </w:t>
      </w:r>
      <w:hyperlink r:id="rId705" w:history="1">
        <w:r w:rsidRPr="00122A48">
          <w:rPr>
            <w:rStyle w:val="Hyperlink"/>
          </w:rPr>
          <w:t>https://www.bmwsb.bund.de/Webs/BMWSB/DE/themen/stadt-wohnen/WPG/kommunale-waermeplanung.html</w:t>
        </w:r>
      </w:hyperlink>
      <w:r>
        <w:t xml:space="preserve"> - Zugegriffen: 11.11.2023.</w:t>
      </w:r>
    </w:p>
  </w:footnote>
  <w:footnote w:id="920">
    <w:p w14:paraId="1FC05297" w14:textId="77777777" w:rsidR="00112190" w:rsidRDefault="00112190" w:rsidP="00112190">
      <w:pPr>
        <w:pStyle w:val="Funotentext"/>
      </w:pPr>
      <w:r>
        <w:rPr>
          <w:rStyle w:val="Funotenzeichen"/>
        </w:rPr>
        <w:footnoteRef/>
      </w:r>
      <w:r>
        <w:t xml:space="preserve"> Siehe: </w:t>
      </w:r>
      <w:hyperlink r:id="rId706" w:history="1">
        <w:r w:rsidRPr="00FF3D28">
          <w:rPr>
            <w:rStyle w:val="Hyperlink"/>
          </w:rPr>
          <w:t>https://www.bundesregierung.de/breg-de/aktuelles/waermeplanungsgesetz-2213692</w:t>
        </w:r>
      </w:hyperlink>
      <w:r>
        <w:t xml:space="preserve"> - siehe auch: </w:t>
      </w:r>
      <w:hyperlink r:id="rId707" w:history="1">
        <w:r w:rsidRPr="00FF3D28">
          <w:rPr>
            <w:rStyle w:val="Hyperlink"/>
          </w:rPr>
          <w:t>https://www.bmwsb.bund.de/SharedDocs/pressemitteilungen/Webs/BMWSB/DE/2023/11/wpg.html</w:t>
        </w:r>
      </w:hyperlink>
      <w:r>
        <w:t xml:space="preserve"> - Zugegriffen: 26.11.2023.</w:t>
      </w:r>
    </w:p>
  </w:footnote>
  <w:footnote w:id="921">
    <w:p w14:paraId="25C943A2" w14:textId="25065210" w:rsidR="00A769B6" w:rsidRDefault="00A769B6">
      <w:pPr>
        <w:pStyle w:val="Funotentext"/>
      </w:pPr>
      <w:r>
        <w:rPr>
          <w:rStyle w:val="Funotenzeichen"/>
        </w:rPr>
        <w:footnoteRef/>
      </w:r>
      <w:r>
        <w:t xml:space="preserve"> Rüdiger Soldt. Die Wende wackelt. Viele Kommunen schreiben an Wärmeplänen. Unklar ist, wann was daraus folgt – auch weil manche wegen der Bundestagswahl in einem Jahr Tempo herausnehmen. FAZ, 05.10.2024.  </w:t>
      </w:r>
    </w:p>
  </w:footnote>
  <w:footnote w:id="922">
    <w:p w14:paraId="36BFDA55" w14:textId="77777777" w:rsidR="00A769B6" w:rsidRDefault="00A769B6" w:rsidP="00A769B6">
      <w:pPr>
        <w:pStyle w:val="Funotentext"/>
      </w:pPr>
      <w:r>
        <w:rPr>
          <w:rStyle w:val="Funotenzeichen"/>
        </w:rPr>
        <w:footnoteRef/>
      </w:r>
      <w:r>
        <w:t xml:space="preserve"> Rüdiger Soldt. Die Wende wackelt. Viele Kommunen schreiben an Wärmeplänen. Unklar ist, wann was daraus folgt – auch weil manche wegen der Bundestagswahl in einem Jahr Tempo herausnehmen. FAZ, 05.10.2024.  </w:t>
      </w:r>
    </w:p>
  </w:footnote>
  <w:footnote w:id="923">
    <w:p w14:paraId="2CC36573" w14:textId="600A74FB" w:rsidR="00EC22BF" w:rsidRDefault="00EC22BF">
      <w:pPr>
        <w:pStyle w:val="Funotentext"/>
      </w:pPr>
      <w:r>
        <w:rPr>
          <w:rStyle w:val="Funotenzeichen"/>
        </w:rPr>
        <w:footnoteRef/>
      </w:r>
      <w:r>
        <w:t xml:space="preserve"> Hanna Decker. Was Sie zur Heizungsförderung wissen müssen. FAZ, 07.06.2024. </w:t>
      </w:r>
    </w:p>
  </w:footnote>
  <w:footnote w:id="924">
    <w:p w14:paraId="302D3230" w14:textId="77777777" w:rsidR="00112190" w:rsidRDefault="00112190" w:rsidP="00112190">
      <w:pPr>
        <w:pStyle w:val="Funotentext"/>
      </w:pPr>
      <w:r>
        <w:rPr>
          <w:rStyle w:val="Funotenzeichen"/>
        </w:rPr>
        <w:footnoteRef/>
      </w:r>
      <w:r>
        <w:t xml:space="preserve"> Siehe zu diesem gesamten Abschnitt: Julia Löhr. Die verhinderte Wärmewende. FAZ, Wirtschaft, 05.03.2024.</w:t>
      </w:r>
    </w:p>
  </w:footnote>
  <w:footnote w:id="925">
    <w:p w14:paraId="45281D5F" w14:textId="25DEF998" w:rsidR="00290441" w:rsidRDefault="00290441">
      <w:pPr>
        <w:pStyle w:val="Funotentext"/>
      </w:pPr>
      <w:r>
        <w:rPr>
          <w:rStyle w:val="Funotenzeichen"/>
        </w:rPr>
        <w:footnoteRef/>
      </w:r>
      <w:r>
        <w:t xml:space="preserve"> Kommentar. Habeck nimmt neuen Anlauf für die Wärmewende. FAZ, 04.08.2024.</w:t>
      </w:r>
    </w:p>
  </w:footnote>
  <w:footnote w:id="926">
    <w:p w14:paraId="50EB3247" w14:textId="77777777" w:rsidR="00112190" w:rsidRPr="00FE62B9" w:rsidRDefault="00112190" w:rsidP="00112190">
      <w:pPr>
        <w:pStyle w:val="Funotentext"/>
      </w:pPr>
      <w:r>
        <w:rPr>
          <w:rStyle w:val="Funotenzeichen"/>
        </w:rPr>
        <w:footnoteRef/>
      </w:r>
      <w:r w:rsidRPr="00FE62B9">
        <w:t xml:space="preserve"> </w:t>
      </w:r>
      <w:r>
        <w:t xml:space="preserve">Am 19.04.2024 hatten kommunale Spitzenverbände mehr Geld gefordert, darauf antwortet: </w:t>
      </w:r>
      <w:r w:rsidRPr="00FE62B9">
        <w:t xml:space="preserve">Hans-Günter Henneke. Für </w:t>
      </w:r>
      <w:r>
        <w:t>Klimaschutz brauchen die Kommunen mehr Steuern. FAZ, 26.04.2024.</w:t>
      </w:r>
    </w:p>
  </w:footnote>
  <w:footnote w:id="927">
    <w:p w14:paraId="69F4BBA3" w14:textId="77777777" w:rsidR="00112190" w:rsidRDefault="00112190" w:rsidP="00112190">
      <w:pPr>
        <w:pStyle w:val="Funotentext"/>
      </w:pPr>
      <w:r>
        <w:rPr>
          <w:rStyle w:val="Funotenzeichen"/>
        </w:rPr>
        <w:footnoteRef/>
      </w:r>
      <w:r w:rsidRPr="00FE62B9">
        <w:t xml:space="preserve"> Hanna Decker, Christian Geinitz. </w:t>
      </w:r>
      <w:r>
        <w:t>Mammutaufgabe Wärmewende. FAZ, 20. April. 2024. Die Lounge, S. 20.</w:t>
      </w:r>
    </w:p>
  </w:footnote>
  <w:footnote w:id="928">
    <w:p w14:paraId="37B0943D" w14:textId="499712F4" w:rsidR="00566656" w:rsidRDefault="00566656">
      <w:pPr>
        <w:pStyle w:val="Funotentext"/>
      </w:pPr>
      <w:r>
        <w:rPr>
          <w:rStyle w:val="Funotenzeichen"/>
        </w:rPr>
        <w:footnoteRef/>
      </w:r>
      <w:r>
        <w:t xml:space="preserve"> Tempo für die Geothermie. Habeck strebt Verdopplung der Erdwärmenutzung an. FAZ, 29.06.2024.</w:t>
      </w:r>
    </w:p>
  </w:footnote>
  <w:footnote w:id="929">
    <w:p w14:paraId="26A373DD" w14:textId="40EB617C" w:rsidR="002B70B5" w:rsidRDefault="002B70B5">
      <w:pPr>
        <w:pStyle w:val="Funotentext"/>
      </w:pPr>
      <w:r>
        <w:rPr>
          <w:rStyle w:val="Funotenzeichen"/>
        </w:rPr>
        <w:footnoteRef/>
      </w:r>
      <w:r>
        <w:t xml:space="preserve"> Günter Murr. Die Wärme kommt aus 161 Erdlöchern. FAZ, 06.09.2024. </w:t>
      </w:r>
    </w:p>
  </w:footnote>
  <w:footnote w:id="930">
    <w:p w14:paraId="6CCF40FE" w14:textId="77777777" w:rsidR="00112190" w:rsidRDefault="00112190" w:rsidP="00112190">
      <w:pPr>
        <w:pStyle w:val="Funotentext"/>
      </w:pPr>
      <w:r>
        <w:rPr>
          <w:rStyle w:val="Funotenzeichen"/>
        </w:rPr>
        <w:footnoteRef/>
      </w:r>
      <w:r>
        <w:t xml:space="preserve"> Siehe: </w:t>
      </w:r>
      <w:hyperlink r:id="rId708" w:history="1">
        <w:r w:rsidRPr="00EF012E">
          <w:rPr>
            <w:rStyle w:val="Hyperlink"/>
          </w:rPr>
          <w:t>https://www.swrag.de/wir-fuer-hier/netze/waerme-netz</w:t>
        </w:r>
      </w:hyperlink>
      <w:r>
        <w:t xml:space="preserve"> - Zugegriffen: 16.12.2023. </w:t>
      </w:r>
    </w:p>
  </w:footnote>
  <w:footnote w:id="931">
    <w:p w14:paraId="65FD35E0" w14:textId="77777777" w:rsidR="00112190" w:rsidRDefault="00112190" w:rsidP="00112190">
      <w:pPr>
        <w:pStyle w:val="Funotentext"/>
      </w:pPr>
      <w:r>
        <w:rPr>
          <w:rStyle w:val="Funotenzeichen"/>
        </w:rPr>
        <w:footnoteRef/>
      </w:r>
      <w:r>
        <w:t xml:space="preserve"> Siehe das Video und die Nachrichten: </w:t>
      </w:r>
      <w:hyperlink r:id="rId709" w:history="1">
        <w:r w:rsidRPr="00EF012E">
          <w:rPr>
            <w:rStyle w:val="Hyperlink"/>
          </w:rPr>
          <w:t>https://www.ndr.de/nachrichten/mecklenburg-vorpommern/Power-to-Heat-Anklage-der-Rostocker-,powertoheat102.html</w:t>
        </w:r>
      </w:hyperlink>
      <w:r>
        <w:t xml:space="preserve"> – Zugegriffen: 16.12.2023. </w:t>
      </w:r>
    </w:p>
  </w:footnote>
  <w:footnote w:id="932">
    <w:p w14:paraId="3E08B7E7" w14:textId="77777777" w:rsidR="00112190" w:rsidRDefault="00112190" w:rsidP="00112190">
      <w:pPr>
        <w:pStyle w:val="Funotentext"/>
      </w:pPr>
      <w:r>
        <w:rPr>
          <w:rStyle w:val="Funotenzeichen"/>
        </w:rPr>
        <w:footnoteRef/>
      </w:r>
      <w:r>
        <w:t xml:space="preserve"> Siehe: </w:t>
      </w:r>
      <w:hyperlink r:id="rId710" w:history="1">
        <w:r w:rsidRPr="00EF012E">
          <w:rPr>
            <w:rStyle w:val="Hyperlink"/>
          </w:rPr>
          <w:t>https://www.ndr.de/fernsehen/sendungen/nordmagazin/Neues-Heizungsgesetz-Rostocks-kommunaler-Waermeplan-steht,nordmagazin108550.html</w:t>
        </w:r>
      </w:hyperlink>
      <w:r>
        <w:t xml:space="preserve"> – Zugegriffen: 16.12.2023. </w:t>
      </w:r>
    </w:p>
  </w:footnote>
  <w:footnote w:id="933">
    <w:p w14:paraId="6F83F77A" w14:textId="77777777" w:rsidR="00112190" w:rsidRDefault="00112190" w:rsidP="00112190">
      <w:pPr>
        <w:pStyle w:val="Funotentext"/>
      </w:pPr>
      <w:r>
        <w:rPr>
          <w:rStyle w:val="Funotenzeichen"/>
        </w:rPr>
        <w:footnoteRef/>
      </w:r>
      <w:r>
        <w:t xml:space="preserve"> Siehe zu diesen beiden letzten Sätzen auch die Infos unter dem Reiter Fernwärme: </w:t>
      </w:r>
      <w:hyperlink r:id="rId711" w:history="1">
        <w:r w:rsidRPr="00EF012E">
          <w:rPr>
            <w:rStyle w:val="Hyperlink"/>
          </w:rPr>
          <w:t>https://kraftwerk-rostock.de/</w:t>
        </w:r>
      </w:hyperlink>
      <w:r>
        <w:t xml:space="preserve"> - Zugegriffen: 16.12.2023. </w:t>
      </w:r>
    </w:p>
  </w:footnote>
  <w:footnote w:id="934">
    <w:p w14:paraId="34B9E600" w14:textId="77777777" w:rsidR="00112190" w:rsidRDefault="00112190" w:rsidP="00112190">
      <w:pPr>
        <w:pStyle w:val="Funotentext"/>
      </w:pPr>
      <w:r>
        <w:rPr>
          <w:rStyle w:val="Funotenzeichen"/>
        </w:rPr>
        <w:footnoteRef/>
      </w:r>
      <w:r>
        <w:t xml:space="preserve"> Siehe KNG Kraftwerk Rostock: </w:t>
      </w:r>
      <w:hyperlink r:id="rId712" w:history="1">
        <w:r w:rsidRPr="00EF012E">
          <w:rPr>
            <w:rStyle w:val="Hyperlink"/>
          </w:rPr>
          <w:t>https://www.smard.de/</w:t>
        </w:r>
      </w:hyperlink>
      <w:r>
        <w:t xml:space="preserve"> - Zugegriffen: 16.12.2023. </w:t>
      </w:r>
    </w:p>
  </w:footnote>
  <w:footnote w:id="935">
    <w:p w14:paraId="28D30416" w14:textId="79FFF4DE" w:rsidR="00B32F05" w:rsidRDefault="00B32F05">
      <w:pPr>
        <w:pStyle w:val="Funotentext"/>
      </w:pPr>
      <w:r>
        <w:rPr>
          <w:rStyle w:val="Funotenzeichen"/>
        </w:rPr>
        <w:footnoteRef/>
      </w:r>
      <w:r>
        <w:t xml:space="preserve"> Nadine Bös. Heizen mit Rheinwasser. FAZ, 16.09.2024.</w:t>
      </w:r>
    </w:p>
  </w:footnote>
  <w:footnote w:id="936">
    <w:p w14:paraId="79DC2E21" w14:textId="77777777" w:rsidR="00B32F05" w:rsidRDefault="00B32F05" w:rsidP="00B32F05">
      <w:pPr>
        <w:pStyle w:val="Funotentext"/>
      </w:pPr>
      <w:r>
        <w:rPr>
          <w:rStyle w:val="Funotenzeichen"/>
        </w:rPr>
        <w:footnoteRef/>
      </w:r>
      <w:r>
        <w:t xml:space="preserve"> Nadine Bös. Heizen mit Rheinwasser. FAZ, 16.09.2024.</w:t>
      </w:r>
    </w:p>
  </w:footnote>
  <w:footnote w:id="937">
    <w:p w14:paraId="48CCC8FF" w14:textId="373D7913" w:rsidR="00A769B6" w:rsidRDefault="00A769B6" w:rsidP="00A769B6">
      <w:pPr>
        <w:pStyle w:val="Funotentext"/>
      </w:pPr>
      <w:r>
        <w:rPr>
          <w:rStyle w:val="Funotenzeichen"/>
        </w:rPr>
        <w:footnoteRef/>
      </w:r>
      <w:r>
        <w:t xml:space="preserve"> Unklar </w:t>
      </w:r>
      <w:proofErr w:type="gramStart"/>
      <w:r>
        <w:t>ist</w:t>
      </w:r>
      <w:proofErr w:type="gramEnd"/>
      <w:r>
        <w:t xml:space="preserve"> hier welche Subventionen. Für die Investition, oder auch für den Betrieb? Rüdiger Soldt. Die Wende wackelt. Viele Kommunen schreiben an Wärmeplänen. Unklar ist, wann was daraus folgt – auch weil manche wegen der Bundestagswahl in einem Jahr Tempo herausnehmen. FAZ, 05.10.2024.  </w:t>
      </w:r>
    </w:p>
  </w:footnote>
  <w:footnote w:id="938">
    <w:p w14:paraId="0E777F9D" w14:textId="77777777" w:rsidR="00BE75A2" w:rsidRDefault="00BE75A2" w:rsidP="00BE75A2">
      <w:pPr>
        <w:pStyle w:val="Funotentext"/>
      </w:pPr>
      <w:r>
        <w:rPr>
          <w:rStyle w:val="Funotenzeichen"/>
        </w:rPr>
        <w:footnoteRef/>
      </w:r>
      <w:r>
        <w:t xml:space="preserve"> Siehe: </w:t>
      </w:r>
      <w:hyperlink r:id="rId713" w:history="1">
        <w:r w:rsidRPr="00C7669A">
          <w:rPr>
            <w:rStyle w:val="Hyperlink"/>
          </w:rPr>
          <w:t>https://www.man-es.com/de/unternehmen/pressemitteilungen/press-details/2023/09/28/man-energy-solutions-liefert-klimaneutrale-fernw%C3%A4rme-f%C3%BCr-aalborg</w:t>
        </w:r>
      </w:hyperlink>
      <w:r>
        <w:t xml:space="preserve"> – Zugegriffen: 16.10.2023. Siehe </w:t>
      </w:r>
      <w:proofErr w:type="spellStart"/>
      <w:r>
        <w:t>Youtube</w:t>
      </w:r>
      <w:proofErr w:type="spellEnd"/>
      <w:r>
        <w:t xml:space="preserve"> Film über das Projekt von MAN: </w:t>
      </w:r>
      <w:hyperlink r:id="rId714" w:history="1">
        <w:r w:rsidRPr="00C7669A">
          <w:rPr>
            <w:rStyle w:val="Hyperlink"/>
          </w:rPr>
          <w:t>https://www.youtube.com/watch?v=5tvjV11Vefc</w:t>
        </w:r>
      </w:hyperlink>
      <w:r>
        <w:t xml:space="preserve"> – Zugegriffen: 16.10.2023.</w:t>
      </w:r>
    </w:p>
  </w:footnote>
  <w:footnote w:id="939">
    <w:p w14:paraId="19675DD0" w14:textId="77777777" w:rsidR="00BE75A2" w:rsidRDefault="00BE75A2" w:rsidP="00BE75A2">
      <w:pPr>
        <w:pStyle w:val="Funotentext"/>
      </w:pPr>
      <w:r>
        <w:rPr>
          <w:rStyle w:val="Funotenzeichen"/>
        </w:rPr>
        <w:footnoteRef/>
      </w:r>
      <w:r>
        <w:t xml:space="preserve"> Siehe: </w:t>
      </w:r>
      <w:hyperlink r:id="rId715" w:history="1">
        <w:r w:rsidRPr="00C7669A">
          <w:rPr>
            <w:rStyle w:val="Hyperlink"/>
          </w:rPr>
          <w:t>https://www.tagesschau.de/wirtschaft/energie/waermepumpe-esbjerg-100.html</w:t>
        </w:r>
      </w:hyperlink>
      <w:r>
        <w:t xml:space="preserve"> - Zugegriffen: 17.10.2023. </w:t>
      </w:r>
    </w:p>
  </w:footnote>
  <w:footnote w:id="940">
    <w:p w14:paraId="5AB97061" w14:textId="77777777" w:rsidR="00112190" w:rsidRDefault="00112190" w:rsidP="00112190">
      <w:pPr>
        <w:pStyle w:val="Funotentext"/>
      </w:pPr>
      <w:r>
        <w:rPr>
          <w:rStyle w:val="Funotenzeichen"/>
        </w:rPr>
        <w:footnoteRef/>
      </w:r>
      <w:r>
        <w:t xml:space="preserve"> Siehe: </w:t>
      </w:r>
      <w:hyperlink r:id="rId716" w:history="1">
        <w:r w:rsidRPr="0005578D">
          <w:rPr>
            <w:rStyle w:val="Hyperlink"/>
          </w:rPr>
          <w:t>https://www.bundesregierung.de/breg-de/aktuelles/energieeffizienzgesetz-2184812</w:t>
        </w:r>
      </w:hyperlink>
      <w:r>
        <w:t xml:space="preserve"> - Zugegriffen: 28.11.2023. Siehe zur, teils kritischen, Debatte über das Gesetz und Statements von Verbändevertretern: </w:t>
      </w:r>
      <w:hyperlink r:id="rId717" w:history="1">
        <w:r w:rsidRPr="009B6CAA">
          <w:rPr>
            <w:rStyle w:val="Hyperlink"/>
          </w:rPr>
          <w:t>https://www.bundestag.de/dokumente/textarchiv/2023/kw24-pa-klimaschutz-energieeffizienzgesetz-950108</w:t>
        </w:r>
      </w:hyperlink>
      <w:r>
        <w:t xml:space="preserve"> - Zugegriffen: 28.11.2023. </w:t>
      </w:r>
    </w:p>
  </w:footnote>
  <w:footnote w:id="941">
    <w:p w14:paraId="17192609" w14:textId="77777777" w:rsidR="00112190" w:rsidRDefault="00112190" w:rsidP="00112190">
      <w:pPr>
        <w:pStyle w:val="Funotentext"/>
      </w:pPr>
      <w:r>
        <w:rPr>
          <w:rStyle w:val="Funotenzeichen"/>
        </w:rPr>
        <w:footnoteRef/>
      </w:r>
      <w:r>
        <w:t xml:space="preserve"> Siehe: </w:t>
      </w:r>
      <w:hyperlink r:id="rId718" w:history="1">
        <w:r w:rsidRPr="00DB6AF3">
          <w:rPr>
            <w:rStyle w:val="Hyperlink"/>
          </w:rPr>
          <w:t>https://www.erneuerbare-energien.de/EE/Redaktion/DE/Standardartikel/gesetz_zur_einrichtung_eines_sondervermorgens.html</w:t>
        </w:r>
      </w:hyperlink>
      <w:r>
        <w:t xml:space="preserve">, siehe zum Gesetz: </w:t>
      </w:r>
      <w:hyperlink r:id="rId719" w:history="1">
        <w:r w:rsidRPr="00DB6AF3">
          <w:rPr>
            <w:rStyle w:val="Hyperlink"/>
          </w:rPr>
          <w:t>https://www.gesetze-im-internet.de/ekfg/index.html</w:t>
        </w:r>
      </w:hyperlink>
      <w:r>
        <w:t xml:space="preserve"> - Zugegriffen: 22.12.2023.</w:t>
      </w:r>
    </w:p>
  </w:footnote>
  <w:footnote w:id="942">
    <w:p w14:paraId="3AD4F738" w14:textId="77777777" w:rsidR="00112190" w:rsidRDefault="00112190" w:rsidP="00112190">
      <w:pPr>
        <w:pStyle w:val="Funotentext"/>
      </w:pPr>
      <w:r>
        <w:rPr>
          <w:rStyle w:val="Funotenzeichen"/>
        </w:rPr>
        <w:footnoteRef/>
      </w:r>
      <w:r>
        <w:t xml:space="preserve"> Siehe: </w:t>
      </w:r>
      <w:hyperlink r:id="rId720" w:history="1">
        <w:r w:rsidRPr="00DB6AF3">
          <w:rPr>
            <w:rStyle w:val="Hyperlink"/>
          </w:rPr>
          <w:t>https://www.erneuerbare-energien.de/EE/Redaktion/DE/Standardartikel/gesetz_zur_einrichtung_eines_sondervermorgens.html</w:t>
        </w:r>
      </w:hyperlink>
      <w:r>
        <w:t xml:space="preserve"> - Zugegriffen: 22.12.2023. </w:t>
      </w:r>
    </w:p>
  </w:footnote>
  <w:footnote w:id="943">
    <w:p w14:paraId="171CF1EB" w14:textId="77777777" w:rsidR="00112190" w:rsidRDefault="00112190" w:rsidP="00112190">
      <w:pPr>
        <w:pStyle w:val="Funotentext"/>
      </w:pPr>
      <w:r>
        <w:rPr>
          <w:rStyle w:val="Funotenzeichen"/>
        </w:rPr>
        <w:footnoteRef/>
      </w:r>
      <w:r>
        <w:t xml:space="preserve"> Siehe: </w:t>
      </w:r>
      <w:hyperlink r:id="rId721" w:history="1">
        <w:r w:rsidRPr="00FF3D28">
          <w:rPr>
            <w:rStyle w:val="Hyperlink"/>
          </w:rPr>
          <w:t>https://www.bundesregierung.de/breg-de/aktuelles/ktf-sondervermoegen-2207614</w:t>
        </w:r>
      </w:hyperlink>
      <w:r>
        <w:t xml:space="preserve"> - Zugegriffen: 26.11.2023. </w:t>
      </w:r>
    </w:p>
  </w:footnote>
  <w:footnote w:id="944">
    <w:p w14:paraId="4C797E4A" w14:textId="77777777" w:rsidR="00112190" w:rsidRDefault="00112190" w:rsidP="00112190">
      <w:pPr>
        <w:pStyle w:val="Funotentext"/>
      </w:pPr>
      <w:r>
        <w:rPr>
          <w:rStyle w:val="Funotenzeichen"/>
        </w:rPr>
        <w:footnoteRef/>
      </w:r>
      <w:r>
        <w:t xml:space="preserve"> Siehe: </w:t>
      </w:r>
      <w:hyperlink r:id="rId722" w:history="1">
        <w:r w:rsidRPr="00FF3D28">
          <w:rPr>
            <w:rStyle w:val="Hyperlink"/>
          </w:rPr>
          <w:t>https://www.bundesregierung.de/breg-de/aktuelles/ktf-sondervermoegen-2207614</w:t>
        </w:r>
      </w:hyperlink>
      <w:r>
        <w:t xml:space="preserve"> - Zugegriffen: 26.11.2023. </w:t>
      </w:r>
    </w:p>
  </w:footnote>
  <w:footnote w:id="945">
    <w:p w14:paraId="215E8D4C" w14:textId="4FECF1E3" w:rsidR="00B1438D" w:rsidRDefault="00B1438D">
      <w:pPr>
        <w:pStyle w:val="Funotentext"/>
      </w:pPr>
      <w:r>
        <w:rPr>
          <w:rStyle w:val="Funotenzeichen"/>
        </w:rPr>
        <w:footnoteRef/>
      </w:r>
      <w:r>
        <w:t xml:space="preserve"> Siehe: </w:t>
      </w:r>
      <w:hyperlink r:id="rId723" w:history="1">
        <w:r w:rsidRPr="00366B8A">
          <w:rPr>
            <w:rStyle w:val="Hyperlink"/>
          </w:rPr>
          <w:t>https://www.pik-potsdam.de/de/institut/abteilungen/klimaoekonomie-und-politik/mcc-dokumente-archiv/2024_mcc_der_ktf_auf_unsicheren_fuessen.pdf</w:t>
        </w:r>
      </w:hyperlink>
      <w:r>
        <w:t xml:space="preserve"> - Zugegriffen: 08.06.2025. </w:t>
      </w:r>
    </w:p>
  </w:footnote>
  <w:footnote w:id="946">
    <w:p w14:paraId="6BEEC661" w14:textId="77777777" w:rsidR="00112190" w:rsidRDefault="00112190" w:rsidP="00112190">
      <w:pPr>
        <w:pStyle w:val="Funotentext"/>
      </w:pPr>
      <w:r>
        <w:rPr>
          <w:rStyle w:val="Funotenzeichen"/>
        </w:rPr>
        <w:footnoteRef/>
      </w:r>
      <w:r>
        <w:t xml:space="preserve"> Siehe: BVerfG: </w:t>
      </w:r>
      <w:hyperlink r:id="rId724" w:history="1">
        <w:r w:rsidRPr="00FF3D28">
          <w:rPr>
            <w:rStyle w:val="Hyperlink"/>
          </w:rPr>
          <w:t>https://www.bundesverfassungsgericht.de/SharedDocs/Entscheidungen/DE/2023/11/fs20231115_2bvf000122.html</w:t>
        </w:r>
      </w:hyperlink>
      <w:r>
        <w:t xml:space="preserve"> - Zugegriffen: 26.11.2023. </w:t>
      </w:r>
    </w:p>
  </w:footnote>
  <w:footnote w:id="947">
    <w:p w14:paraId="78C5DC59" w14:textId="77777777" w:rsidR="00C35914" w:rsidRDefault="00C35914" w:rsidP="00C35914">
      <w:pPr>
        <w:pStyle w:val="Funotentext"/>
      </w:pPr>
      <w:r>
        <w:rPr>
          <w:rStyle w:val="Funotenzeichen"/>
        </w:rPr>
        <w:footnoteRef/>
      </w:r>
      <w:r>
        <w:t xml:space="preserve"> Siehe Bundesumweltamt, Pressemitteilung 16.07.2024: </w:t>
      </w:r>
      <w:hyperlink r:id="rId725" w:history="1">
        <w:r w:rsidRPr="00A0302A">
          <w:rPr>
            <w:rStyle w:val="Hyperlink"/>
          </w:rPr>
          <w:t>https://www.umweltbundesamt.de/presse/pressemitteilungen/europaeischer-emissionshandel-rekordrueckgang-der</w:t>
        </w:r>
      </w:hyperlink>
      <w:r>
        <w:t xml:space="preserve"> - Zugegriffen: 19.07.2024. Siehe dies als Meldung in der FAZ: Hanna Decker. Rekorderlöse aus Emissionshandel, FAZ, 17.07.2024. </w:t>
      </w:r>
    </w:p>
  </w:footnote>
  <w:footnote w:id="948">
    <w:p w14:paraId="0F5CD895" w14:textId="2A328A05" w:rsidR="00517954" w:rsidRDefault="00517954">
      <w:pPr>
        <w:pStyle w:val="Funotentext"/>
      </w:pPr>
      <w:r>
        <w:rPr>
          <w:rStyle w:val="Funotenzeichen"/>
        </w:rPr>
        <w:footnoteRef/>
      </w:r>
      <w:r>
        <w:t xml:space="preserve"> Auch im Klimafonds klafft noch eine Milliardenlücke. FAZ, 20.08.2024. </w:t>
      </w:r>
    </w:p>
  </w:footnote>
  <w:footnote w:id="949">
    <w:p w14:paraId="7A8D454D" w14:textId="0D9BDB81" w:rsidR="00C35914" w:rsidRDefault="00C35914">
      <w:pPr>
        <w:pStyle w:val="Funotentext"/>
      </w:pPr>
      <w:r>
        <w:rPr>
          <w:rStyle w:val="Funotenzeichen"/>
        </w:rPr>
        <w:footnoteRef/>
      </w:r>
      <w:r>
        <w:t xml:space="preserve"> </w:t>
      </w:r>
      <w:r w:rsidR="000B4953">
        <w:t xml:space="preserve">Siehe: Der Klima- und Transformationsfonds 2024. Entlastung schaffen, Zukunftsvisionen sichern, Transformation gestalten, 22. Dezember 2023. In: </w:t>
      </w:r>
      <w:hyperlink r:id="rId726" w:history="1">
        <w:r w:rsidR="000B4953" w:rsidRPr="00A0302A">
          <w:rPr>
            <w:rStyle w:val="Hyperlink"/>
          </w:rPr>
          <w:t>https://www.bundesregierung.de/breg-de/aktuelles/der-klima-und-transformationsfonds-2024-2250738</w:t>
        </w:r>
      </w:hyperlink>
      <w:r w:rsidR="000B4953">
        <w:t xml:space="preserve"> - Zugegriffen: 19.07.2024. </w:t>
      </w:r>
    </w:p>
  </w:footnote>
  <w:footnote w:id="950">
    <w:p w14:paraId="049B3490" w14:textId="28A4BB6C" w:rsidR="00104741" w:rsidRDefault="00104741">
      <w:pPr>
        <w:pStyle w:val="Funotentext"/>
      </w:pPr>
      <w:r>
        <w:rPr>
          <w:rStyle w:val="Funotenzeichen"/>
        </w:rPr>
        <w:footnoteRef/>
      </w:r>
      <w:r>
        <w:t xml:space="preserve"> So: Staat gewährt Milliarden an Subventionen. FAZ,21.03.2025. </w:t>
      </w:r>
    </w:p>
  </w:footnote>
  <w:footnote w:id="951">
    <w:p w14:paraId="731BF0D6" w14:textId="7FBA384E" w:rsidR="000B4953" w:rsidRDefault="000B4953">
      <w:pPr>
        <w:pStyle w:val="Funotentext"/>
      </w:pPr>
      <w:r>
        <w:rPr>
          <w:rStyle w:val="Funotenzeichen"/>
        </w:rPr>
        <w:footnoteRef/>
      </w:r>
      <w:r>
        <w:t xml:space="preserve"> Siehe: </w:t>
      </w:r>
      <w:hyperlink r:id="rId727" w:history="1">
        <w:r w:rsidRPr="00A0302A">
          <w:rPr>
            <w:rStyle w:val="Hyperlink"/>
          </w:rPr>
          <w:t>https://www.bundesregierung.de/resource/blob/975228/2250742/2b0b8637c130f344f3f79f129c8ba1f0/2023-12-22-anhang-ktf-data.pdf?download=1</w:t>
        </w:r>
      </w:hyperlink>
      <w:r>
        <w:t xml:space="preserve"> – Zugegriffen: 19.07.2024.</w:t>
      </w:r>
    </w:p>
  </w:footnote>
  <w:footnote w:id="952">
    <w:p w14:paraId="4CB6724C" w14:textId="77777777" w:rsidR="00E67C3C" w:rsidRDefault="00E67C3C" w:rsidP="00E67C3C">
      <w:pPr>
        <w:pStyle w:val="Funotentext"/>
      </w:pPr>
      <w:r>
        <w:rPr>
          <w:rStyle w:val="Funotenzeichen"/>
        </w:rPr>
        <w:footnoteRef/>
      </w:r>
      <w:r>
        <w:t xml:space="preserve"> Auch im Klimafonds klafft noch eine Milliardenlücke. FAZ, 20.08.2024. </w:t>
      </w:r>
    </w:p>
  </w:footnote>
  <w:footnote w:id="953">
    <w:p w14:paraId="4371ECE1" w14:textId="77777777" w:rsidR="00E67C3C" w:rsidRDefault="00E67C3C" w:rsidP="00E67C3C">
      <w:pPr>
        <w:pStyle w:val="Funotentext"/>
      </w:pPr>
      <w:r>
        <w:rPr>
          <w:rStyle w:val="Funotenzeichen"/>
        </w:rPr>
        <w:footnoteRef/>
      </w:r>
      <w:r>
        <w:t xml:space="preserve"> Auch im Klimafonds klafft noch eine Milliardenlücke. FAZ, 20.08.2024. </w:t>
      </w:r>
    </w:p>
  </w:footnote>
  <w:footnote w:id="954">
    <w:p w14:paraId="76BA03B9" w14:textId="1A0FE8D0" w:rsidR="00B1438D" w:rsidRDefault="00B1438D">
      <w:pPr>
        <w:pStyle w:val="Funotentext"/>
      </w:pPr>
      <w:r>
        <w:rPr>
          <w:rStyle w:val="Funotenzeichen"/>
        </w:rPr>
        <w:footnoteRef/>
      </w:r>
      <w:r>
        <w:t xml:space="preserve"> Siehe: </w:t>
      </w:r>
      <w:hyperlink r:id="rId728" w:history="1">
        <w:r w:rsidRPr="00366B8A">
          <w:rPr>
            <w:rStyle w:val="Hyperlink"/>
          </w:rPr>
          <w:t>https://www.bmwk.de/Redaktion/DE/Pressemitteilungen/2024/12/20241213-startschuss-fuer-die-chipfabrik-esmc-in-dresden.html</w:t>
        </w:r>
      </w:hyperlink>
      <w:r>
        <w:t xml:space="preserve"> - Zugegriffen: 08.06.2025. </w:t>
      </w:r>
    </w:p>
  </w:footnote>
  <w:footnote w:id="955">
    <w:p w14:paraId="4CBCD4E6" w14:textId="03A9ADD3" w:rsidR="00B1438D" w:rsidRDefault="00B1438D">
      <w:pPr>
        <w:pStyle w:val="Funotentext"/>
      </w:pPr>
      <w:r>
        <w:rPr>
          <w:rStyle w:val="Funotenzeichen"/>
        </w:rPr>
        <w:footnoteRef/>
      </w:r>
      <w:r>
        <w:t xml:space="preserve"> Siehe: </w:t>
      </w:r>
      <w:hyperlink r:id="rId729" w:history="1">
        <w:r w:rsidRPr="00366B8A">
          <w:rPr>
            <w:rStyle w:val="Hyperlink"/>
          </w:rPr>
          <w:t>https://www.mdr.de/nachrichten/sachsen-anhalt/magdeburg/magdeburg/intel-standort-grundstueck-flaeche-landwirtschaft-100.html</w:t>
        </w:r>
      </w:hyperlink>
      <w:r>
        <w:t xml:space="preserve"> - Zugegriffen: 08.06.2025. </w:t>
      </w:r>
    </w:p>
  </w:footnote>
  <w:footnote w:id="956">
    <w:p w14:paraId="6306DDF9" w14:textId="77777777" w:rsidR="00104741" w:rsidRDefault="00104741" w:rsidP="00104741">
      <w:pPr>
        <w:pStyle w:val="Funotentext"/>
      </w:pPr>
      <w:r>
        <w:rPr>
          <w:rStyle w:val="Funotenzeichen"/>
        </w:rPr>
        <w:footnoteRef/>
      </w:r>
      <w:r>
        <w:t xml:space="preserve"> So: Staat gewährt Milliarden an Subventionen. FAZ,21.03.2025. </w:t>
      </w:r>
    </w:p>
  </w:footnote>
  <w:footnote w:id="957">
    <w:p w14:paraId="423D6DDA" w14:textId="77777777" w:rsidR="00112190" w:rsidRDefault="00112190" w:rsidP="00112190">
      <w:pPr>
        <w:pStyle w:val="Funotentext"/>
      </w:pPr>
      <w:r>
        <w:rPr>
          <w:rStyle w:val="Funotenzeichen"/>
        </w:rPr>
        <w:footnoteRef/>
      </w:r>
      <w:r>
        <w:t xml:space="preserve"> Siehe: </w:t>
      </w:r>
      <w:hyperlink r:id="rId730" w:history="1">
        <w:r w:rsidRPr="005735F8">
          <w:rPr>
            <w:rStyle w:val="Hyperlink"/>
          </w:rPr>
          <w:t>https://www.klimaschutz.de/de/ueber-die-initiative</w:t>
        </w:r>
      </w:hyperlink>
      <w:r>
        <w:t xml:space="preserve"> - Zugegriffen: 30.12.2023. </w:t>
      </w:r>
    </w:p>
  </w:footnote>
  <w:footnote w:id="958">
    <w:p w14:paraId="49AC0C5A" w14:textId="77777777" w:rsidR="00112190" w:rsidRDefault="00112190" w:rsidP="00112190">
      <w:pPr>
        <w:pStyle w:val="Funotentext"/>
      </w:pPr>
      <w:r>
        <w:rPr>
          <w:rStyle w:val="Funotenzeichen"/>
        </w:rPr>
        <w:footnoteRef/>
      </w:r>
      <w:r>
        <w:t xml:space="preserve"> Als Förderprogramme werden beispielhaft genannt: Kommunalrichtlinie, Klimaschutz durch Radverkehr, Investive kommunale Klimaschutz-Modellprojekte, Kälte-Klima-Richtlinie, E-Lastenfahrrad-Richtlinie. Siehe: </w:t>
      </w:r>
      <w:hyperlink r:id="rId731" w:history="1">
        <w:r w:rsidRPr="005735F8">
          <w:rPr>
            <w:rStyle w:val="Hyperlink"/>
          </w:rPr>
          <w:t>https://www.klimaschutz.de/de/foerderung/foerderkompass</w:t>
        </w:r>
      </w:hyperlink>
      <w:r>
        <w:t xml:space="preserve"> - Zugegriffen: 30.12.2023. </w:t>
      </w:r>
    </w:p>
  </w:footnote>
  <w:footnote w:id="959">
    <w:p w14:paraId="6862AF76" w14:textId="77777777" w:rsidR="00112190" w:rsidRDefault="00112190" w:rsidP="00112190">
      <w:pPr>
        <w:pStyle w:val="Funotentext"/>
      </w:pPr>
      <w:r>
        <w:rPr>
          <w:rStyle w:val="Funotenzeichen"/>
        </w:rPr>
        <w:footnoteRef/>
      </w:r>
      <w:r>
        <w:t xml:space="preserve"> Siehe: </w:t>
      </w:r>
      <w:hyperlink r:id="rId732" w:history="1">
        <w:r w:rsidRPr="005735F8">
          <w:rPr>
            <w:rStyle w:val="Hyperlink"/>
          </w:rPr>
          <w:t>https://www.klimaschutz.de/de</w:t>
        </w:r>
      </w:hyperlink>
      <w:r>
        <w:t xml:space="preserve"> - Zugegriffen: 30.12.2023. </w:t>
      </w:r>
    </w:p>
  </w:footnote>
  <w:footnote w:id="960">
    <w:p w14:paraId="2CF228BF" w14:textId="77777777" w:rsidR="00112190" w:rsidRDefault="00112190" w:rsidP="00112190">
      <w:pPr>
        <w:pStyle w:val="Funotentext"/>
      </w:pPr>
      <w:r>
        <w:rPr>
          <w:rStyle w:val="Funotenzeichen"/>
        </w:rPr>
        <w:footnoteRef/>
      </w:r>
      <w:r>
        <w:t xml:space="preserve"> Siehe: </w:t>
      </w:r>
      <w:hyperlink r:id="rId733" w:history="1">
        <w:r w:rsidRPr="005735F8">
          <w:rPr>
            <w:rStyle w:val="Hyperlink"/>
          </w:rPr>
          <w:t>https://www.energiewechsel.de/KAENEF/Redaktion/DE/Dossier/eew-energie-und-ressourceneffizienz-in-der-wirtschaft.html</w:t>
        </w:r>
      </w:hyperlink>
      <w:r>
        <w:t xml:space="preserve"> - Zugegriffen: 30.12.2023. </w:t>
      </w:r>
    </w:p>
  </w:footnote>
  <w:footnote w:id="961">
    <w:p w14:paraId="6111E9EC" w14:textId="77777777" w:rsidR="00112190" w:rsidRDefault="00112190" w:rsidP="00112190">
      <w:pPr>
        <w:pStyle w:val="Funotentext"/>
      </w:pPr>
      <w:r>
        <w:rPr>
          <w:rStyle w:val="Funotenzeichen"/>
        </w:rPr>
        <w:footnoteRef/>
      </w:r>
      <w:r>
        <w:t xml:space="preserve"> Siehe: </w:t>
      </w:r>
      <w:hyperlink r:id="rId734" w:history="1">
        <w:r w:rsidRPr="005735F8">
          <w:rPr>
            <w:rStyle w:val="Hyperlink"/>
          </w:rPr>
          <w:t>https://www.energiewechsel.de/KAENEF/Redaktion/DE/Dossier/beg.html</w:t>
        </w:r>
      </w:hyperlink>
      <w:r>
        <w:t xml:space="preserve"> - Zugegriffen: 30.12.2023. </w:t>
      </w:r>
    </w:p>
  </w:footnote>
  <w:footnote w:id="962">
    <w:p w14:paraId="0747E7F7" w14:textId="77777777" w:rsidR="00112190" w:rsidRDefault="00112190" w:rsidP="00112190">
      <w:pPr>
        <w:pStyle w:val="Funotentext"/>
      </w:pPr>
      <w:r>
        <w:rPr>
          <w:rStyle w:val="Funotenzeichen"/>
        </w:rPr>
        <w:footnoteRef/>
      </w:r>
      <w:r>
        <w:t xml:space="preserve"> Siehe: </w:t>
      </w:r>
      <w:hyperlink r:id="rId735" w:history="1">
        <w:r w:rsidRPr="005735F8">
          <w:rPr>
            <w:rStyle w:val="Hyperlink"/>
          </w:rPr>
          <w:t>https://www.energiewechsel.de/KAENEF/Navigation/DE/Foerderprogramme/foerderprogramme-energieeffizienz.html</w:t>
        </w:r>
      </w:hyperlink>
      <w:r>
        <w:t xml:space="preserve"> - Zugegriffen: 30.12.2023. </w:t>
      </w:r>
    </w:p>
  </w:footnote>
  <w:footnote w:id="963">
    <w:p w14:paraId="6C9AB16A" w14:textId="77777777" w:rsidR="00112190" w:rsidRDefault="00112190" w:rsidP="00112190">
      <w:pPr>
        <w:pStyle w:val="Funotentext"/>
      </w:pPr>
      <w:r>
        <w:rPr>
          <w:rStyle w:val="Funotenzeichen"/>
        </w:rPr>
        <w:footnoteRef/>
      </w:r>
      <w:r>
        <w:t xml:space="preserve"> Siehe: </w:t>
      </w:r>
      <w:hyperlink r:id="rId736" w:history="1">
        <w:r w:rsidRPr="005735F8">
          <w:rPr>
            <w:rStyle w:val="Hyperlink"/>
          </w:rPr>
          <w:t>https://www.foerderdatenbank.de/FDB/DE/Home/home.html</w:t>
        </w:r>
      </w:hyperlink>
      <w:r>
        <w:t xml:space="preserve"> - Zugegriffen: 30.12.2023. </w:t>
      </w:r>
    </w:p>
  </w:footnote>
  <w:footnote w:id="964">
    <w:p w14:paraId="059522AD" w14:textId="77777777" w:rsidR="00112190" w:rsidRDefault="00112190" w:rsidP="00112190">
      <w:pPr>
        <w:pStyle w:val="Funotentext"/>
      </w:pPr>
      <w:r>
        <w:rPr>
          <w:rStyle w:val="Funotenzeichen"/>
        </w:rPr>
        <w:footnoteRef/>
      </w:r>
      <w:r>
        <w:t xml:space="preserve"> Siehe: </w:t>
      </w:r>
      <w:hyperlink r:id="rId737" w:history="1">
        <w:r w:rsidRPr="005735F8">
          <w:rPr>
            <w:rStyle w:val="Hyperlink"/>
          </w:rPr>
          <w:t>https://www.kfw.de/kfw.de.html</w:t>
        </w:r>
      </w:hyperlink>
      <w:r>
        <w:t xml:space="preserve"> - Zugegriffen: 30.12.2023. </w:t>
      </w:r>
    </w:p>
  </w:footnote>
  <w:footnote w:id="965">
    <w:p w14:paraId="4560015E" w14:textId="77777777" w:rsidR="00112190" w:rsidRDefault="00112190" w:rsidP="00112190">
      <w:pPr>
        <w:pStyle w:val="Funotentext"/>
      </w:pPr>
      <w:r>
        <w:rPr>
          <w:rStyle w:val="Funotenzeichen"/>
        </w:rPr>
        <w:footnoteRef/>
      </w:r>
      <w:r>
        <w:t xml:space="preserve"> Siehe auch Wikipedia: </w:t>
      </w:r>
      <w:hyperlink r:id="rId738" w:history="1">
        <w:r w:rsidRPr="0092379F">
          <w:rPr>
            <w:rStyle w:val="Hyperlink"/>
          </w:rPr>
          <w:t>https://de.wikipedia.org/wiki/CO2-Preis_mit_Klimapr%C3%A4mie</w:t>
        </w:r>
      </w:hyperlink>
      <w:r>
        <w:t xml:space="preserve"> – Zugegriffen: 26.02.2024. </w:t>
      </w:r>
    </w:p>
  </w:footnote>
  <w:footnote w:id="966">
    <w:p w14:paraId="0F2147AC" w14:textId="77777777" w:rsidR="00112190" w:rsidRDefault="00112190" w:rsidP="00112190">
      <w:pPr>
        <w:pStyle w:val="Funotentext"/>
      </w:pPr>
      <w:r>
        <w:rPr>
          <w:rStyle w:val="Funotenzeichen"/>
        </w:rPr>
        <w:footnoteRef/>
      </w:r>
      <w:r>
        <w:t xml:space="preserve"> Siehe: </w:t>
      </w:r>
      <w:hyperlink r:id="rId739" w:history="1">
        <w:r w:rsidRPr="00AB4BBB">
          <w:rPr>
            <w:rStyle w:val="Hyperlink"/>
          </w:rPr>
          <w:t>https://www.cep.eu/fileadmin/user_upload/cep.eu/Studien/cepInput_Klimageld/cepInput_Das_Klimageld_als_Chance_fuer_einen_klimapolitischen_Neustart.pdf</w:t>
        </w:r>
      </w:hyperlink>
      <w:r>
        <w:t xml:space="preserve"> - Zugegriffen: 07.01.2024. </w:t>
      </w:r>
    </w:p>
  </w:footnote>
  <w:footnote w:id="967">
    <w:p w14:paraId="0AC740C5" w14:textId="77777777" w:rsidR="00112190" w:rsidRDefault="00112190" w:rsidP="00112190">
      <w:pPr>
        <w:pStyle w:val="Funotentext"/>
      </w:pPr>
      <w:r>
        <w:rPr>
          <w:rStyle w:val="Funotenzeichen"/>
        </w:rPr>
        <w:footnoteRef/>
      </w:r>
      <w:r>
        <w:t xml:space="preserve"> Siehe NTV, 14.1.2024: </w:t>
      </w:r>
      <w:hyperlink r:id="rId740" w:history="1">
        <w:r w:rsidRPr="00AB4BBB">
          <w:rPr>
            <w:rStyle w:val="Hyperlink"/>
          </w:rPr>
          <w:t>https://www.n-tv.de/politik/Lindner-Klimageld-kommt-nicht-mehr-in-dieser-Wahlperiode-article24660991.html</w:t>
        </w:r>
      </w:hyperlink>
      <w:r>
        <w:t xml:space="preserve"> - Zugegriffen: 14.01.2024.  </w:t>
      </w:r>
    </w:p>
  </w:footnote>
  <w:footnote w:id="968">
    <w:p w14:paraId="42EB71AB" w14:textId="291B5C5C" w:rsidR="00092032" w:rsidRDefault="00092032" w:rsidP="00092032">
      <w:pPr>
        <w:pStyle w:val="Funotentext"/>
      </w:pPr>
      <w:r>
        <w:rPr>
          <w:rStyle w:val="Funotenzeichen"/>
        </w:rPr>
        <w:footnoteRef/>
      </w:r>
      <w:r>
        <w:t xml:space="preserve"> Wien sagt dem Klimabonus leise Servus. FAZ, 10.10.2024. </w:t>
      </w:r>
    </w:p>
  </w:footnote>
  <w:footnote w:id="969">
    <w:p w14:paraId="190C6A49" w14:textId="77777777" w:rsidR="00112190" w:rsidRDefault="00112190" w:rsidP="00112190">
      <w:pPr>
        <w:pStyle w:val="Funotentext"/>
      </w:pPr>
      <w:r>
        <w:rPr>
          <w:rStyle w:val="Funotenzeichen"/>
        </w:rPr>
        <w:footnoteRef/>
      </w:r>
      <w:r>
        <w:t xml:space="preserve"> F</w:t>
      </w:r>
      <w:r w:rsidRPr="008B0EAD">
        <w:t xml:space="preserve">inanziert mit 65 Mrd. Euro aus dem </w:t>
      </w:r>
      <w:proofErr w:type="gramStart"/>
      <w:r w:rsidRPr="008B0EAD">
        <w:t>EU Haushalt</w:t>
      </w:r>
      <w:proofErr w:type="gramEnd"/>
      <w:r w:rsidRPr="008B0EAD">
        <w:t xml:space="preserve"> </w:t>
      </w:r>
      <w:r>
        <w:t>und jeweils</w:t>
      </w:r>
      <w:r w:rsidRPr="008B0EAD">
        <w:t xml:space="preserve"> 25 % aus den Haushalten der Mitgliedstaaten. Er soll 37,5 % für direkten Einkommensunterstützung ärmerer Haushalte enthalten, den Rest für Isolierung, Wärmepumpen, Solaranlagen etc</w:t>
      </w:r>
      <w:r>
        <w:t xml:space="preserve">. Siehe: </w:t>
      </w:r>
      <w:hyperlink r:id="rId741" w:history="1">
        <w:r w:rsidRPr="00372C9A">
          <w:rPr>
            <w:rStyle w:val="Hyperlink"/>
          </w:rPr>
          <w:t>https://ec.europa.eu/commission/presscorner/detail/en/ip_22_7796</w:t>
        </w:r>
      </w:hyperlink>
      <w:r>
        <w:t xml:space="preserve"> - Zugegriffen: 26.12.2023. </w:t>
      </w:r>
    </w:p>
  </w:footnote>
  <w:footnote w:id="970">
    <w:p w14:paraId="01F77383" w14:textId="193B4F98" w:rsidR="004859C2" w:rsidRDefault="004859C2">
      <w:pPr>
        <w:pStyle w:val="Funotentext"/>
      </w:pPr>
      <w:r>
        <w:rPr>
          <w:rStyle w:val="Funotenzeichen"/>
        </w:rPr>
        <w:footnoteRef/>
      </w:r>
      <w:r>
        <w:t xml:space="preserve"> Siehe Wikipedia Treibhausgasminderungsquote: </w:t>
      </w:r>
      <w:hyperlink r:id="rId742" w:history="1">
        <w:r w:rsidR="00913765" w:rsidRPr="002B1437">
          <w:rPr>
            <w:rStyle w:val="Hyperlink"/>
          </w:rPr>
          <w:t>https://de.wikipedia.org/wiki/Treibhausgasminderungsquote</w:t>
        </w:r>
      </w:hyperlink>
      <w:r w:rsidR="00913765">
        <w:t xml:space="preserve"> – Zugegriffen: 27.06.2024.</w:t>
      </w:r>
    </w:p>
  </w:footnote>
  <w:footnote w:id="971">
    <w:p w14:paraId="007BD266" w14:textId="510BB0FD" w:rsidR="00B72F73" w:rsidRDefault="00B72F73">
      <w:pPr>
        <w:pStyle w:val="Funotentext"/>
      </w:pPr>
      <w:r>
        <w:rPr>
          <w:rStyle w:val="Funotenzeichen"/>
        </w:rPr>
        <w:footnoteRef/>
      </w:r>
      <w:r>
        <w:t xml:space="preserve"> Siehe: </w:t>
      </w:r>
      <w:hyperlink r:id="rId743" w:history="1">
        <w:r w:rsidRPr="002B1437">
          <w:rPr>
            <w:rStyle w:val="Hyperlink"/>
          </w:rPr>
          <w:t>https://de.wikipedia.org/wiki/Verordnung_zur_Durchf%C3%BChrung_des_Bundes-Immissionsschutzgesetzes</w:t>
        </w:r>
      </w:hyperlink>
      <w:r>
        <w:t xml:space="preserve"> – Zugegriffen: 27.06.2024. </w:t>
      </w:r>
    </w:p>
  </w:footnote>
  <w:footnote w:id="972">
    <w:p w14:paraId="7982F29D" w14:textId="77777777" w:rsidR="00BC4A5B" w:rsidRDefault="00BC4A5B" w:rsidP="00BC4A5B">
      <w:pPr>
        <w:pStyle w:val="Funotentext"/>
      </w:pPr>
      <w:r>
        <w:rPr>
          <w:rStyle w:val="Funotenzeichen"/>
        </w:rPr>
        <w:footnoteRef/>
      </w:r>
      <w:r>
        <w:t xml:space="preserve"> Siehe: </w:t>
      </w:r>
      <w:hyperlink r:id="rId744" w:history="1">
        <w:r w:rsidRPr="002B1437">
          <w:rPr>
            <w:rStyle w:val="Hyperlink"/>
          </w:rPr>
          <w:t>https://de.wikipedia.org/wiki/Verordnung_zur_Durchf%C3%BChrung_der_Regelungen_der_Biokraftstoffquote</w:t>
        </w:r>
      </w:hyperlink>
      <w:r>
        <w:t xml:space="preserve"> – Zugegriffen: 27.06.2024. </w:t>
      </w:r>
    </w:p>
  </w:footnote>
  <w:footnote w:id="973">
    <w:p w14:paraId="2930E09A" w14:textId="77777777" w:rsidR="00BC4A5B" w:rsidRDefault="00BC4A5B" w:rsidP="00BC4A5B">
      <w:pPr>
        <w:pStyle w:val="Funotentext"/>
      </w:pPr>
      <w:r>
        <w:rPr>
          <w:rStyle w:val="Funotenzeichen"/>
        </w:rPr>
        <w:footnoteRef/>
      </w:r>
      <w:r>
        <w:t xml:space="preserve"> Siehe: </w:t>
      </w:r>
      <w:hyperlink r:id="rId745" w:history="1">
        <w:r w:rsidRPr="002B1437">
          <w:rPr>
            <w:rStyle w:val="Hyperlink"/>
          </w:rPr>
          <w:t>https://biokraftstoffverband.de/gefaelschte-zertifikate-zur-emissionsminderung-biokraftstoffindustrie-fordert-verschaerfung-der-zertifizierung-und-kontrollen/</w:t>
        </w:r>
      </w:hyperlink>
      <w:r>
        <w:t xml:space="preserve"> - Zugegriffen: 27.06.2024.</w:t>
      </w:r>
    </w:p>
  </w:footnote>
  <w:footnote w:id="974">
    <w:p w14:paraId="71F6D965" w14:textId="56F9D851" w:rsidR="00FF3AF5" w:rsidRDefault="00FF3AF5">
      <w:pPr>
        <w:pStyle w:val="Funotentext"/>
      </w:pPr>
      <w:r>
        <w:rPr>
          <w:rStyle w:val="Funotenzeichen"/>
        </w:rPr>
        <w:footnoteRef/>
      </w:r>
      <w:r>
        <w:t xml:space="preserve"> Siehe: </w:t>
      </w:r>
      <w:hyperlink r:id="rId746" w:history="1">
        <w:r w:rsidRPr="002B1437">
          <w:rPr>
            <w:rStyle w:val="Hyperlink"/>
          </w:rPr>
          <w:t>https://de.wikipedia.org/wiki/Verordnung_zur_Durchf%C3%BChrung_der_Regelungen_der_Biokraftstoffquote</w:t>
        </w:r>
      </w:hyperlink>
      <w:r>
        <w:t xml:space="preserve"> – Zugegriffen: 27.06.2024. </w:t>
      </w:r>
    </w:p>
  </w:footnote>
  <w:footnote w:id="975">
    <w:p w14:paraId="6789F96F" w14:textId="1EE98862" w:rsidR="00FF3AF5" w:rsidRDefault="00FF3AF5">
      <w:pPr>
        <w:pStyle w:val="Funotentext"/>
      </w:pPr>
      <w:r>
        <w:rPr>
          <w:rStyle w:val="Funotenzeichen"/>
        </w:rPr>
        <w:footnoteRef/>
      </w:r>
      <w:r>
        <w:t xml:space="preserve"> </w:t>
      </w:r>
      <w:hyperlink r:id="rId747" w:anchor="Erf%C3%BCllung_der_Quotenpflicht" w:history="1">
        <w:r w:rsidR="00913765" w:rsidRPr="002B1437">
          <w:rPr>
            <w:rStyle w:val="Hyperlink"/>
          </w:rPr>
          <w:t>https://de.wikipedia.org/wiki/Treibhausgasminderungsquote#Erf%C3%BCllung_der_Quotenpflicht</w:t>
        </w:r>
      </w:hyperlink>
      <w:r w:rsidR="00913765">
        <w:t xml:space="preserve"> – Zugegriffen: 27.06.2024.</w:t>
      </w:r>
    </w:p>
  </w:footnote>
  <w:footnote w:id="976">
    <w:p w14:paraId="4B5DCEA3" w14:textId="716A587B" w:rsidR="00E461C8" w:rsidRDefault="00E461C8">
      <w:pPr>
        <w:pStyle w:val="Funotentext"/>
      </w:pPr>
      <w:r>
        <w:rPr>
          <w:rStyle w:val="Funotenzeichen"/>
        </w:rPr>
        <w:footnoteRef/>
      </w:r>
      <w:r>
        <w:t xml:space="preserve"> Siehe: </w:t>
      </w:r>
      <w:hyperlink r:id="rId748" w:history="1">
        <w:r w:rsidRPr="002B1437">
          <w:rPr>
            <w:rStyle w:val="Hyperlink"/>
          </w:rPr>
          <w:t>https://biokraftstoffverband.de/biokraftstoffverband-begruesst-einfuehrung-von-b10-zeitgleich-wird-hvo100-zugelassen/</w:t>
        </w:r>
      </w:hyperlink>
      <w:r>
        <w:t xml:space="preserve"> - Zugegriffen: 27.06.2024.</w:t>
      </w:r>
    </w:p>
  </w:footnote>
  <w:footnote w:id="977">
    <w:p w14:paraId="231CAB88" w14:textId="22FCE661" w:rsidR="001900F0" w:rsidRDefault="001900F0">
      <w:pPr>
        <w:pStyle w:val="Funotentext"/>
      </w:pPr>
      <w:r>
        <w:rPr>
          <w:rStyle w:val="Funotenzeichen"/>
        </w:rPr>
        <w:footnoteRef/>
      </w:r>
      <w:r>
        <w:t xml:space="preserve"> Siehe: </w:t>
      </w:r>
      <w:hyperlink r:id="rId749" w:history="1">
        <w:r w:rsidRPr="002B1437">
          <w:rPr>
            <w:rStyle w:val="Hyperlink"/>
          </w:rPr>
          <w:t>https://ghgprotocol.org/</w:t>
        </w:r>
      </w:hyperlink>
      <w:r>
        <w:t xml:space="preserve">, siehe dazu: </w:t>
      </w:r>
      <w:hyperlink r:id="rId750" w:history="1">
        <w:r w:rsidRPr="002B1437">
          <w:rPr>
            <w:rStyle w:val="Hyperlink"/>
          </w:rPr>
          <w:t>https://de.wikipedia.org/wiki/GHG_Protocol</w:t>
        </w:r>
      </w:hyperlink>
      <w:r>
        <w:t xml:space="preserve"> </w:t>
      </w:r>
      <w:r w:rsidR="00913765">
        <w:t>– Zugegriffen: 27.06.2024.</w:t>
      </w:r>
    </w:p>
  </w:footnote>
  <w:footnote w:id="978">
    <w:p w14:paraId="6A318B58" w14:textId="7290804A" w:rsidR="001900F0" w:rsidRDefault="001900F0">
      <w:pPr>
        <w:pStyle w:val="Funotentext"/>
      </w:pPr>
      <w:r>
        <w:rPr>
          <w:rStyle w:val="Funotenzeichen"/>
        </w:rPr>
        <w:footnoteRef/>
      </w:r>
      <w:r>
        <w:t xml:space="preserve"> Siehe Wikipedia: </w:t>
      </w:r>
      <w:hyperlink r:id="rId751" w:history="1">
        <w:r w:rsidRPr="002B1437">
          <w:rPr>
            <w:rStyle w:val="Hyperlink"/>
          </w:rPr>
          <w:t>https://de.wikipedia.org/wiki/Upstream-Emission</w:t>
        </w:r>
      </w:hyperlink>
      <w:r>
        <w:t xml:space="preserve">, siehe: </w:t>
      </w:r>
      <w:r w:rsidRPr="001900F0">
        <w:t>Durchführungsbestimmungen zur Kraftstoffqualitätsrichtlinie der Europäischen Union (Richtlinie (EU) 2015/652)</w:t>
      </w:r>
      <w:r w:rsidR="00913765">
        <w:t xml:space="preserve"> – Zugegriffen: 27.06.2024.</w:t>
      </w:r>
    </w:p>
  </w:footnote>
  <w:footnote w:id="979">
    <w:p w14:paraId="07B59D45" w14:textId="7249591B" w:rsidR="00913765" w:rsidRDefault="00913765">
      <w:pPr>
        <w:pStyle w:val="Funotentext"/>
      </w:pPr>
      <w:r>
        <w:rPr>
          <w:rStyle w:val="Funotenzeichen"/>
        </w:rPr>
        <w:footnoteRef/>
      </w:r>
      <w:r>
        <w:t xml:space="preserve"> </w:t>
      </w:r>
      <w:r w:rsidR="00D470A6">
        <w:t xml:space="preserve">Siehe: </w:t>
      </w:r>
      <w:hyperlink r:id="rId752" w:history="1">
        <w:r w:rsidR="00D470A6" w:rsidRPr="002B1437">
          <w:rPr>
            <w:rStyle w:val="Hyperlink"/>
          </w:rPr>
          <w:t>https://biokraftstoffverband.de/gefaelschte-zertifikate-zur-emissionsminderung-biokraftstoffindustrie-fordert-verschaerfung-der-zertifizierung-und-kontrollen/</w:t>
        </w:r>
      </w:hyperlink>
      <w:r w:rsidR="00D470A6">
        <w:t xml:space="preserve"> - Zugegriffen: 27.06.2024.</w:t>
      </w:r>
    </w:p>
  </w:footnote>
  <w:footnote w:id="980">
    <w:p w14:paraId="37F8AA2F" w14:textId="08C13C50" w:rsidR="00BC4A5B" w:rsidRDefault="00BC4A5B">
      <w:pPr>
        <w:pStyle w:val="Funotentext"/>
      </w:pPr>
      <w:r>
        <w:rPr>
          <w:rStyle w:val="Funotenzeichen"/>
        </w:rPr>
        <w:footnoteRef/>
      </w:r>
      <w:r>
        <w:t xml:space="preserve"> Katja Gelinsky. Betrugsmasche mit Klimazertifikaten. FAZ, 15.06.2024. </w:t>
      </w:r>
    </w:p>
  </w:footnote>
  <w:footnote w:id="981">
    <w:p w14:paraId="2E7578B7" w14:textId="4858CCFA" w:rsidR="00FF1254" w:rsidRDefault="00FF1254">
      <w:pPr>
        <w:pStyle w:val="Funotentext"/>
      </w:pPr>
      <w:r>
        <w:rPr>
          <w:rStyle w:val="Funotenzeichen"/>
        </w:rPr>
        <w:footnoteRef/>
      </w:r>
      <w:r>
        <w:t xml:space="preserve"> Siehe diesen Link: </w:t>
      </w:r>
      <w:hyperlink r:id="rId753" w:history="1">
        <w:r w:rsidRPr="00B0620C">
          <w:rPr>
            <w:rStyle w:val="Hyperlink"/>
          </w:rPr>
          <w:t>https://www.bundestag.de/dokumente/textarchiv/2024/kw24-de-aktuelle-stunde-klima-1008086</w:t>
        </w:r>
      </w:hyperlink>
      <w:r>
        <w:t xml:space="preserve"> - Zugegriffen: 04.07.2024. </w:t>
      </w:r>
    </w:p>
  </w:footnote>
  <w:footnote w:id="982">
    <w:p w14:paraId="45EDDA8C" w14:textId="4280384A" w:rsidR="00A912E7" w:rsidRDefault="00A912E7">
      <w:pPr>
        <w:pStyle w:val="Funotentext"/>
      </w:pPr>
      <w:r>
        <w:rPr>
          <w:rStyle w:val="Funotenzeichen"/>
        </w:rPr>
        <w:footnoteRef/>
      </w:r>
      <w:r>
        <w:t xml:space="preserve"> Siehe: </w:t>
      </w:r>
      <w:hyperlink r:id="rId754" w:history="1">
        <w:r w:rsidRPr="002B1437">
          <w:rPr>
            <w:rStyle w:val="Hyperlink"/>
          </w:rPr>
          <w:t>https://www.zdf.de/nachrichten/wirtschaft/unternehmen/oelkonzerne-klimaschutz-projekte-pruefstellen-100.html</w:t>
        </w:r>
      </w:hyperlink>
      <w:r>
        <w:t xml:space="preserve"> - Zugegriffen: 27.06.2024.</w:t>
      </w:r>
    </w:p>
  </w:footnote>
  <w:footnote w:id="983">
    <w:p w14:paraId="34A78495" w14:textId="1C285FFA" w:rsidR="00D3435E" w:rsidRDefault="00D3435E">
      <w:pPr>
        <w:pStyle w:val="Funotentext"/>
      </w:pPr>
      <w:r>
        <w:rPr>
          <w:rStyle w:val="Funotenzeichen"/>
        </w:rPr>
        <w:footnoteRef/>
      </w:r>
      <w:r>
        <w:t xml:space="preserve"> Wie gefälschte Klimazertifikate die Energiewende gefährden können. FAZ, 03.07.2024. </w:t>
      </w:r>
    </w:p>
  </w:footnote>
  <w:footnote w:id="984">
    <w:p w14:paraId="08A8AD54" w14:textId="77777777" w:rsidR="00F918C6" w:rsidRDefault="00F918C6" w:rsidP="00F918C6">
      <w:pPr>
        <w:pStyle w:val="Funotentext"/>
      </w:pPr>
      <w:r>
        <w:rPr>
          <w:rStyle w:val="Funotenzeichen"/>
        </w:rPr>
        <w:footnoteRef/>
      </w:r>
      <w:r>
        <w:t xml:space="preserve"> Katja Gelinsky. Bund stoppt Klimaprojekte in China. FAZ, 07.09.2024. </w:t>
      </w:r>
    </w:p>
  </w:footnote>
  <w:footnote w:id="985">
    <w:p w14:paraId="37F6F059" w14:textId="0FF020DC" w:rsidR="00F918C6" w:rsidRDefault="00F918C6">
      <w:pPr>
        <w:pStyle w:val="Funotentext"/>
      </w:pPr>
      <w:r>
        <w:rPr>
          <w:rStyle w:val="Funotenzeichen"/>
        </w:rPr>
        <w:footnoteRef/>
      </w:r>
      <w:r>
        <w:t xml:space="preserve"> Katja Gelinsky. Bund stoppt Klimaprojekte in China. FAZ, 07.09.2024. </w:t>
      </w:r>
    </w:p>
  </w:footnote>
  <w:footnote w:id="986">
    <w:p w14:paraId="5BDBE643" w14:textId="65858D8B" w:rsidR="00ED6841" w:rsidRDefault="00ED6841">
      <w:pPr>
        <w:pStyle w:val="Funotentext"/>
      </w:pPr>
      <w:r>
        <w:rPr>
          <w:rStyle w:val="Funotenzeichen"/>
        </w:rPr>
        <w:footnoteRef/>
      </w:r>
      <w:r>
        <w:t xml:space="preserve"> 45 „stark verdächtige“ Klimaprojekte. FAZ, 12.09.2024. </w:t>
      </w:r>
    </w:p>
  </w:footnote>
  <w:footnote w:id="987">
    <w:p w14:paraId="69781ECF" w14:textId="77777777" w:rsidR="00BC4A5B" w:rsidRDefault="00BC4A5B" w:rsidP="00BC4A5B">
      <w:pPr>
        <w:pStyle w:val="Funotentext"/>
      </w:pPr>
      <w:r>
        <w:rPr>
          <w:rStyle w:val="Funotenzeichen"/>
        </w:rPr>
        <w:footnoteRef/>
      </w:r>
      <w:r>
        <w:t xml:space="preserve"> Katja Gelinsky. Betrugsmasche mit Klimazertifikaten. FAZ, 15.06.2024. </w:t>
      </w:r>
    </w:p>
  </w:footnote>
  <w:footnote w:id="988">
    <w:p w14:paraId="5074CDA7" w14:textId="4CA50E11" w:rsidR="00BC4A5B" w:rsidRDefault="00BC4A5B">
      <w:pPr>
        <w:pStyle w:val="Funotentext"/>
      </w:pPr>
      <w:r>
        <w:rPr>
          <w:rStyle w:val="Funotenzeichen"/>
        </w:rPr>
        <w:footnoteRef/>
      </w:r>
      <w:r>
        <w:t xml:space="preserve"> </w:t>
      </w:r>
      <w:r w:rsidRPr="00BC4A5B">
        <w:t>Katja Gelinsky. Betrugsmasche mit Klimazertifikaten. FAZ, 15.06.2024.</w:t>
      </w:r>
    </w:p>
  </w:footnote>
  <w:footnote w:id="989">
    <w:p w14:paraId="2E031640" w14:textId="14B31ADB" w:rsidR="00C14455" w:rsidRDefault="00C14455">
      <w:pPr>
        <w:pStyle w:val="Funotentext"/>
      </w:pPr>
      <w:r>
        <w:rPr>
          <w:rStyle w:val="Funotenzeichen"/>
        </w:rPr>
        <w:footnoteRef/>
      </w:r>
      <w:r>
        <w:t xml:space="preserve"> Siehe: </w:t>
      </w:r>
      <w:hyperlink r:id="rId755" w:anchor="Erf%C3%BCllung_der_Quotenpflicht" w:history="1">
        <w:r w:rsidRPr="002B1437">
          <w:rPr>
            <w:rStyle w:val="Hyperlink"/>
          </w:rPr>
          <w:t>https://de.wikipedia.org/wiki/Treibhausgasminderungsquote#Erf%C3%BCllung_der_Quotenpflicht</w:t>
        </w:r>
      </w:hyperlink>
      <w:r>
        <w:t xml:space="preserve"> – Zugegriffen: 27.06.2024.</w:t>
      </w:r>
    </w:p>
  </w:footnote>
  <w:footnote w:id="990">
    <w:p w14:paraId="5B12F430" w14:textId="70F08749" w:rsidR="00913765" w:rsidRDefault="00913765">
      <w:pPr>
        <w:pStyle w:val="Funotentext"/>
      </w:pPr>
      <w:r>
        <w:rPr>
          <w:rStyle w:val="Funotenzeichen"/>
        </w:rPr>
        <w:footnoteRef/>
      </w:r>
      <w:r>
        <w:t xml:space="preserve"> </w:t>
      </w:r>
      <w:r w:rsidR="00C14455">
        <w:t xml:space="preserve">Siehe den Punkt: Wesentliche Änderungen der 38. BlmSchV: </w:t>
      </w:r>
      <w:hyperlink r:id="rId756" w:anchor="Erf%C3%BCllung_der_Quotenpflicht" w:history="1">
        <w:r w:rsidR="00C14455" w:rsidRPr="002B1437">
          <w:rPr>
            <w:rStyle w:val="Hyperlink"/>
          </w:rPr>
          <w:t>https://de.wikipedia.org/wiki/Treibhausgasminderungsquote#Erf%C3%BCllung_der_Quotenpflicht</w:t>
        </w:r>
      </w:hyperlink>
      <w:r w:rsidR="00C14455">
        <w:t xml:space="preserve"> – Zugegriffen: 27.06.2024.</w:t>
      </w:r>
    </w:p>
  </w:footnote>
  <w:footnote w:id="991">
    <w:p w14:paraId="3EF804F8" w14:textId="08B03B68" w:rsidR="003B2F3D" w:rsidRDefault="003B2F3D">
      <w:pPr>
        <w:pStyle w:val="Funotentext"/>
      </w:pPr>
      <w:r>
        <w:rPr>
          <w:rStyle w:val="Funotenzeichen"/>
        </w:rPr>
        <w:footnoteRef/>
      </w:r>
      <w:r>
        <w:t xml:space="preserve"> Siehe Christian Bickert. Der Betrug mit HVO ist offensichtlich. </w:t>
      </w:r>
      <w:r w:rsidR="00233211">
        <w:t xml:space="preserve">DLG-Mitteilungen, </w:t>
      </w:r>
      <w:r>
        <w:t xml:space="preserve">27. November 2023. In: </w:t>
      </w:r>
      <w:hyperlink r:id="rId757" w:history="1">
        <w:r w:rsidRPr="004D02DB">
          <w:rPr>
            <w:rStyle w:val="Hyperlink"/>
          </w:rPr>
          <w:t>https://www.dlg-mitteilungen.de/artikel/biodiesel-hvo-betrug</w:t>
        </w:r>
      </w:hyperlink>
      <w:r>
        <w:t xml:space="preserve"> - Zugegriffen: 01.07.2024.  </w:t>
      </w:r>
    </w:p>
  </w:footnote>
  <w:footnote w:id="992">
    <w:p w14:paraId="5302A24B" w14:textId="2AFAC9FF" w:rsidR="00D3435E" w:rsidRDefault="00D3435E" w:rsidP="00D3435E">
      <w:pPr>
        <w:pStyle w:val="Funotentext"/>
      </w:pPr>
      <w:r>
        <w:rPr>
          <w:rStyle w:val="Funotenzeichen"/>
        </w:rPr>
        <w:footnoteRef/>
      </w:r>
      <w:r>
        <w:t xml:space="preserve"> Dies geht dem Verband deutscher Biokraftstoffindustrie nicht schnell genug, sie will bis 2025, dass Deutschland eine eigenständige, gut kontrollierte Zertifizierung aufbaut. Siehe: Wie gefälschte Klimazertifikate die Energiewende gefährden können. FAZ, 03.07.2024. </w:t>
      </w:r>
    </w:p>
  </w:footnote>
  <w:footnote w:id="993">
    <w:p w14:paraId="7007D7F7" w14:textId="586E37EA" w:rsidR="001B2F61" w:rsidRDefault="001B2F61">
      <w:pPr>
        <w:pStyle w:val="Funotentext"/>
      </w:pPr>
      <w:r>
        <w:rPr>
          <w:rStyle w:val="Funotenzeichen"/>
        </w:rPr>
        <w:footnoteRef/>
      </w:r>
      <w:r>
        <w:t xml:space="preserve"> EU will Sonderzölle auf Biodiesel. FAZ, 20.07.2024. </w:t>
      </w:r>
    </w:p>
  </w:footnote>
  <w:footnote w:id="994">
    <w:p w14:paraId="2CEA74B3" w14:textId="6429A39E" w:rsidR="00650C48" w:rsidRDefault="00650C48">
      <w:pPr>
        <w:pStyle w:val="Funotentext"/>
      </w:pPr>
      <w:r>
        <w:rPr>
          <w:rStyle w:val="Funotenzeichen"/>
        </w:rPr>
        <w:footnoteRef/>
      </w:r>
      <w:r>
        <w:t xml:space="preserve"> Siehe: </w:t>
      </w:r>
      <w:hyperlink r:id="rId758" w:history="1">
        <w:r w:rsidRPr="002B1437">
          <w:rPr>
            <w:rStyle w:val="Hyperlink"/>
          </w:rPr>
          <w:t>https://b-thg.de/gemeinsame-stellungnahme-zur-treibhausgasminderung-bei-kraftstoffen/</w:t>
        </w:r>
      </w:hyperlink>
      <w:r>
        <w:t xml:space="preserve"> - Zugegriffen: 27.06.2024. </w:t>
      </w:r>
    </w:p>
  </w:footnote>
  <w:footnote w:id="995">
    <w:p w14:paraId="4230DFA4" w14:textId="59205E30" w:rsidR="00CC00CC" w:rsidRDefault="00CC00CC">
      <w:pPr>
        <w:pStyle w:val="Funotentext"/>
      </w:pPr>
      <w:r>
        <w:rPr>
          <w:rStyle w:val="Funotenzeichen"/>
        </w:rPr>
        <w:footnoteRef/>
      </w:r>
      <w:r>
        <w:t xml:space="preserve"> Deutungsstreit um Biokraftstoffe. Die Autoindustrie will sie – die Umwelthilfe hält mit einer Studie dagegen. FAZ, 23.08.2024.</w:t>
      </w:r>
    </w:p>
  </w:footnote>
  <w:footnote w:id="996">
    <w:p w14:paraId="29370668" w14:textId="037950A5" w:rsidR="00A44AF6" w:rsidRDefault="00A44AF6">
      <w:pPr>
        <w:pStyle w:val="Funotentext"/>
      </w:pPr>
      <w:r>
        <w:rPr>
          <w:rStyle w:val="Funotenzeichen"/>
        </w:rPr>
        <w:footnoteRef/>
      </w:r>
      <w:r>
        <w:t xml:space="preserve"> Katja Gelinsky. Wie Speisefett im Dieseltank dem Klima helfen soll. FAZ, 08.08.2024. </w:t>
      </w:r>
    </w:p>
  </w:footnote>
  <w:footnote w:id="997">
    <w:p w14:paraId="254BD390" w14:textId="2444B484" w:rsidR="00A44AF6" w:rsidRDefault="00A44AF6">
      <w:pPr>
        <w:pStyle w:val="Funotentext"/>
      </w:pPr>
      <w:r>
        <w:rPr>
          <w:rStyle w:val="Funotenzeichen"/>
        </w:rPr>
        <w:footnoteRef/>
      </w:r>
      <w:r>
        <w:t xml:space="preserve"> Tobias Piller. Zweifelhafte Messmethoden der deutschen Umwelthilfe. FAZ, 12.08.2024. </w:t>
      </w:r>
    </w:p>
  </w:footnote>
  <w:footnote w:id="998">
    <w:p w14:paraId="68C25DB6" w14:textId="396629B3" w:rsidR="00CC00CC" w:rsidRDefault="00CC00CC">
      <w:pPr>
        <w:pStyle w:val="Funotentext"/>
      </w:pPr>
      <w:r>
        <w:rPr>
          <w:rStyle w:val="Funotenzeichen"/>
        </w:rPr>
        <w:footnoteRef/>
      </w:r>
      <w:r>
        <w:t xml:space="preserve"> Deutungsstreit um Biokraftstoffe. Die Autoindustrie will sie – die Umwelthilfe hält mit einer Studie dagegen. FAZ, 23.08.2024. </w:t>
      </w:r>
    </w:p>
  </w:footnote>
  <w:footnote w:id="999">
    <w:p w14:paraId="2AD89017" w14:textId="4D76EFFD" w:rsidR="00913765" w:rsidRDefault="00913765">
      <w:pPr>
        <w:pStyle w:val="Funotentext"/>
      </w:pPr>
      <w:r>
        <w:rPr>
          <w:rStyle w:val="Funotenzeichen"/>
        </w:rPr>
        <w:footnoteRef/>
      </w:r>
      <w:r>
        <w:t xml:space="preserve"> Siehe: </w:t>
      </w:r>
      <w:hyperlink r:id="rId759" w:anchor="Erf%C3%BCllung_der_Quotenpflicht" w:history="1">
        <w:r w:rsidRPr="002B1437">
          <w:rPr>
            <w:rStyle w:val="Hyperlink"/>
          </w:rPr>
          <w:t>https://de.wikipedia.org/wiki/Treibhausgasminderungsquote#Erf%C3%BCllung_der_Quotenpflicht</w:t>
        </w:r>
      </w:hyperlink>
      <w:r>
        <w:t xml:space="preserve"> </w:t>
      </w:r>
      <w:r w:rsidR="00C14455">
        <w:t>– Zugegriffen: 27.06.2024.</w:t>
      </w:r>
    </w:p>
  </w:footnote>
  <w:footnote w:id="1000">
    <w:p w14:paraId="3D69C74C" w14:textId="77777777" w:rsidR="00112190" w:rsidRDefault="00112190" w:rsidP="00112190">
      <w:pPr>
        <w:pStyle w:val="Funotentext"/>
      </w:pPr>
      <w:r>
        <w:rPr>
          <w:rStyle w:val="Funotenzeichen"/>
        </w:rPr>
        <w:footnoteRef/>
      </w:r>
      <w:r>
        <w:t xml:space="preserve"> Siehe zu allen diesen Informationen: ADAC. Umweltbonus: Die Förderung für E-Autos endet, 16.12.2023. Siehe: </w:t>
      </w:r>
      <w:hyperlink r:id="rId760" w:history="1">
        <w:r w:rsidRPr="00EF012E">
          <w:rPr>
            <w:rStyle w:val="Hyperlink"/>
          </w:rPr>
          <w:t>https://www.adac.de/rund-ums-fahrzeug/elektromobilitaet/kaufen/foerderung-elektroautos/</w:t>
        </w:r>
      </w:hyperlink>
      <w:r>
        <w:t xml:space="preserve"> - Zugegriffen: 16.12.2023. </w:t>
      </w:r>
    </w:p>
  </w:footnote>
  <w:footnote w:id="1001">
    <w:p w14:paraId="1E0F8E85" w14:textId="77777777" w:rsidR="00112190" w:rsidRDefault="00112190" w:rsidP="00112190">
      <w:pPr>
        <w:pStyle w:val="Funotentext"/>
      </w:pPr>
      <w:r>
        <w:rPr>
          <w:rStyle w:val="Funotenzeichen"/>
        </w:rPr>
        <w:footnoteRef/>
      </w:r>
      <w:r>
        <w:t xml:space="preserve"> Corinna Budras. Ladesäulen werden Pflicht. FAZ, 31.05.2024. </w:t>
      </w:r>
    </w:p>
  </w:footnote>
  <w:footnote w:id="1002">
    <w:p w14:paraId="23AE3B85" w14:textId="77777777" w:rsidR="001A322A" w:rsidRDefault="001A322A" w:rsidP="001A322A">
      <w:pPr>
        <w:pStyle w:val="Funotentext"/>
      </w:pPr>
      <w:r>
        <w:rPr>
          <w:rStyle w:val="Funotenzeichen"/>
        </w:rPr>
        <w:footnoteRef/>
      </w:r>
      <w:r>
        <w:t xml:space="preserve"> Mechthild Harting. Die Zukunft der Ladesäulen liegt nicht an der Straße. FAZ, 03.07.2024. </w:t>
      </w:r>
    </w:p>
  </w:footnote>
  <w:footnote w:id="1003">
    <w:p w14:paraId="55208652" w14:textId="77777777" w:rsidR="000C7BBF" w:rsidRDefault="000C7BBF" w:rsidP="000C7BBF">
      <w:pPr>
        <w:pStyle w:val="Funotentext"/>
      </w:pPr>
      <w:r>
        <w:rPr>
          <w:rStyle w:val="Funotenzeichen"/>
        </w:rPr>
        <w:footnoteRef/>
      </w:r>
      <w:r>
        <w:t xml:space="preserve"> Siehe: </w:t>
      </w:r>
      <w:hyperlink r:id="rId761" w:history="1">
        <w:r w:rsidRPr="00EC1018">
          <w:rPr>
            <w:rStyle w:val="Hyperlink"/>
          </w:rPr>
          <w:t>https://www.bmwk.de/Redaktion/DE/Artikel/Industrie/weitere-entwicklung-ccs-technologien.html</w:t>
        </w:r>
      </w:hyperlink>
      <w:r>
        <w:t xml:space="preserve"> - Zugegriffen: 11.06.2024. </w:t>
      </w:r>
    </w:p>
  </w:footnote>
  <w:footnote w:id="1004">
    <w:p w14:paraId="5BCDED33" w14:textId="3994779C" w:rsidR="000C7BBF" w:rsidRDefault="000C7BBF" w:rsidP="000C7BBF">
      <w:pPr>
        <w:pStyle w:val="Funotentext"/>
      </w:pPr>
      <w:r>
        <w:rPr>
          <w:rStyle w:val="Funotenzeichen"/>
        </w:rPr>
        <w:footnoteRef/>
      </w:r>
      <w:r>
        <w:t xml:space="preserve"> Diese Informationen sind entnommen aus: Christian Geinitz. Ab in die Nords</w:t>
      </w:r>
      <w:r w:rsidR="007C0C8E">
        <w:t>e</w:t>
      </w:r>
      <w:r>
        <w:t xml:space="preserve">e mit dem CO2. Zum Wohle des Klimas gibt die Ampel ihre Vorbehalte gegen die Speicherung auf – aber nur für bestimmte Emissionen. FAZ, 27.02.2024. An einzelner Stelle wurde ergänzt aus der folgenden </w:t>
      </w:r>
      <w:proofErr w:type="gramStart"/>
      <w:r>
        <w:t>BMWK Webseite</w:t>
      </w:r>
      <w:proofErr w:type="gramEnd"/>
      <w:r>
        <w:t xml:space="preserve"> dazu: </w:t>
      </w:r>
      <w:hyperlink r:id="rId762" w:history="1">
        <w:r w:rsidRPr="00907554">
          <w:rPr>
            <w:rStyle w:val="Hyperlink"/>
          </w:rPr>
          <w:t>https://www.bundesregierung.de/breg-de/aktuelles/carbon-management-strategie-2289146</w:t>
        </w:r>
      </w:hyperlink>
      <w:r>
        <w:t xml:space="preserve"> - Zugegriffen: 13.07.2024. </w:t>
      </w:r>
    </w:p>
  </w:footnote>
  <w:footnote w:id="1005">
    <w:p w14:paraId="0611AF92" w14:textId="77777777" w:rsidR="000C7BBF" w:rsidRDefault="000C7BBF" w:rsidP="000C7BBF">
      <w:pPr>
        <w:pStyle w:val="Funotentext"/>
      </w:pPr>
      <w:r>
        <w:rPr>
          <w:rStyle w:val="Funotenzeichen"/>
        </w:rPr>
        <w:footnoteRef/>
      </w:r>
      <w:r>
        <w:t xml:space="preserve"> Christian Geinitz. Kohlenstoffzoff in der Ampel. FAZ, 28.02.2024. Siehe auch Christian Geinitz. Ärger bei SPD und Grünen über Habecks neue CO 2-Politik. FAZ, 11.06.2024. Noch ausführlicher: Christian Geinitz. Was aus der Möglichkeit zur CO2-Speicherung folgt. FAZ, 31.05.2024. </w:t>
      </w:r>
    </w:p>
  </w:footnote>
  <w:footnote w:id="1006">
    <w:p w14:paraId="35EF3D2A" w14:textId="77777777" w:rsidR="00B2693A" w:rsidRDefault="00B2693A" w:rsidP="00B2693A">
      <w:pPr>
        <w:pStyle w:val="Funotentext"/>
      </w:pPr>
      <w:r>
        <w:rPr>
          <w:rStyle w:val="Funotenzeichen"/>
        </w:rPr>
        <w:footnoteRef/>
      </w:r>
      <w:r>
        <w:t xml:space="preserve"> Christian Geinitz. Deutschland bricht mit Grünen-Tabu. CO2-Verpressung startet. FAZ, 11.09.2024. </w:t>
      </w:r>
    </w:p>
  </w:footnote>
  <w:footnote w:id="1007">
    <w:p w14:paraId="3771281A" w14:textId="77777777" w:rsidR="005139BB" w:rsidRDefault="005139BB" w:rsidP="005139BB">
      <w:pPr>
        <w:pStyle w:val="Funotentext"/>
      </w:pPr>
      <w:r>
        <w:rPr>
          <w:rStyle w:val="Funotenzeichen"/>
        </w:rPr>
        <w:footnoteRef/>
      </w:r>
      <w:r>
        <w:t xml:space="preserve"> Siehe: </w:t>
      </w:r>
      <w:hyperlink r:id="rId763" w:history="1">
        <w:r w:rsidRPr="00A60940">
          <w:rPr>
            <w:rStyle w:val="Hyperlink"/>
          </w:rPr>
          <w:t>https://www.bundestag.de/presse/hib/kurzmeldungen-1009674</w:t>
        </w:r>
      </w:hyperlink>
      <w:r>
        <w:t xml:space="preserve"> - Zugegriffen: 30.11.2024. </w:t>
      </w:r>
    </w:p>
  </w:footnote>
  <w:footnote w:id="1008">
    <w:p w14:paraId="5099630E" w14:textId="77777777" w:rsidR="00A166C4" w:rsidRDefault="00A166C4" w:rsidP="00A166C4">
      <w:pPr>
        <w:pStyle w:val="Funotentext"/>
      </w:pPr>
      <w:r>
        <w:rPr>
          <w:rStyle w:val="Funotenzeichen"/>
        </w:rPr>
        <w:footnoteRef/>
      </w:r>
      <w:r>
        <w:t xml:space="preserve"> § 33 Abs. 5 „Abweichend von Absatz 1 sind Betreiber von Kohlendioxidleitungsnetzen und </w:t>
      </w:r>
      <w:proofErr w:type="spellStart"/>
      <w:r>
        <w:t>Kohlendio</w:t>
      </w:r>
      <w:proofErr w:type="spellEnd"/>
      <w:r>
        <w:t>-</w:t>
      </w:r>
    </w:p>
    <w:p w14:paraId="2779FFCE" w14:textId="77777777" w:rsidR="00A166C4" w:rsidRDefault="00A166C4" w:rsidP="00A166C4">
      <w:pPr>
        <w:pStyle w:val="Funotentext"/>
      </w:pPr>
      <w:proofErr w:type="spellStart"/>
      <w:r>
        <w:t>xidspeichern</w:t>
      </w:r>
      <w:proofErr w:type="spellEnd"/>
      <w:r>
        <w:t xml:space="preserve"> verpflichtet, Unternehmen den Anschluss an ihr Kohlendioxidleitungsnetz und ihre Koh-</w:t>
      </w:r>
    </w:p>
    <w:p w14:paraId="0E575502" w14:textId="77777777" w:rsidR="00A166C4" w:rsidRDefault="00A166C4" w:rsidP="00A166C4">
      <w:pPr>
        <w:pStyle w:val="Funotentext"/>
      </w:pPr>
      <w:proofErr w:type="spellStart"/>
      <w:r>
        <w:t>lendioxidspeicher</w:t>
      </w:r>
      <w:proofErr w:type="spellEnd"/>
      <w:r>
        <w:t xml:space="preserve"> und den Zugang zu denselben zu verweigern, wenn das aufzunehmende </w:t>
      </w:r>
      <w:proofErr w:type="spellStart"/>
      <w:r>
        <w:t>Kohlendi</w:t>
      </w:r>
      <w:proofErr w:type="spellEnd"/>
      <w:r>
        <w:t>-</w:t>
      </w:r>
    </w:p>
    <w:p w14:paraId="4764F908" w14:textId="77777777" w:rsidR="00A166C4" w:rsidRDefault="00A166C4" w:rsidP="00A166C4">
      <w:pPr>
        <w:pStyle w:val="Funotentext"/>
      </w:pPr>
      <w:proofErr w:type="spellStart"/>
      <w:r>
        <w:t>oxid</w:t>
      </w:r>
      <w:proofErr w:type="spellEnd"/>
      <w:r>
        <w:t xml:space="preserve"> durch die Verbrennung von Kohle in einer Anlage und Verbrennungseinheit zur Energieerzeugung</w:t>
      </w:r>
    </w:p>
    <w:p w14:paraId="07B27071" w14:textId="77777777" w:rsidR="00A166C4" w:rsidRDefault="00A166C4" w:rsidP="00A166C4">
      <w:pPr>
        <w:pStyle w:val="Funotentext"/>
      </w:pPr>
      <w:r>
        <w:t>nach Anhang 1 Teil 2 Nummer 1 bis 4 des Treibhausgas-Emissionshandelsgesetzes und im räumlichen</w:t>
      </w:r>
    </w:p>
    <w:p w14:paraId="63904BEE" w14:textId="77777777" w:rsidR="00A166C4" w:rsidRDefault="00A166C4" w:rsidP="00A166C4">
      <w:pPr>
        <w:pStyle w:val="Funotentext"/>
      </w:pPr>
      <w:r>
        <w:t>Geltungsbereich des Treibhausgas-Emissionshandelsgesetzes entstanden ist.“</w:t>
      </w:r>
    </w:p>
  </w:footnote>
  <w:footnote w:id="1009">
    <w:p w14:paraId="31BDE219" w14:textId="77777777" w:rsidR="00A166C4" w:rsidRDefault="00A166C4" w:rsidP="00A166C4">
      <w:pPr>
        <w:pStyle w:val="Funotentext"/>
      </w:pPr>
      <w:r>
        <w:rPr>
          <w:rStyle w:val="Funotenzeichen"/>
        </w:rPr>
        <w:footnoteRef/>
      </w:r>
      <w:r>
        <w:t xml:space="preserve"> Deshalb werden hier auch die Änderungen des vorherigen Gesetzes festgehalten: </w:t>
      </w:r>
      <w:hyperlink r:id="rId764" w:history="1">
        <w:r w:rsidRPr="002A3412">
          <w:rPr>
            <w:rStyle w:val="Hyperlink"/>
          </w:rPr>
          <w:t>https://dserver.bundestag.de/btd/20/119/2011900.pdf</w:t>
        </w:r>
      </w:hyperlink>
      <w:r>
        <w:t xml:space="preserve"> - Zugegriffen: 11.04.2025. </w:t>
      </w:r>
    </w:p>
  </w:footnote>
  <w:footnote w:id="1010">
    <w:p w14:paraId="5C979D7D" w14:textId="77777777" w:rsidR="00A166C4" w:rsidRDefault="00A166C4" w:rsidP="00A166C4">
      <w:pPr>
        <w:pStyle w:val="Funotentext"/>
      </w:pPr>
      <w:r>
        <w:rPr>
          <w:rStyle w:val="Funotenzeichen"/>
        </w:rPr>
        <w:footnoteRef/>
      </w:r>
      <w:r>
        <w:t xml:space="preserve"> Siehe: </w:t>
      </w:r>
      <w:hyperlink r:id="rId765" w:history="1">
        <w:r w:rsidRPr="002A3412">
          <w:rPr>
            <w:rStyle w:val="Hyperlink"/>
          </w:rPr>
          <w:t>https://www.bundesregierung.de/resource/blob/975954/2312230/68ffd7f43809318980954bf71c7f122d/88-3-bmwk-kohlendioxid-speicherungsgesetz-bt-data.pdf?download=1</w:t>
        </w:r>
      </w:hyperlink>
      <w:r>
        <w:t xml:space="preserve"> – Zugegriffen: 11.04.2025. </w:t>
      </w:r>
    </w:p>
  </w:footnote>
  <w:footnote w:id="1011">
    <w:p w14:paraId="3F81BE65" w14:textId="77777777" w:rsidR="00A166C4" w:rsidRDefault="00A166C4" w:rsidP="00A166C4">
      <w:pPr>
        <w:pStyle w:val="Funotentext"/>
      </w:pPr>
      <w:r>
        <w:rPr>
          <w:rStyle w:val="Funotenzeichen"/>
        </w:rPr>
        <w:footnoteRef/>
      </w:r>
      <w:r>
        <w:t xml:space="preserve"> Siehe: </w:t>
      </w:r>
      <w:hyperlink r:id="rId766" w:history="1">
        <w:r w:rsidRPr="002A3412">
          <w:rPr>
            <w:rStyle w:val="Hyperlink"/>
          </w:rPr>
          <w:t>https://www.bundestag.de/resource/blob/1030966/00d4017c36f38362fc0e8295a22d5cd6/Wortprotokoll_125_Sitzung_oeA_Kohlendioxid-SpeicherungsG.pdf</w:t>
        </w:r>
      </w:hyperlink>
      <w:r>
        <w:t xml:space="preserve"> - Zugegriffen: 16.04.2025. </w:t>
      </w:r>
    </w:p>
  </w:footnote>
  <w:footnote w:id="1012">
    <w:p w14:paraId="6F71F770" w14:textId="77777777" w:rsidR="00A166C4" w:rsidRDefault="00A166C4" w:rsidP="00A166C4">
      <w:pPr>
        <w:pStyle w:val="Funotentext"/>
      </w:pPr>
      <w:r>
        <w:rPr>
          <w:rStyle w:val="Funotenzeichen"/>
        </w:rPr>
        <w:footnoteRef/>
      </w:r>
      <w:r>
        <w:t xml:space="preserve"> Siehe: </w:t>
      </w:r>
      <w:hyperlink r:id="rId767" w:history="1">
        <w:r w:rsidRPr="002A3412">
          <w:rPr>
            <w:rStyle w:val="Hyperlink"/>
          </w:rPr>
          <w:t>https://www.recht.bund.de</w:t>
        </w:r>
      </w:hyperlink>
      <w:r>
        <w:t xml:space="preserve"> </w:t>
      </w:r>
    </w:p>
  </w:footnote>
  <w:footnote w:id="1013">
    <w:p w14:paraId="022E8039" w14:textId="77777777" w:rsidR="00A166C4" w:rsidRDefault="00A166C4" w:rsidP="00A166C4">
      <w:pPr>
        <w:pStyle w:val="Funotentext"/>
      </w:pPr>
      <w:r>
        <w:rPr>
          <w:rStyle w:val="Funotenzeichen"/>
        </w:rPr>
        <w:footnoteRef/>
      </w:r>
      <w:r>
        <w:t xml:space="preserve"> Siehe: </w:t>
      </w:r>
      <w:hyperlink r:id="rId768" w:history="1">
        <w:r w:rsidRPr="002A3412">
          <w:rPr>
            <w:rStyle w:val="Hyperlink"/>
          </w:rPr>
          <w:t>https://gesetze-im-internet.de</w:t>
        </w:r>
      </w:hyperlink>
      <w:r>
        <w:t xml:space="preserve"> </w:t>
      </w:r>
    </w:p>
  </w:footnote>
  <w:footnote w:id="1014">
    <w:p w14:paraId="4CF9B9FC" w14:textId="77777777" w:rsidR="00A166C4" w:rsidRDefault="00A166C4" w:rsidP="00A166C4">
      <w:pPr>
        <w:pStyle w:val="Funotentext"/>
      </w:pPr>
      <w:r>
        <w:rPr>
          <w:rStyle w:val="Funotenzeichen"/>
        </w:rPr>
        <w:footnoteRef/>
      </w:r>
      <w:r>
        <w:t xml:space="preserve"> Siehe: </w:t>
      </w:r>
      <w:hyperlink r:id="rId769" w:history="1">
        <w:r w:rsidRPr="002A3412">
          <w:rPr>
            <w:rStyle w:val="Hyperlink"/>
          </w:rPr>
          <w:t>https://www.umweltrat.de/SharedDocs/Downloads/DE/04_Stellungnahmen/2024_2028/2024_10_CCS.html?nn=400356</w:t>
        </w:r>
      </w:hyperlink>
      <w:r>
        <w:t xml:space="preserve"> – Zugegriffen: 16.04.2025. </w:t>
      </w:r>
    </w:p>
  </w:footnote>
  <w:footnote w:id="1015">
    <w:p w14:paraId="23304387" w14:textId="77777777" w:rsidR="00B67E01" w:rsidRDefault="00B67E01" w:rsidP="00B67E01">
      <w:pPr>
        <w:pStyle w:val="Funotentext"/>
      </w:pPr>
      <w:r>
        <w:rPr>
          <w:rStyle w:val="Funotenzeichen"/>
        </w:rPr>
        <w:footnoteRef/>
      </w:r>
      <w:r>
        <w:t xml:space="preserve"> Reiche geht bei Abscheidung von CO2 voran. FAZ, 03.08.2025. </w:t>
      </w:r>
    </w:p>
  </w:footnote>
  <w:footnote w:id="1016">
    <w:p w14:paraId="73B6B0C9" w14:textId="77777777" w:rsidR="00A166C4" w:rsidRDefault="00A166C4" w:rsidP="00A166C4">
      <w:pPr>
        <w:pStyle w:val="Funotentext"/>
      </w:pPr>
      <w:r>
        <w:rPr>
          <w:rStyle w:val="Funotenzeichen"/>
        </w:rPr>
        <w:footnoteRef/>
      </w:r>
      <w:r>
        <w:t xml:space="preserve"> Eckpunktepapier Negativemissionen: </w:t>
      </w:r>
      <w:hyperlink r:id="rId770" w:history="1">
        <w:r w:rsidRPr="00907554">
          <w:rPr>
            <w:rStyle w:val="Hyperlink"/>
          </w:rPr>
          <w:t>https://www.bmwk.de/Redaktion/DE/Downloads/E/240226-eckpunkte-negativemissionen.html</w:t>
        </w:r>
      </w:hyperlink>
      <w:r>
        <w:t xml:space="preserve"> - Zugegriffen: 13.07.2024. </w:t>
      </w:r>
    </w:p>
  </w:footnote>
  <w:footnote w:id="1017">
    <w:p w14:paraId="42A8F9B8" w14:textId="77777777" w:rsidR="00A166C4" w:rsidRDefault="00A166C4" w:rsidP="00A166C4">
      <w:pPr>
        <w:pStyle w:val="Funotentext"/>
      </w:pPr>
      <w:r>
        <w:rPr>
          <w:rStyle w:val="Funotenzeichen"/>
        </w:rPr>
        <w:footnoteRef/>
      </w:r>
      <w:r>
        <w:t xml:space="preserve"> Diese Schätzung mit den 50 Mill. Tonnen CO2 stammt von Ottmar Edenhofer, Direktor des Potsdam Instituts für Klimafolgenforschung PIK, der auf der Veranstaltung mit Robert Habeck ebenfalls gesprochen hat. Christian Geinitz. Ab in die Nordsee mit dem CO2. Zum Wohle des Klimas gibt die Ampel ihre Vorbehalte gegen die Speicherung auf – aber nur für bestimmte Emissionen. FAZ, 27.02.2024. </w:t>
      </w:r>
    </w:p>
  </w:footnote>
  <w:footnote w:id="1018">
    <w:p w14:paraId="7376E6E3" w14:textId="77777777" w:rsidR="00112190" w:rsidRDefault="00112190" w:rsidP="00112190">
      <w:pPr>
        <w:pStyle w:val="Funotentext"/>
      </w:pPr>
      <w:r>
        <w:rPr>
          <w:rStyle w:val="Funotenzeichen"/>
        </w:rPr>
        <w:footnoteRef/>
      </w:r>
      <w:r>
        <w:t xml:space="preserve"> Markus Theurer. </w:t>
      </w:r>
      <w:proofErr w:type="gramStart"/>
      <w:r>
        <w:t>RWE Chef</w:t>
      </w:r>
      <w:proofErr w:type="gramEnd"/>
      <w:r>
        <w:t xml:space="preserve"> Markus Krebber im Interview. Deutschlands Energieversorgung ist auf Kante genäht. FAZ, 10.11.2023. </w:t>
      </w:r>
    </w:p>
  </w:footnote>
  <w:footnote w:id="1019">
    <w:p w14:paraId="217241B0" w14:textId="77777777" w:rsidR="001A322A" w:rsidRDefault="001A322A" w:rsidP="001A322A">
      <w:pPr>
        <w:pStyle w:val="Funotentext"/>
      </w:pPr>
      <w:r>
        <w:rPr>
          <w:rStyle w:val="Funotenzeichen"/>
        </w:rPr>
        <w:footnoteRef/>
      </w:r>
      <w:r>
        <w:t xml:space="preserve"> FAZ/dpa. Bundesregierung einigt sich auf Kraftwerksstrategie. FAZ, 05.02.2024. </w:t>
      </w:r>
    </w:p>
  </w:footnote>
  <w:footnote w:id="1020">
    <w:p w14:paraId="374EC17F" w14:textId="77777777" w:rsidR="001A322A" w:rsidRDefault="001A322A" w:rsidP="001A322A">
      <w:pPr>
        <w:pStyle w:val="Funotentext"/>
      </w:pPr>
      <w:r>
        <w:rPr>
          <w:rStyle w:val="Funotenzeichen"/>
        </w:rPr>
        <w:footnoteRef/>
      </w:r>
      <w:r>
        <w:t xml:space="preserve"> Jonas Jansen. Zu viele Fragezeichen zur Kraftwerksstrategie. FAZ, 29.02.2024.</w:t>
      </w:r>
    </w:p>
  </w:footnote>
  <w:footnote w:id="1021">
    <w:p w14:paraId="356FA709" w14:textId="044F3A8A" w:rsidR="00A166C4" w:rsidRDefault="00A166C4">
      <w:pPr>
        <w:pStyle w:val="Funotentext"/>
      </w:pPr>
      <w:r>
        <w:rPr>
          <w:rStyle w:val="Funotenzeichen"/>
        </w:rPr>
        <w:footnoteRef/>
      </w:r>
      <w:r>
        <w:t xml:space="preserve"> Nadine Bös, Markus Jung. Mehr Kohle für die Kohle. FAZ, 26.03.2024. </w:t>
      </w:r>
    </w:p>
  </w:footnote>
  <w:footnote w:id="1022">
    <w:p w14:paraId="636206B1" w14:textId="77777777" w:rsidR="001A322A" w:rsidRDefault="001A322A" w:rsidP="001A322A">
      <w:pPr>
        <w:pStyle w:val="Funotentext"/>
      </w:pPr>
      <w:r>
        <w:rPr>
          <w:rStyle w:val="Funotenzeichen"/>
        </w:rPr>
        <w:footnoteRef/>
      </w:r>
      <w:r>
        <w:t xml:space="preserve"> </w:t>
      </w:r>
      <w:r w:rsidRPr="001A322A">
        <w:t>Pompl, Raphael, S.</w:t>
      </w:r>
      <w:r>
        <w:t xml:space="preserve"> </w:t>
      </w:r>
      <w:r w:rsidRPr="001A322A">
        <w:t>549, in Assmann/Pfeiffer. Energiewirtschaftsgesetz. Kommentar. München: C.H. Beck, 2024.</w:t>
      </w:r>
    </w:p>
  </w:footnote>
  <w:footnote w:id="1023">
    <w:p w14:paraId="42A7A12C" w14:textId="77777777" w:rsidR="001A322A" w:rsidRDefault="001A322A" w:rsidP="001A322A">
      <w:pPr>
        <w:pStyle w:val="Funotentext"/>
      </w:pPr>
      <w:r>
        <w:rPr>
          <w:rStyle w:val="Funotenzeichen"/>
        </w:rPr>
        <w:footnoteRef/>
      </w:r>
      <w:r>
        <w:t xml:space="preserve"> Pompl, Raphael, S. 545-549, in Assmann/Pfeiffer. Energiewirtschaftsgesetz. Kommentar. München: C.H. Beck, 2024.</w:t>
      </w:r>
    </w:p>
  </w:footnote>
  <w:footnote w:id="1024">
    <w:p w14:paraId="33DEEBE7" w14:textId="77777777" w:rsidR="001A322A" w:rsidRDefault="001A322A" w:rsidP="001A322A">
      <w:pPr>
        <w:pStyle w:val="Funotentext"/>
      </w:pPr>
      <w:r>
        <w:rPr>
          <w:rStyle w:val="Funotenzeichen"/>
        </w:rPr>
        <w:footnoteRef/>
      </w:r>
      <w:r>
        <w:t xml:space="preserve"> Jens Spahn hat seine Kritik auf einer Publikation des Wissenschaftlichen Dienstes des deutschen Bundestages basieren lassen. Die nun kritisierten, zu geringen Ausbaupläne wurden allerdings von Christian Lindner, FDP, verringert, nicht von Robert Habeck, Grüne, der die Pläne aber präsentieren musste. Christian Geinitz. CDU sieht Mängel in Stromstrategie. FAZ, 21.03.2024.</w:t>
      </w:r>
    </w:p>
  </w:footnote>
  <w:footnote w:id="1025">
    <w:p w14:paraId="0A0CCB5F" w14:textId="77777777" w:rsidR="001A322A" w:rsidRDefault="001A322A" w:rsidP="001A322A">
      <w:pPr>
        <w:pStyle w:val="Funotentext"/>
      </w:pPr>
      <w:r>
        <w:rPr>
          <w:rStyle w:val="Funotenzeichen"/>
        </w:rPr>
        <w:footnoteRef/>
      </w:r>
      <w:r>
        <w:t xml:space="preserve"> Kohleausstieg 2030 – </w:t>
      </w:r>
      <w:proofErr w:type="gramStart"/>
      <w:r>
        <w:t>NRW Ministerpräsident</w:t>
      </w:r>
      <w:proofErr w:type="gramEnd"/>
      <w:r>
        <w:t xml:space="preserve"> zweifelt am Termin. Rheinische Post, 27.02.2024. Siehe: </w:t>
      </w:r>
      <w:hyperlink r:id="rId771" w:history="1">
        <w:r w:rsidRPr="00642582">
          <w:rPr>
            <w:rStyle w:val="Hyperlink"/>
          </w:rPr>
          <w:t>https://rp-online.de/nrw/landespolitik/nrw-ministerpraesident-wuest-zweifelt-kohleausstieg-2030-an_aid-107864091</w:t>
        </w:r>
      </w:hyperlink>
      <w:r>
        <w:t xml:space="preserve"> - Zugegriffen: 27.02.2024.</w:t>
      </w:r>
    </w:p>
  </w:footnote>
  <w:footnote w:id="1026">
    <w:p w14:paraId="27E2B5CF" w14:textId="77777777" w:rsidR="001A322A" w:rsidRDefault="001A322A" w:rsidP="001A322A">
      <w:pPr>
        <w:pStyle w:val="Funotentext"/>
      </w:pPr>
      <w:r>
        <w:rPr>
          <w:rStyle w:val="Funotenzeichen"/>
        </w:rPr>
        <w:footnoteRef/>
      </w:r>
      <w:r>
        <w:t xml:space="preserve"> </w:t>
      </w:r>
      <w:proofErr w:type="gramStart"/>
      <w:r>
        <w:t>BDI Klimapfade</w:t>
      </w:r>
      <w:proofErr w:type="gramEnd"/>
      <w:r>
        <w:t xml:space="preserve"> 2.0 2021: 35.</w:t>
      </w:r>
    </w:p>
  </w:footnote>
  <w:footnote w:id="1027">
    <w:p w14:paraId="3F6585D0" w14:textId="77777777" w:rsidR="001A322A" w:rsidRDefault="001A322A" w:rsidP="001A322A">
      <w:pPr>
        <w:pStyle w:val="Funotentext"/>
      </w:pPr>
      <w:r>
        <w:rPr>
          <w:rStyle w:val="Funotenzeichen"/>
        </w:rPr>
        <w:footnoteRef/>
      </w:r>
      <w:r>
        <w:t xml:space="preserve"> Wissenschaftliche Dienste des Deutschen Bundestages. Studienanalyse zur Stromversorgungssicherheit in Deutschland. 11.03.2024. Siehe: </w:t>
      </w:r>
      <w:hyperlink r:id="rId772" w:history="1">
        <w:r w:rsidRPr="001344B6">
          <w:rPr>
            <w:rStyle w:val="Hyperlink"/>
          </w:rPr>
          <w:t>https://www.bundestag.de/resource/blob/995232/83483e66a3513b98b868a02722e4f651/WD-5-026-24-pdf.pdf</w:t>
        </w:r>
      </w:hyperlink>
      <w:r>
        <w:t xml:space="preserve"> - Zugegriffen: 24.03.2024.</w:t>
      </w:r>
    </w:p>
  </w:footnote>
  <w:footnote w:id="1028">
    <w:p w14:paraId="34CB5E92" w14:textId="77777777" w:rsidR="001A322A" w:rsidRDefault="001A322A" w:rsidP="001A322A">
      <w:pPr>
        <w:pStyle w:val="Funotentext"/>
      </w:pPr>
      <w:r>
        <w:rPr>
          <w:rStyle w:val="Funotenzeichen"/>
        </w:rPr>
        <w:footnoteRef/>
      </w:r>
      <w:r>
        <w:t xml:space="preserve"> </w:t>
      </w:r>
      <w:r w:rsidRPr="00F66243">
        <w:t>Wasserstoff-Kraftwerke – Bundesnetzagentur-Präsident Müller. Geladen Podcast, 31.03.2024. Siehe: https://www.youtube.com/watch?v=xEYbVlk_618 – Zugegriffen: 20.05.2024.</w:t>
      </w:r>
    </w:p>
  </w:footnote>
  <w:footnote w:id="1029">
    <w:p w14:paraId="78F7D0FD" w14:textId="77777777" w:rsidR="001A322A" w:rsidRPr="00C97F3D" w:rsidRDefault="001A322A" w:rsidP="001A322A">
      <w:pPr>
        <w:pStyle w:val="Funotentext"/>
      </w:pPr>
      <w:r>
        <w:rPr>
          <w:rStyle w:val="Funotenzeichen"/>
        </w:rPr>
        <w:footnoteRef/>
      </w:r>
      <w:r w:rsidRPr="00C97F3D">
        <w:t xml:space="preserve"> Der nun folgende Abschnitt gibt Informationen</w:t>
      </w:r>
      <w:r>
        <w:t xml:space="preserve"> wieder aus dem Artikel von: </w:t>
      </w:r>
      <w:r w:rsidRPr="00C97F3D">
        <w:t>Christian Geinitz. Ampel plant Strompreis-</w:t>
      </w:r>
      <w:r>
        <w:t xml:space="preserve">Aufschlag. FAZ, 09.07.2024. </w:t>
      </w:r>
    </w:p>
  </w:footnote>
  <w:footnote w:id="1030">
    <w:p w14:paraId="7A1828EE" w14:textId="72085B59" w:rsidR="00D21D5C" w:rsidRPr="00D21D5C" w:rsidRDefault="00D21D5C">
      <w:pPr>
        <w:pStyle w:val="Funotentext"/>
      </w:pPr>
      <w:r>
        <w:rPr>
          <w:rStyle w:val="Funotenzeichen"/>
        </w:rPr>
        <w:footnoteRef/>
      </w:r>
      <w:r w:rsidRPr="00D21D5C">
        <w:t xml:space="preserve"> Be</w:t>
      </w:r>
      <w:r>
        <w:t xml:space="preserve">cker Büttner Held, </w:t>
      </w:r>
      <w:r w:rsidRPr="00D21D5C">
        <w:t>Kraftwerksstrategie: Bundesregierung veröffentlicht neue Eckpunkte</w:t>
      </w:r>
      <w:r>
        <w:t xml:space="preserve">, 24.10.2024, siehe: </w:t>
      </w:r>
      <w:hyperlink r:id="rId773" w:history="1">
        <w:r w:rsidRPr="002A3412">
          <w:rPr>
            <w:rStyle w:val="Hyperlink"/>
          </w:rPr>
          <w:t>https://www.bbh-blog.de/alle-themen/emissionshandel/kraftwerksstrategie-bundesregierung-veroeffentlicht-neue-eckpunkte/</w:t>
        </w:r>
      </w:hyperlink>
      <w:r>
        <w:t xml:space="preserve"> - Zugegriffen: 16.04.2025. </w:t>
      </w:r>
    </w:p>
  </w:footnote>
  <w:footnote w:id="1031">
    <w:p w14:paraId="44AA0922" w14:textId="77777777" w:rsidR="00D21D5C" w:rsidRPr="00C97F3D" w:rsidRDefault="00D21D5C" w:rsidP="00D21D5C">
      <w:pPr>
        <w:pStyle w:val="Funotentext"/>
      </w:pPr>
      <w:r>
        <w:rPr>
          <w:rStyle w:val="Funotenzeichen"/>
        </w:rPr>
        <w:footnoteRef/>
      </w:r>
      <w:r w:rsidRPr="000B7922">
        <w:t xml:space="preserve"> Christian Geinitz. </w:t>
      </w:r>
      <w:r w:rsidRPr="00C97F3D">
        <w:t>Ampel plant Strompreis-</w:t>
      </w:r>
      <w:r>
        <w:t xml:space="preserve">Aufschlag. FAZ, 09.07.2024. </w:t>
      </w:r>
    </w:p>
  </w:footnote>
  <w:footnote w:id="1032">
    <w:p w14:paraId="702DEFD8" w14:textId="77777777" w:rsidR="00D21D5C" w:rsidRPr="00D21D5C" w:rsidRDefault="00D21D5C" w:rsidP="00D21D5C">
      <w:pPr>
        <w:pStyle w:val="Funotentext"/>
      </w:pPr>
      <w:r>
        <w:rPr>
          <w:rStyle w:val="Funotenzeichen"/>
        </w:rPr>
        <w:footnoteRef/>
      </w:r>
      <w:r w:rsidRPr="00D21D5C">
        <w:t xml:space="preserve"> Be</w:t>
      </w:r>
      <w:r>
        <w:t xml:space="preserve">cker Büttner Held, </w:t>
      </w:r>
      <w:r w:rsidRPr="00D21D5C">
        <w:t>Kraftwerksstrategie: Bundesregierung veröffentlicht neue Eckpunkte</w:t>
      </w:r>
      <w:r>
        <w:t xml:space="preserve">, 24.10.2024, siehe: </w:t>
      </w:r>
      <w:hyperlink r:id="rId774" w:history="1">
        <w:r w:rsidRPr="002A3412">
          <w:rPr>
            <w:rStyle w:val="Hyperlink"/>
          </w:rPr>
          <w:t>https://www.bbh-blog.de/alle-themen/emissionshandel/kraftwerksstrategie-bundesregierung-veroeffentlicht-neue-eckpunkte/</w:t>
        </w:r>
      </w:hyperlink>
      <w:r>
        <w:t xml:space="preserve"> - Zugegriffen: 16.04.2025. </w:t>
      </w:r>
    </w:p>
  </w:footnote>
  <w:footnote w:id="1033">
    <w:p w14:paraId="561984D4" w14:textId="77777777" w:rsidR="001A322A" w:rsidRPr="00C97F3D" w:rsidRDefault="001A322A" w:rsidP="001A322A">
      <w:pPr>
        <w:pStyle w:val="Funotentext"/>
      </w:pPr>
      <w:r>
        <w:rPr>
          <w:rStyle w:val="Funotenzeichen"/>
        </w:rPr>
        <w:footnoteRef/>
      </w:r>
      <w:r w:rsidRPr="00C97F3D">
        <w:t xml:space="preserve"> Christian Geinitz. Ampel plant Strompreis-</w:t>
      </w:r>
      <w:r>
        <w:t xml:space="preserve">Aufschlag. FAZ, 09.07.2024. </w:t>
      </w:r>
    </w:p>
  </w:footnote>
  <w:footnote w:id="1034">
    <w:p w14:paraId="2C0989DD" w14:textId="77777777" w:rsidR="001A322A" w:rsidRPr="00C97F3D" w:rsidRDefault="001A322A" w:rsidP="001A322A">
      <w:pPr>
        <w:pStyle w:val="Funotentext"/>
      </w:pPr>
      <w:r>
        <w:rPr>
          <w:rStyle w:val="Funotenzeichen"/>
        </w:rPr>
        <w:footnoteRef/>
      </w:r>
      <w:r w:rsidRPr="00C97F3D">
        <w:t xml:space="preserve"> Christian Geinitz. Ampel plant Strompreis-</w:t>
      </w:r>
      <w:r>
        <w:t xml:space="preserve">Aufschlag. FAZ, 09.07.2024. </w:t>
      </w:r>
    </w:p>
  </w:footnote>
  <w:footnote w:id="1035">
    <w:p w14:paraId="04FABCC1" w14:textId="77777777" w:rsidR="001A322A" w:rsidRDefault="001A322A" w:rsidP="001A322A">
      <w:pPr>
        <w:pStyle w:val="Funotentext"/>
      </w:pPr>
      <w:r>
        <w:rPr>
          <w:rStyle w:val="Funotenzeichen"/>
        </w:rPr>
        <w:footnoteRef/>
      </w:r>
      <w:r>
        <w:t xml:space="preserve"> Mitteilung der Kommission Leitlinien für staatliche Klima-, Umweltschutz- und Energiebeihilfen 2022, </w:t>
      </w:r>
    </w:p>
    <w:p w14:paraId="2227E6F2" w14:textId="77777777" w:rsidR="001A322A" w:rsidRDefault="001A322A" w:rsidP="001A322A">
      <w:pPr>
        <w:pStyle w:val="Funotentext"/>
      </w:pPr>
      <w:r>
        <w:t xml:space="preserve">C/2022/481, siehe: </w:t>
      </w:r>
      <w:hyperlink r:id="rId775" w:history="1">
        <w:r w:rsidRPr="00D2007E">
          <w:rPr>
            <w:rStyle w:val="Hyperlink"/>
          </w:rPr>
          <w:t>https://eur-lex.europa.eu/legal-content/DE/TXT/?uri=celex:52022XC0218(03)</w:t>
        </w:r>
      </w:hyperlink>
      <w:r>
        <w:t xml:space="preserve"> – Zugegriffen: 11.07.2024.</w:t>
      </w:r>
    </w:p>
  </w:footnote>
  <w:footnote w:id="1036">
    <w:p w14:paraId="6FD3998B" w14:textId="77777777" w:rsidR="001A322A" w:rsidRDefault="001A322A" w:rsidP="001A322A">
      <w:pPr>
        <w:pStyle w:val="Funotentext"/>
      </w:pPr>
      <w:r>
        <w:rPr>
          <w:rStyle w:val="Funotenzeichen"/>
        </w:rPr>
        <w:footnoteRef/>
      </w:r>
      <w:r>
        <w:t xml:space="preserve"> Siehe: </w:t>
      </w:r>
      <w:hyperlink r:id="rId776" w:history="1">
        <w:r w:rsidRPr="00D2007E">
          <w:rPr>
            <w:rStyle w:val="Hyperlink"/>
          </w:rPr>
          <w:t>https://eur-lex.europa.eu/DE/legal-content/summary/2022-guidelines-on-state-aid-for-climate-environmental-protection-and-energy.html</w:t>
        </w:r>
      </w:hyperlink>
      <w:r>
        <w:t xml:space="preserve"> - Zugegriffen: 11.07.2024. </w:t>
      </w:r>
    </w:p>
  </w:footnote>
  <w:footnote w:id="1037">
    <w:p w14:paraId="751A840D" w14:textId="00A887CD" w:rsidR="00F51215" w:rsidRDefault="00F51215">
      <w:pPr>
        <w:pStyle w:val="Funotentext"/>
      </w:pPr>
      <w:r>
        <w:rPr>
          <w:rStyle w:val="Funotenzeichen"/>
        </w:rPr>
        <w:footnoteRef/>
      </w:r>
      <w:r>
        <w:t xml:space="preserve"> Zukunft für Gaskraftwerke, FAZ, 12.09.2024. </w:t>
      </w:r>
    </w:p>
  </w:footnote>
  <w:footnote w:id="1038">
    <w:p w14:paraId="12688BEC" w14:textId="451A8E44" w:rsidR="00A01252" w:rsidRDefault="00A01252" w:rsidP="00A01252">
      <w:pPr>
        <w:pStyle w:val="Funotentext"/>
      </w:pPr>
      <w:r>
        <w:rPr>
          <w:rStyle w:val="Funotenzeichen"/>
        </w:rPr>
        <w:footnoteRef/>
      </w:r>
      <w:r>
        <w:t xml:space="preserve"> Siehe </w:t>
      </w:r>
      <w:r w:rsidR="009D723F">
        <w:t xml:space="preserve">S. </w:t>
      </w:r>
      <w:r>
        <w:t xml:space="preserve">57 in: </w:t>
      </w:r>
      <w:proofErr w:type="gramStart"/>
      <w:r>
        <w:t>BWMK Strommarktdesign</w:t>
      </w:r>
      <w:proofErr w:type="gramEnd"/>
      <w:r>
        <w:t xml:space="preserve"> der Zukunft 2024. Siehe: </w:t>
      </w:r>
      <w:hyperlink r:id="rId777" w:history="1">
        <w:r w:rsidRPr="00FC3FEC">
          <w:rPr>
            <w:rStyle w:val="Hyperlink"/>
          </w:rPr>
          <w:t>https://www.bmwk.de/Redaktion/DE/Publikationen/Energie/20240801-strommarktdesign-der-zukunft.pdf?__blob=publicationFile&amp;v=10</w:t>
        </w:r>
      </w:hyperlink>
      <w:r>
        <w:t xml:space="preserve"> – Zugegriffen: 27.08.2024. </w:t>
      </w:r>
    </w:p>
  </w:footnote>
  <w:footnote w:id="1039">
    <w:p w14:paraId="2288D069" w14:textId="77777777" w:rsidR="00C6555F" w:rsidRDefault="00C6555F" w:rsidP="00C6555F">
      <w:pPr>
        <w:pStyle w:val="Funotentext"/>
      </w:pPr>
      <w:r>
        <w:rPr>
          <w:rStyle w:val="Funotenzeichen"/>
        </w:rPr>
        <w:footnoteRef/>
      </w:r>
      <w:r>
        <w:t xml:space="preserve"> Wie wird das Stromsystem fit für die Zukunft, FAZ, 11.07.2024. </w:t>
      </w:r>
    </w:p>
  </w:footnote>
  <w:footnote w:id="1040">
    <w:p w14:paraId="312C3329" w14:textId="7A86D373" w:rsidR="00BD2FC6" w:rsidRDefault="00BD2FC6">
      <w:pPr>
        <w:pStyle w:val="Funotentext"/>
      </w:pPr>
      <w:r>
        <w:rPr>
          <w:rStyle w:val="Funotenzeichen"/>
        </w:rPr>
        <w:footnoteRef/>
      </w:r>
      <w:r>
        <w:t xml:space="preserve"> Dies sagte sie beim Ludwig-Erhard Gipfel am Tegernsee: </w:t>
      </w:r>
      <w:hyperlink r:id="rId778" w:history="1">
        <w:r w:rsidRPr="00D72181">
          <w:rPr>
            <w:rStyle w:val="Hyperlink"/>
          </w:rPr>
          <w:t>https://www.tagesschau.de/wissen/technologie/gaskraftwerke-und-klimaschutz-100.html</w:t>
        </w:r>
      </w:hyperlink>
      <w:r>
        <w:t xml:space="preserve"> - Zugegriffen: 27.05.2025. </w:t>
      </w:r>
    </w:p>
  </w:footnote>
  <w:footnote w:id="1041">
    <w:p w14:paraId="10FB23E2" w14:textId="69D59652" w:rsidR="001F0EAF" w:rsidRDefault="001F0EAF">
      <w:pPr>
        <w:pStyle w:val="Funotentext"/>
      </w:pPr>
      <w:r>
        <w:rPr>
          <w:rStyle w:val="Funotenzeichen"/>
        </w:rPr>
        <w:footnoteRef/>
      </w:r>
      <w:r>
        <w:t xml:space="preserve"> </w:t>
      </w:r>
      <w:r w:rsidR="00AB6B90">
        <w:t xml:space="preserve">Markus Becker et al. Wirtschaftsministerin Reiche muss ersten Rückschlag einstecken. Der Spiegel, Wirtschaft, Online, 23.05.2025: </w:t>
      </w:r>
      <w:hyperlink r:id="rId779" w:history="1">
        <w:r w:rsidR="00AB6B90" w:rsidRPr="00D72181">
          <w:rPr>
            <w:rStyle w:val="Hyperlink"/>
          </w:rPr>
          <w:t>https://www.spiegel.de/wirtschaft/soziales/gaskraftwerke-erster-rueckschlag-fuer-katherina-reiche-a-2d42203e-5e95-45b6-809c-4e8bbaa01981</w:t>
        </w:r>
      </w:hyperlink>
      <w:r w:rsidR="00AB6B90">
        <w:t xml:space="preserve"> - Zugegriffen: 27.05.2025. </w:t>
      </w:r>
    </w:p>
  </w:footnote>
  <w:footnote w:id="1042">
    <w:p w14:paraId="0B79E227" w14:textId="2A7B1232" w:rsidR="001F0EAF" w:rsidRDefault="001F0EAF">
      <w:pPr>
        <w:pStyle w:val="Funotentext"/>
      </w:pPr>
      <w:r>
        <w:rPr>
          <w:rStyle w:val="Funotenzeichen"/>
        </w:rPr>
        <w:footnoteRef/>
      </w:r>
      <w:r>
        <w:t xml:space="preserve"> </w:t>
      </w:r>
      <w:r w:rsidR="00AB6B90">
        <w:t xml:space="preserve">Siehe Pressemitteilung 19.05.2025, BDEW-Vorschläge zum Kraftwerkssicherheitsgesetz: </w:t>
      </w:r>
      <w:hyperlink r:id="rId780" w:history="1">
        <w:r w:rsidR="00AB6B90" w:rsidRPr="00D72181">
          <w:rPr>
            <w:rStyle w:val="Hyperlink"/>
          </w:rPr>
          <w:t>https://www.bdew.de/presse/entwurf-zum-kraftwerkssicherheitsgesetz-zuegig-verabschieden/</w:t>
        </w:r>
      </w:hyperlink>
      <w:r w:rsidR="00AB6B90">
        <w:t xml:space="preserve"> - Zugegriffen: 27.05.2025. </w:t>
      </w:r>
    </w:p>
  </w:footnote>
  <w:footnote w:id="1043">
    <w:p w14:paraId="40788137" w14:textId="1850E134" w:rsidR="00AB6B90" w:rsidRDefault="00AB6B90">
      <w:pPr>
        <w:pStyle w:val="Funotentext"/>
      </w:pPr>
      <w:r>
        <w:rPr>
          <w:rStyle w:val="Funotenzeichen"/>
        </w:rPr>
        <w:footnoteRef/>
      </w:r>
      <w:r>
        <w:t xml:space="preserve"> Siehe: </w:t>
      </w:r>
      <w:hyperlink r:id="rId781" w:history="1">
        <w:r w:rsidRPr="00D72181">
          <w:rPr>
            <w:rStyle w:val="Hyperlink"/>
          </w:rPr>
          <w:t>https://www.bdew.de/media/documents/2025_05_BDEW_Positionspapier_KWSG.pdf</w:t>
        </w:r>
      </w:hyperlink>
      <w:r>
        <w:t xml:space="preserve"> - Zugegriffen: 27.05.2025.</w:t>
      </w:r>
    </w:p>
  </w:footnote>
  <w:footnote w:id="1044">
    <w:p w14:paraId="1977B53D" w14:textId="09DE0E09" w:rsidR="00933054" w:rsidRDefault="00933054">
      <w:pPr>
        <w:pStyle w:val="Funotentext"/>
      </w:pPr>
      <w:r>
        <w:rPr>
          <w:rStyle w:val="Funotenzeichen"/>
        </w:rPr>
        <w:footnoteRef/>
      </w:r>
      <w:r>
        <w:t xml:space="preserve"> Gaskraftwerke verzögern sich. FAZ, 05.06.2025. </w:t>
      </w:r>
    </w:p>
  </w:footnote>
  <w:footnote w:id="1045">
    <w:p w14:paraId="6C58D214" w14:textId="77777777" w:rsidR="001E06E2" w:rsidRDefault="001E06E2" w:rsidP="001E06E2">
      <w:pPr>
        <w:pStyle w:val="Funotentext"/>
      </w:pPr>
      <w:r>
        <w:rPr>
          <w:rStyle w:val="Funotenzeichen"/>
        </w:rPr>
        <w:footnoteRef/>
      </w:r>
      <w:r>
        <w:t xml:space="preserve"> Siehe: </w:t>
      </w:r>
      <w:hyperlink r:id="rId782" w:history="1">
        <w:r w:rsidRPr="00366B8A">
          <w:rPr>
            <w:rStyle w:val="Hyperlink"/>
          </w:rPr>
          <w:t>https://h2-news.de/wirtschaft-unternehmen/stuttgart-h2-ready-gaskraftwerk-nimmt-betrieb-auf/</w:t>
        </w:r>
      </w:hyperlink>
      <w:r>
        <w:t xml:space="preserve"> - Zugegriffen: 08.06.2025. </w:t>
      </w:r>
    </w:p>
  </w:footnote>
  <w:footnote w:id="1046">
    <w:p w14:paraId="214C66A0" w14:textId="03D8A9CB" w:rsidR="00CF4775" w:rsidRDefault="00CF4775">
      <w:pPr>
        <w:pStyle w:val="Funotentext"/>
      </w:pPr>
      <w:r>
        <w:rPr>
          <w:rStyle w:val="Funotenzeichen"/>
        </w:rPr>
        <w:footnoteRef/>
      </w:r>
      <w:r>
        <w:t xml:space="preserve"> Siehe: </w:t>
      </w:r>
      <w:hyperlink r:id="rId783" w:history="1">
        <w:r w:rsidRPr="001552E5">
          <w:rPr>
            <w:rStyle w:val="Hyperlink"/>
          </w:rPr>
          <w:t>https://www.ostsee-zeitung.de/mecklenburg-vorpommern/bund-plant-neue-gas-kraftwerke-mv-ist-mit-rostock-und-lubmin-im-rennen-UMJLZEV7VNHKLBZ3RX7Q2JJXOA.html</w:t>
        </w:r>
      </w:hyperlink>
      <w:r>
        <w:t xml:space="preserve"> - Zugegriffen: 25.05.2025.</w:t>
      </w:r>
    </w:p>
  </w:footnote>
  <w:footnote w:id="1047">
    <w:p w14:paraId="217CADB3" w14:textId="77777777" w:rsidR="00812976" w:rsidRDefault="00812976" w:rsidP="00812976">
      <w:pPr>
        <w:pStyle w:val="Funotentext"/>
      </w:pPr>
      <w:r>
        <w:rPr>
          <w:rStyle w:val="Funotenzeichen"/>
        </w:rPr>
        <w:footnoteRef/>
      </w:r>
      <w:r>
        <w:t xml:space="preserve"> Nadine Bös, Christian Geinitz. In den Startlöchern für neue Gaskraftwerke. FAZ, 17.01.2026. </w:t>
      </w:r>
    </w:p>
  </w:footnote>
  <w:footnote w:id="1048">
    <w:p w14:paraId="5F48B0E8" w14:textId="77777777" w:rsidR="004C1AB0" w:rsidRDefault="004C1AB0" w:rsidP="004C1AB0">
      <w:pPr>
        <w:pStyle w:val="Funotentext"/>
      </w:pPr>
      <w:r>
        <w:rPr>
          <w:rStyle w:val="Funotenzeichen"/>
        </w:rPr>
        <w:footnoteRef/>
      </w:r>
      <w:r>
        <w:t xml:space="preserve"> </w:t>
      </w:r>
      <w:proofErr w:type="spellStart"/>
      <w:r>
        <w:t>Rößiger</w:t>
      </w:r>
      <w:proofErr w:type="spellEnd"/>
      <w:r>
        <w:t xml:space="preserve"> 2022: 70.</w:t>
      </w:r>
    </w:p>
  </w:footnote>
  <w:footnote w:id="1049">
    <w:p w14:paraId="44210F74" w14:textId="15800089" w:rsidR="00112190" w:rsidRDefault="00112190" w:rsidP="00112190">
      <w:pPr>
        <w:pStyle w:val="Funotentext"/>
      </w:pPr>
      <w:r>
        <w:rPr>
          <w:rStyle w:val="Funotenzeichen"/>
        </w:rPr>
        <w:footnoteRef/>
      </w:r>
      <w:r>
        <w:t xml:space="preserve"> Siehe</w:t>
      </w:r>
      <w:r w:rsidR="00F26135">
        <w:t xml:space="preserve"> die Webseite Klimaschutzverträge</w:t>
      </w:r>
      <w:r>
        <w:t xml:space="preserve">: </w:t>
      </w:r>
      <w:hyperlink r:id="rId784" w:history="1">
        <w:r w:rsidRPr="00AC26BA">
          <w:rPr>
            <w:rStyle w:val="Hyperlink"/>
          </w:rPr>
          <w:t>https://www.klimaschutzvertraege.info/</w:t>
        </w:r>
      </w:hyperlink>
      <w:r w:rsidR="001A0FED">
        <w:t xml:space="preserve"> - siehe: </w:t>
      </w:r>
      <w:hyperlink r:id="rId785" w:history="1">
        <w:r w:rsidR="001A0FED" w:rsidRPr="00151089">
          <w:rPr>
            <w:rStyle w:val="Hyperlink"/>
          </w:rPr>
          <w:t>https://www.klimaschutzvertraege.info/thema/allgemeine_informationen_ksv</w:t>
        </w:r>
      </w:hyperlink>
      <w:r w:rsidR="001A0FED">
        <w:t xml:space="preserve"> - siehe auch: </w:t>
      </w:r>
      <w:hyperlink r:id="rId786" w:history="1">
        <w:r w:rsidR="001A0FED" w:rsidRPr="00151089">
          <w:rPr>
            <w:rStyle w:val="Hyperlink"/>
          </w:rPr>
          <w:t>https://www.klimaschutzvertraege.info/thema/informationen_fuer_unternehmen_konkret</w:t>
        </w:r>
      </w:hyperlink>
      <w:r w:rsidR="001A0FED">
        <w:t xml:space="preserve"> - Zugegriffen: 16.06.2025.</w:t>
      </w:r>
    </w:p>
  </w:footnote>
  <w:footnote w:id="1050">
    <w:p w14:paraId="0B4F08BA" w14:textId="2AC683E0" w:rsidR="001A0FED" w:rsidRDefault="001A0FED" w:rsidP="001A0FED">
      <w:pPr>
        <w:pStyle w:val="Funotentext"/>
      </w:pPr>
      <w:r>
        <w:rPr>
          <w:rStyle w:val="Funotenzeichen"/>
        </w:rPr>
        <w:footnoteRef/>
      </w:r>
      <w:r>
        <w:t xml:space="preserve"> Julia Löhr, Jakob Krembzow. Milliarden für eine grüne Produktion, FAZ, 13.03.2024. </w:t>
      </w:r>
    </w:p>
  </w:footnote>
  <w:footnote w:id="1051">
    <w:p w14:paraId="435ABC3E" w14:textId="18480C39" w:rsidR="00112190" w:rsidRDefault="00112190" w:rsidP="00112190">
      <w:pPr>
        <w:pStyle w:val="Funotentext"/>
      </w:pPr>
      <w:r>
        <w:rPr>
          <w:rStyle w:val="Funotenzeichen"/>
        </w:rPr>
        <w:footnoteRef/>
      </w:r>
      <w:r>
        <w:t xml:space="preserve"> </w:t>
      </w:r>
      <w:r w:rsidR="001A0FED">
        <w:t xml:space="preserve">Siehe für die Informationen in diesem Abschnitt: </w:t>
      </w:r>
      <w:r>
        <w:t xml:space="preserve">Julia Löhr, Jakob Krembzow. Milliarden für eine grüne Produktion, FAZ, 13.03.2024. </w:t>
      </w:r>
    </w:p>
  </w:footnote>
  <w:footnote w:id="1052">
    <w:p w14:paraId="3AAEC0B2" w14:textId="1814D1EC" w:rsidR="00B65313" w:rsidRDefault="00B65313">
      <w:pPr>
        <w:pStyle w:val="Funotentext"/>
      </w:pPr>
      <w:r>
        <w:rPr>
          <w:rStyle w:val="Funotenzeichen"/>
        </w:rPr>
        <w:footnoteRef/>
      </w:r>
      <w:r>
        <w:t xml:space="preserve"> Siehe die Webseite Klimaschutzverträge: </w:t>
      </w:r>
      <w:hyperlink r:id="rId787" w:history="1">
        <w:r w:rsidRPr="00AC26BA">
          <w:rPr>
            <w:rStyle w:val="Hyperlink"/>
          </w:rPr>
          <w:t>https://www.klimaschutzvertraege.info/</w:t>
        </w:r>
      </w:hyperlink>
      <w:r>
        <w:t xml:space="preserve"> - siehe auch die Infos zur Förderrichtlinie: </w:t>
      </w:r>
      <w:hyperlink r:id="rId788" w:history="1">
        <w:r w:rsidRPr="00366B8A">
          <w:rPr>
            <w:rStyle w:val="Hyperlink"/>
          </w:rPr>
          <w:t>https://www.klimaschutzvertraege.info/news/konsultation-foerderrichtlinie-zweite-gebotsrunde</w:t>
        </w:r>
      </w:hyperlink>
      <w:r>
        <w:t xml:space="preserve"> - Zugegriffen: 08.06.2025.  </w:t>
      </w:r>
    </w:p>
  </w:footnote>
  <w:footnote w:id="1053">
    <w:p w14:paraId="7FB7EDF0" w14:textId="1018FD4E" w:rsidR="00C52A78" w:rsidRDefault="00C52A78">
      <w:pPr>
        <w:pStyle w:val="Funotentext"/>
      </w:pPr>
      <w:r>
        <w:rPr>
          <w:rStyle w:val="Funotenzeichen"/>
        </w:rPr>
        <w:footnoteRef/>
      </w:r>
      <w:r>
        <w:t xml:space="preserve"> Siehe: </w:t>
      </w:r>
      <w:hyperlink r:id="rId789" w:history="1">
        <w:r w:rsidRPr="007A4366">
          <w:rPr>
            <w:rStyle w:val="Hyperlink"/>
          </w:rPr>
          <w:t>https://www.klimaschutzvertraege.info/news/notifizierung-bruessel-europaeische-kommission-zweites-gebotsverfahren-klimaschutzvertraege</w:t>
        </w:r>
      </w:hyperlink>
      <w:r>
        <w:t xml:space="preserve"> - Zugegriffen: 12.06.2025. </w:t>
      </w:r>
    </w:p>
  </w:footnote>
  <w:footnote w:id="1054">
    <w:p w14:paraId="207679A5" w14:textId="43B89304" w:rsidR="00C52A78" w:rsidRDefault="00C52A78">
      <w:pPr>
        <w:pStyle w:val="Funotentext"/>
      </w:pPr>
      <w:r>
        <w:rPr>
          <w:rStyle w:val="Funotenzeichen"/>
        </w:rPr>
        <w:footnoteRef/>
      </w:r>
      <w:r>
        <w:t xml:space="preserve"> Siehe: </w:t>
      </w:r>
      <w:hyperlink r:id="rId790" w:history="1">
        <w:r w:rsidRPr="007A4366">
          <w:rPr>
            <w:rStyle w:val="Hyperlink"/>
          </w:rPr>
          <w:t>https://www.klimaschutzvertraege.info/news/sprechstunde-zweites-vorbereitendes-verfahren</w:t>
        </w:r>
      </w:hyperlink>
      <w:r>
        <w:t xml:space="preserve"> - Zugegriffen: 12.06.2025. </w:t>
      </w:r>
    </w:p>
  </w:footnote>
  <w:footnote w:id="1055">
    <w:p w14:paraId="19C23B5D" w14:textId="1A114CC3" w:rsidR="0077376C" w:rsidRDefault="0077376C">
      <w:pPr>
        <w:pStyle w:val="Funotentext"/>
      </w:pPr>
      <w:r>
        <w:rPr>
          <w:rStyle w:val="Funotenzeichen"/>
        </w:rPr>
        <w:footnoteRef/>
      </w:r>
      <w:r>
        <w:t xml:space="preserve"> </w:t>
      </w:r>
      <w:r w:rsidR="00F26135">
        <w:t xml:space="preserve">Siehe: </w:t>
      </w:r>
      <w:hyperlink r:id="rId791" w:history="1">
        <w:r w:rsidR="00F26135" w:rsidRPr="00B65313">
          <w:rPr>
            <w:rStyle w:val="Hyperlink"/>
          </w:rPr>
          <w:t>https://www.klimaschutzvertraege.info/news/grosses_interesse_an_ksv</w:t>
        </w:r>
      </w:hyperlink>
      <w:r w:rsidR="00F26135" w:rsidRPr="00F26135">
        <w:t xml:space="preserve"> </w:t>
      </w:r>
      <w:r w:rsidR="00F26135">
        <w:t xml:space="preserve">– Zugegriffen: 19.07.2024. Siehe auch: </w:t>
      </w:r>
      <w:r>
        <w:t xml:space="preserve">Hohes Interesse an </w:t>
      </w:r>
      <w:proofErr w:type="spellStart"/>
      <w:r>
        <w:t>Kimaschutzprojekten</w:t>
      </w:r>
      <w:proofErr w:type="spellEnd"/>
      <w:r>
        <w:t xml:space="preserve">. FAZ, 15.07.2024. </w:t>
      </w:r>
    </w:p>
  </w:footnote>
  <w:footnote w:id="1056">
    <w:p w14:paraId="14588B9C" w14:textId="334A38BE" w:rsidR="006C36CD" w:rsidRDefault="006C36CD" w:rsidP="006C36CD">
      <w:pPr>
        <w:pStyle w:val="Funotentext"/>
      </w:pPr>
      <w:r>
        <w:rPr>
          <w:rStyle w:val="Funotenzeichen"/>
        </w:rPr>
        <w:footnoteRef/>
      </w:r>
      <w:r>
        <w:t xml:space="preserve"> BASF SE, DREWSEN SPEZIALPAPIERE GmbH &amp; Co. KG, H&amp;R Chemisch-Pharmazeutische Spezialitäten GmbH, Kimberley-Clark GmbH, Knauf </w:t>
      </w:r>
      <w:proofErr w:type="spellStart"/>
      <w:r>
        <w:t>Insulation</w:t>
      </w:r>
      <w:proofErr w:type="spellEnd"/>
      <w:r>
        <w:t xml:space="preserve"> GmbH, Nordenham Metall GmbH, Papierfabrik Adolf Jass GmbH &amp; Co. KG, Saint-Gobain Glass Deutschland GmbH, </w:t>
      </w:r>
      <w:r w:rsidRPr="006C36CD">
        <w:t>Saint-Gobain ISOVER G+H AG</w:t>
      </w:r>
      <w:r>
        <w:t xml:space="preserve">, Schmiedewerke Gröditz GmbH, Schumacher Packaging GmbH, Südzucker AG, tesa Werk Hamburg GmbH, Wienerberger GmbH, Ziegel- und Klinkerwerke </w:t>
      </w:r>
      <w:proofErr w:type="spellStart"/>
      <w:r>
        <w:t>Janinhoff</w:t>
      </w:r>
      <w:proofErr w:type="spellEnd"/>
      <w:r>
        <w:t xml:space="preserve"> GmbH &amp; Co. KG. Siehe: </w:t>
      </w:r>
      <w:hyperlink r:id="rId792" w:history="1">
        <w:r w:rsidRPr="00BB293A">
          <w:rPr>
            <w:rStyle w:val="Hyperlink"/>
          </w:rPr>
          <w:t>https://www.klimaschutzvertraege.info/news/habeck_ueberreicht_klimaschutzvertraege</w:t>
        </w:r>
      </w:hyperlink>
      <w:r>
        <w:t xml:space="preserve"> - Zugegriffen: 23.10.2024. </w:t>
      </w:r>
    </w:p>
  </w:footnote>
  <w:footnote w:id="1057">
    <w:p w14:paraId="6C721C1C" w14:textId="0DBE4CF4" w:rsidR="008337E1" w:rsidRDefault="008337E1">
      <w:pPr>
        <w:pStyle w:val="Funotentext"/>
      </w:pPr>
      <w:r>
        <w:rPr>
          <w:rStyle w:val="Funotenzeichen"/>
        </w:rPr>
        <w:footnoteRef/>
      </w:r>
      <w:r>
        <w:t xml:space="preserve"> Julia Löhr. Habecks gewagte Klima-Wette. FAZ, 16.10.2024. </w:t>
      </w:r>
    </w:p>
  </w:footnote>
  <w:footnote w:id="1058">
    <w:p w14:paraId="69C72A19" w14:textId="03079424" w:rsidR="00F24DF8" w:rsidRDefault="00F24DF8">
      <w:pPr>
        <w:pStyle w:val="Funotentext"/>
      </w:pPr>
      <w:r>
        <w:rPr>
          <w:rStyle w:val="Funotenzeichen"/>
        </w:rPr>
        <w:footnoteRef/>
      </w:r>
      <w:r>
        <w:t xml:space="preserve"> Siehe: </w:t>
      </w:r>
      <w:hyperlink r:id="rId793" w:history="1">
        <w:r w:rsidRPr="00BB293A">
          <w:rPr>
            <w:rStyle w:val="Hyperlink"/>
          </w:rPr>
          <w:t>https://www.die-bbh-gruppe.de/de/aktuelles/news/360-mio-euro-fuer-die-dekarbonisierung-industrieller-prozesse-die-bbh-gruppe-begleitet-glencore-nordenham-erfolgreich-bei-ihrem-foerderantrag-klimaschutzvertraege</w:t>
        </w:r>
      </w:hyperlink>
      <w:r>
        <w:t xml:space="preserve"> </w:t>
      </w:r>
      <w:r w:rsidR="005C61D5">
        <w:t>–</w:t>
      </w:r>
      <w:r>
        <w:t xml:space="preserve"> </w:t>
      </w:r>
      <w:r w:rsidR="005C61D5">
        <w:t xml:space="preserve">siehe weiterhin: </w:t>
      </w:r>
      <w:hyperlink r:id="rId794" w:history="1">
        <w:r w:rsidR="005C61D5" w:rsidRPr="00BB293A">
          <w:rPr>
            <w:rStyle w:val="Hyperlink"/>
          </w:rPr>
          <w:t>https://www.mw.niedersachsen.de/startseite/uber_uns/presse/presseinformationen/glencore-nordenham-erhalt-rund-360-millionen-euro-im-rahmen-des-bundesforderprogramms-klimaschutzvertrage-236450.html</w:t>
        </w:r>
      </w:hyperlink>
      <w:r w:rsidR="005C61D5">
        <w:t xml:space="preserve"> - </w:t>
      </w:r>
      <w:r>
        <w:t xml:space="preserve">Zugegriffen: 23.10.2024. </w:t>
      </w:r>
    </w:p>
  </w:footnote>
  <w:footnote w:id="1059">
    <w:p w14:paraId="30D17864" w14:textId="0376FB92" w:rsidR="008337E1" w:rsidRDefault="008337E1">
      <w:pPr>
        <w:pStyle w:val="Funotentext"/>
      </w:pPr>
      <w:r>
        <w:rPr>
          <w:rStyle w:val="Funotenzeichen"/>
        </w:rPr>
        <w:footnoteRef/>
      </w:r>
      <w:r>
        <w:t xml:space="preserve"> Siehe: </w:t>
      </w:r>
      <w:hyperlink r:id="rId795" w:history="1">
        <w:r w:rsidRPr="00BB293A">
          <w:rPr>
            <w:rStyle w:val="Hyperlink"/>
          </w:rPr>
          <w:t>https://www.kunststoffe.de/a/news/habeck-ueberreicht-basf-klimaschutzvertr-6205260</w:t>
        </w:r>
      </w:hyperlink>
      <w:r>
        <w:t xml:space="preserve"> - Zugegriffen: 23.10.2024. </w:t>
      </w:r>
    </w:p>
  </w:footnote>
  <w:footnote w:id="1060">
    <w:p w14:paraId="53F84CEF" w14:textId="1217068F" w:rsidR="00E9292A" w:rsidRDefault="00E9292A">
      <w:pPr>
        <w:pStyle w:val="Funotentext"/>
      </w:pPr>
      <w:r>
        <w:rPr>
          <w:rStyle w:val="Funotenzeichen"/>
        </w:rPr>
        <w:footnoteRef/>
      </w:r>
      <w:r>
        <w:t xml:space="preserve"> Siehe: </w:t>
      </w:r>
      <w:hyperlink r:id="rId796" w:history="1">
        <w:r w:rsidRPr="00BB293A">
          <w:rPr>
            <w:rStyle w:val="Hyperlink"/>
          </w:rPr>
          <w:t>https://www.energie-kreis-meissen.de/index.php?object=tx,3837.5.1&amp;ModID=7&amp;FID=3837.94.1</w:t>
        </w:r>
      </w:hyperlink>
      <w:r>
        <w:t xml:space="preserve"> – Zugegriffen: 23.10.2024. </w:t>
      </w:r>
    </w:p>
  </w:footnote>
  <w:footnote w:id="1061">
    <w:p w14:paraId="635725ED" w14:textId="5AA843F5" w:rsidR="00E9292A" w:rsidRDefault="00E9292A">
      <w:pPr>
        <w:pStyle w:val="Funotentext"/>
      </w:pPr>
      <w:r>
        <w:rPr>
          <w:rStyle w:val="Funotenzeichen"/>
        </w:rPr>
        <w:footnoteRef/>
      </w:r>
      <w:r>
        <w:t xml:space="preserve"> Siehe: </w:t>
      </w:r>
      <w:hyperlink r:id="rId797" w:history="1">
        <w:r w:rsidRPr="00BB293A">
          <w:rPr>
            <w:rStyle w:val="Hyperlink"/>
          </w:rPr>
          <w:t>https://www.gmh-gruppe.de/pressemitteilungen/schmiedewerke-groeditz-gmbh-weiht-hochmodernen-schmiedeofen-ein/</w:t>
        </w:r>
      </w:hyperlink>
      <w:r>
        <w:t xml:space="preserve"> - Zugegriffen: 23.10.2024. </w:t>
      </w:r>
    </w:p>
  </w:footnote>
  <w:footnote w:id="1062">
    <w:p w14:paraId="2C2BF9D5" w14:textId="2E9C5DC9" w:rsidR="007C70BA" w:rsidRDefault="007C70BA">
      <w:pPr>
        <w:pStyle w:val="Funotentext"/>
      </w:pPr>
      <w:r>
        <w:rPr>
          <w:rStyle w:val="Funotenzeichen"/>
        </w:rPr>
        <w:footnoteRef/>
      </w:r>
      <w:r>
        <w:t xml:space="preserve"> Siehe: </w:t>
      </w:r>
      <w:hyperlink r:id="rId798" w:history="1">
        <w:r w:rsidRPr="00BB293A">
          <w:rPr>
            <w:rStyle w:val="Hyperlink"/>
          </w:rPr>
          <w:t>https://weser-ems-wirtschaft.de/index.php/2024/10/17/statement-von-ihk-geschaeftsbereichsleiterin-anke-schweda-zum-klimaschutzvertrag-fuer-die-hr-chemisch-pharmazeutische-spezialitaeten-gmbh-aus-salzber/</w:t>
        </w:r>
      </w:hyperlink>
      <w:r>
        <w:t xml:space="preserve"> - Zugegriffen: 23.10.2024. </w:t>
      </w:r>
    </w:p>
  </w:footnote>
  <w:footnote w:id="1063">
    <w:p w14:paraId="605EE1D4" w14:textId="1881A9FE" w:rsidR="00E9292A" w:rsidRDefault="00E9292A">
      <w:pPr>
        <w:pStyle w:val="Funotentext"/>
      </w:pPr>
      <w:r>
        <w:rPr>
          <w:rStyle w:val="Funotenzeichen"/>
        </w:rPr>
        <w:footnoteRef/>
      </w:r>
      <w:r>
        <w:t xml:space="preserve"> Siehe: </w:t>
      </w:r>
      <w:hyperlink r:id="rId799" w:history="1">
        <w:r w:rsidRPr="00BB293A">
          <w:rPr>
            <w:rStyle w:val="Hyperlink"/>
          </w:rPr>
          <w:t>https://www.wn.de/muenster/ziegelwerk-janinhoff-wasserstoff-umstieg-foerderung-habeck-3169735?pid=true&amp;npg</w:t>
        </w:r>
      </w:hyperlink>
      <w:r>
        <w:t xml:space="preserve"> – Zugegriffen: 23.10.2024. </w:t>
      </w:r>
    </w:p>
  </w:footnote>
  <w:footnote w:id="1064">
    <w:p w14:paraId="3278F618" w14:textId="7848DC3B" w:rsidR="005C61D5" w:rsidRDefault="005C61D5">
      <w:pPr>
        <w:pStyle w:val="Funotentext"/>
      </w:pPr>
      <w:r>
        <w:rPr>
          <w:rStyle w:val="Funotenzeichen"/>
        </w:rPr>
        <w:footnoteRef/>
      </w:r>
      <w:r>
        <w:t xml:space="preserve"> Siehe: </w:t>
      </w:r>
      <w:hyperlink r:id="rId800" w:history="1">
        <w:r w:rsidRPr="00BB293A">
          <w:rPr>
            <w:rStyle w:val="Hyperlink"/>
          </w:rPr>
          <w:t>https://www.tagesschau.de/inland/innenpolitik/klimaschutz-industrie-habeck-100.html</w:t>
        </w:r>
      </w:hyperlink>
      <w:r>
        <w:t xml:space="preserve"> - siehe auch: </w:t>
      </w:r>
      <w:hyperlink r:id="rId801" w:history="1">
        <w:r w:rsidR="00751D3F" w:rsidRPr="00BB293A">
          <w:rPr>
            <w:rStyle w:val="Hyperlink"/>
          </w:rPr>
          <w:t>https://www.wienerberger.de/informationen/wand/klimaneutrale_ziegel.html</w:t>
        </w:r>
      </w:hyperlink>
      <w:r>
        <w:t xml:space="preserve"> - Zugegriffen: 23.10.2024. </w:t>
      </w:r>
    </w:p>
  </w:footnote>
  <w:footnote w:id="1065">
    <w:p w14:paraId="7389886D" w14:textId="512F9545" w:rsidR="00E33F67" w:rsidRDefault="00E33F67">
      <w:pPr>
        <w:pStyle w:val="Funotentext"/>
      </w:pPr>
      <w:r>
        <w:rPr>
          <w:rStyle w:val="Funotenzeichen"/>
        </w:rPr>
        <w:footnoteRef/>
      </w:r>
      <w:r>
        <w:t xml:space="preserve"> Siehe: </w:t>
      </w:r>
      <w:hyperlink r:id="rId802" w:history="1">
        <w:r w:rsidRPr="00BB293A">
          <w:rPr>
            <w:rStyle w:val="Hyperlink"/>
          </w:rPr>
          <w:t>https://www.architekturblatt.de/bundeswirtschaftsminister-robert-habeck-uebergibt-klimaschutzvertrag-an-isover-und-saint-gobain-glass/</w:t>
        </w:r>
      </w:hyperlink>
      <w:r>
        <w:t xml:space="preserve"> - Zugegriffen: 23.10.2024. </w:t>
      </w:r>
    </w:p>
  </w:footnote>
  <w:footnote w:id="1066">
    <w:p w14:paraId="71BF6E7F" w14:textId="64263C48" w:rsidR="00751D3F" w:rsidRDefault="00751D3F">
      <w:pPr>
        <w:pStyle w:val="Funotentext"/>
      </w:pPr>
      <w:r>
        <w:rPr>
          <w:rStyle w:val="Funotenzeichen"/>
        </w:rPr>
        <w:footnoteRef/>
      </w:r>
      <w:r>
        <w:t xml:space="preserve"> Siehe: </w:t>
      </w:r>
      <w:hyperlink r:id="rId803" w:history="1">
        <w:r w:rsidRPr="00BB293A">
          <w:rPr>
            <w:rStyle w:val="Hyperlink"/>
          </w:rPr>
          <w:t>https://www.flexotiefdruck.de/oekologie-nachhaltigkeit/schumacher-packaging-auf-dem-weg-zur-klimaneutralitaet/</w:t>
        </w:r>
      </w:hyperlink>
      <w:r>
        <w:t xml:space="preserve"> - Zugegriffen: 23.10.2024. </w:t>
      </w:r>
    </w:p>
  </w:footnote>
  <w:footnote w:id="1067">
    <w:p w14:paraId="42E269BC" w14:textId="5B50EC0C" w:rsidR="0053503A" w:rsidRDefault="0053503A">
      <w:pPr>
        <w:pStyle w:val="Funotentext"/>
      </w:pPr>
      <w:r>
        <w:rPr>
          <w:rStyle w:val="Funotenzeichen"/>
        </w:rPr>
        <w:footnoteRef/>
      </w:r>
      <w:r>
        <w:t xml:space="preserve"> Siehe: </w:t>
      </w:r>
      <w:hyperlink r:id="rId804" w:history="1">
        <w:r w:rsidRPr="00BB293A">
          <w:rPr>
            <w:rStyle w:val="Hyperlink"/>
          </w:rPr>
          <w:t>https://www.flexotiefdruck.de/menschen-maerkte/bundeswirtschaftsminister-robert-habeck-uebergibt-klimaschutzvertrag-an-schumacher-packaging/</w:t>
        </w:r>
      </w:hyperlink>
      <w:r>
        <w:t xml:space="preserve"> - Zugegriffen: 23.10.2024. </w:t>
      </w:r>
    </w:p>
  </w:footnote>
  <w:footnote w:id="1068">
    <w:p w14:paraId="2A940C93" w14:textId="0A9AA19C" w:rsidR="00075EDF" w:rsidRDefault="00075EDF">
      <w:pPr>
        <w:pStyle w:val="Funotentext"/>
      </w:pPr>
      <w:r>
        <w:rPr>
          <w:rStyle w:val="Funotenzeichen"/>
        </w:rPr>
        <w:footnoteRef/>
      </w:r>
      <w:r>
        <w:t xml:space="preserve"> Siehe: </w:t>
      </w:r>
      <w:hyperlink r:id="rId805" w:history="1">
        <w:r w:rsidRPr="00BB293A">
          <w:rPr>
            <w:rStyle w:val="Hyperlink"/>
          </w:rPr>
          <w:t>https://www.tesa.com/de-de/ueber-uns/press-insights/presse/nachhaltigere-produktion-tesa-setzt-auf-gruenen-wasserstoff-fuer-eine-klimaneutrale-zukunft.html</w:t>
        </w:r>
      </w:hyperlink>
      <w:r>
        <w:t xml:space="preserve"> - Zugegriffen: 23.10.2024. </w:t>
      </w:r>
    </w:p>
  </w:footnote>
  <w:footnote w:id="1069">
    <w:p w14:paraId="54FD5C47" w14:textId="3D660359" w:rsidR="009B68E5" w:rsidRDefault="009B68E5">
      <w:pPr>
        <w:pStyle w:val="Funotentext"/>
      </w:pPr>
      <w:r>
        <w:rPr>
          <w:rStyle w:val="Funotenzeichen"/>
        </w:rPr>
        <w:footnoteRef/>
      </w:r>
      <w:r>
        <w:t xml:space="preserve"> Siehe: </w:t>
      </w:r>
      <w:hyperlink r:id="rId806" w:history="1">
        <w:r w:rsidRPr="00FC3FEC">
          <w:rPr>
            <w:rStyle w:val="Hyperlink"/>
          </w:rPr>
          <w:t>https://www.bmwk.de/Redaktion/DE/Pressemitteilungen/2024/07/20240729-vorverfahren-fuer-zweite-gebotsrunde-fuer-klimaschutzvertraege.html</w:t>
        </w:r>
      </w:hyperlink>
      <w:r>
        <w:t xml:space="preserve"> - Zugegriffen: </w:t>
      </w:r>
      <w:r w:rsidR="00441138">
        <w:t xml:space="preserve">27.08.2024. </w:t>
      </w:r>
    </w:p>
  </w:footnote>
  <w:footnote w:id="1070">
    <w:p w14:paraId="04337B55" w14:textId="77777777" w:rsidR="00341DC6" w:rsidRDefault="00341DC6" w:rsidP="00341DC6">
      <w:pPr>
        <w:pStyle w:val="Funotentext"/>
      </w:pPr>
      <w:r>
        <w:rPr>
          <w:rStyle w:val="Funotenzeichen"/>
        </w:rPr>
        <w:footnoteRef/>
      </w:r>
      <w:r>
        <w:t xml:space="preserve"> Julia Löhr. Habecks gewagte Klima-Wette. FAZ, 16.10.2024. </w:t>
      </w:r>
    </w:p>
  </w:footnote>
  <w:footnote w:id="1071">
    <w:p w14:paraId="1316C716" w14:textId="77777777" w:rsidR="00341DC6" w:rsidRDefault="00341DC6" w:rsidP="00341DC6">
      <w:pPr>
        <w:pStyle w:val="Funotentext"/>
      </w:pPr>
      <w:r>
        <w:rPr>
          <w:rStyle w:val="Funotenzeichen"/>
        </w:rPr>
        <w:footnoteRef/>
      </w:r>
      <w:r>
        <w:t xml:space="preserve"> Julia Löhr. Habecks gewagte Klima-Wette. FAZ, 16.10.2024. </w:t>
      </w:r>
    </w:p>
  </w:footnote>
  <w:footnote w:id="1072">
    <w:p w14:paraId="3B992E06" w14:textId="77777777" w:rsidR="00341DC6" w:rsidRDefault="00341DC6" w:rsidP="00341DC6">
      <w:pPr>
        <w:pStyle w:val="Funotentext"/>
      </w:pPr>
      <w:r>
        <w:rPr>
          <w:rStyle w:val="Funotenzeichen"/>
        </w:rPr>
        <w:footnoteRef/>
      </w:r>
      <w:r>
        <w:t xml:space="preserve"> Julia Löhr. Habecks gewagte Klima-Wette. FAZ, 16.10.2024. </w:t>
      </w:r>
    </w:p>
  </w:footnote>
  <w:footnote w:id="1073">
    <w:p w14:paraId="2AF2B27B" w14:textId="44F08C8D" w:rsidR="00341DC6" w:rsidRDefault="00341DC6">
      <w:pPr>
        <w:pStyle w:val="Funotentext"/>
      </w:pPr>
      <w:r>
        <w:rPr>
          <w:rStyle w:val="Funotenzeichen"/>
        </w:rPr>
        <w:footnoteRef/>
      </w:r>
      <w:r>
        <w:t xml:space="preserve"> Julia Löhr. Teure Transformation. FAZ, 16.10.2024. </w:t>
      </w:r>
    </w:p>
  </w:footnote>
  <w:footnote w:id="1074">
    <w:p w14:paraId="61BD2C3B" w14:textId="77777777" w:rsidR="00832DA5" w:rsidRDefault="00832DA5" w:rsidP="00832DA5">
      <w:pPr>
        <w:pStyle w:val="Funotentext"/>
      </w:pPr>
      <w:r>
        <w:rPr>
          <w:rStyle w:val="Funotenzeichen"/>
        </w:rPr>
        <w:footnoteRef/>
      </w:r>
      <w:r>
        <w:t xml:space="preserve"> </w:t>
      </w:r>
      <w:bookmarkStart w:id="53" w:name="_Hlk200578252"/>
      <w:r>
        <w:t xml:space="preserve">Agora Industrie, </w:t>
      </w:r>
      <w:proofErr w:type="spellStart"/>
      <w:r>
        <w:t>FutureCamp</w:t>
      </w:r>
      <w:proofErr w:type="spellEnd"/>
      <w:r>
        <w:t xml:space="preserve">, Wuppertal Institut und </w:t>
      </w:r>
      <w:proofErr w:type="spellStart"/>
      <w:r>
        <w:t>Ecologic</w:t>
      </w:r>
      <w:proofErr w:type="spellEnd"/>
      <w:r>
        <w:t xml:space="preserve"> Institut (2021): Klimaschutzverträge für die Industrietransformation: Kurzfristige Schritte auf dem Pfad zur Klimaneutralität der deutschen</w:t>
      </w:r>
    </w:p>
    <w:p w14:paraId="3156C314" w14:textId="77777777" w:rsidR="00832DA5" w:rsidRDefault="00832DA5" w:rsidP="00832DA5">
      <w:pPr>
        <w:pStyle w:val="Funotentext"/>
      </w:pPr>
      <w:r>
        <w:t xml:space="preserve">Grundstoffindustrie, Agora Industrie, Januar 2022, siehe: </w:t>
      </w:r>
      <w:hyperlink r:id="rId807" w:history="1">
        <w:r w:rsidRPr="009B1ED1">
          <w:rPr>
            <w:rStyle w:val="Hyperlink"/>
          </w:rPr>
          <w:t>https://www.agora-industrie.de/fileadmin/Projekte/2021/2021_10_DE_KIT/A-EW_249_Klimaschutzvertraege-Industrietransformation-Studie_WEB.pdf</w:t>
        </w:r>
      </w:hyperlink>
      <w:r>
        <w:t xml:space="preserve"> – Zugegriffen: 11.06.2025. </w:t>
      </w:r>
    </w:p>
    <w:bookmarkEnd w:id="53"/>
  </w:footnote>
  <w:footnote w:id="1075">
    <w:p w14:paraId="6886A277" w14:textId="77777777" w:rsidR="00832DA5" w:rsidRDefault="00832DA5" w:rsidP="00832DA5">
      <w:pPr>
        <w:pStyle w:val="Funotentext"/>
      </w:pPr>
      <w:r>
        <w:rPr>
          <w:rStyle w:val="Funotenzeichen"/>
        </w:rPr>
        <w:footnoteRef/>
      </w:r>
      <w:r>
        <w:t xml:space="preserve"> S. 12, siehe: </w:t>
      </w:r>
      <w:hyperlink r:id="rId808" w:history="1">
        <w:r w:rsidRPr="009B1ED1">
          <w:rPr>
            <w:rStyle w:val="Hyperlink"/>
          </w:rPr>
          <w:t>https://www.agora-industrie.de/fileadmin/Projekte/2021/2021_10_DE_KIT/A-EW_249_Klimaschutzvertraege-Industrietransformation-Studie_WEB.pdf</w:t>
        </w:r>
      </w:hyperlink>
      <w:r>
        <w:t xml:space="preserve"> - Zugegriffen: 11.06.2025. </w:t>
      </w:r>
    </w:p>
  </w:footnote>
  <w:footnote w:id="1076">
    <w:p w14:paraId="1013A505" w14:textId="77777777" w:rsidR="00832DA5" w:rsidRDefault="00832DA5" w:rsidP="00832DA5">
      <w:pPr>
        <w:pStyle w:val="Funotentext"/>
      </w:pPr>
      <w:r>
        <w:rPr>
          <w:rStyle w:val="Funotenzeichen"/>
        </w:rPr>
        <w:footnoteRef/>
      </w:r>
      <w:r>
        <w:t xml:space="preserve"> S. 12, siehe: </w:t>
      </w:r>
      <w:hyperlink r:id="rId809" w:history="1">
        <w:r w:rsidRPr="009B1ED1">
          <w:rPr>
            <w:rStyle w:val="Hyperlink"/>
          </w:rPr>
          <w:t>https://www.agora-industrie.de/fileadmin/Projekte/2021/2021_10_DE_KIT/A-EW_249_Klimaschutzvertraege-Industrietransformation-Studie_WEB.pdf</w:t>
        </w:r>
      </w:hyperlink>
      <w:r>
        <w:t xml:space="preserve"> – Zugegriffen: 11.06.2025. </w:t>
      </w:r>
    </w:p>
  </w:footnote>
  <w:footnote w:id="1077">
    <w:p w14:paraId="1358FA76" w14:textId="77777777" w:rsidR="00465B88" w:rsidRDefault="00465B88" w:rsidP="00465B88">
      <w:pPr>
        <w:pStyle w:val="Funotentext"/>
      </w:pPr>
      <w:r>
        <w:rPr>
          <w:rStyle w:val="Funotenzeichen"/>
        </w:rPr>
        <w:footnoteRef/>
      </w:r>
      <w:r>
        <w:t xml:space="preserve"> S. 13, siehe: </w:t>
      </w:r>
      <w:hyperlink r:id="rId810" w:history="1">
        <w:r w:rsidRPr="009B1ED1">
          <w:rPr>
            <w:rStyle w:val="Hyperlink"/>
          </w:rPr>
          <w:t>https://www.agora-industrie.de/fileadmin/Projekte/2021/2021_10_DE_KIT/A-EW_249_Klimaschutzvertraege-Industrietransformation-Studie_WEB.pdf</w:t>
        </w:r>
      </w:hyperlink>
      <w:r>
        <w:t xml:space="preserve"> – Zugegriffen: 11.06.2025. </w:t>
      </w:r>
    </w:p>
  </w:footnote>
  <w:footnote w:id="1078">
    <w:p w14:paraId="5CAE78F9" w14:textId="77777777" w:rsidR="00832DA5" w:rsidRDefault="00832DA5" w:rsidP="00832DA5">
      <w:pPr>
        <w:pStyle w:val="Funotentext"/>
      </w:pPr>
      <w:r>
        <w:rPr>
          <w:rStyle w:val="Funotenzeichen"/>
        </w:rPr>
        <w:footnoteRef/>
      </w:r>
      <w:r>
        <w:t xml:space="preserve"> S. 13, siehe: </w:t>
      </w:r>
      <w:hyperlink r:id="rId811" w:history="1">
        <w:r w:rsidRPr="009B1ED1">
          <w:rPr>
            <w:rStyle w:val="Hyperlink"/>
          </w:rPr>
          <w:t>https://www.agora-industrie.de/fileadmin/Projekte/2021/2021_10_DE_KIT/A-EW_249_Klimaschutzvertraege-Industrietransformation-Studie_WEB.pdf</w:t>
        </w:r>
      </w:hyperlink>
      <w:r>
        <w:t xml:space="preserve"> – Zugegriffen: 11.06.2025. </w:t>
      </w:r>
    </w:p>
  </w:footnote>
  <w:footnote w:id="1079">
    <w:p w14:paraId="09ABD496" w14:textId="77777777" w:rsidR="00832DA5" w:rsidRDefault="00832DA5" w:rsidP="00832DA5">
      <w:pPr>
        <w:pStyle w:val="Funotentext"/>
      </w:pPr>
      <w:r>
        <w:rPr>
          <w:rStyle w:val="Funotenzeichen"/>
        </w:rPr>
        <w:footnoteRef/>
      </w:r>
      <w:r>
        <w:t xml:space="preserve"> S. 12, siehe: </w:t>
      </w:r>
      <w:hyperlink r:id="rId812" w:history="1">
        <w:r w:rsidRPr="009B1ED1">
          <w:rPr>
            <w:rStyle w:val="Hyperlink"/>
          </w:rPr>
          <w:t>https://www.agora-industrie.de/fileadmin/Projekte/2021/2021_10_DE_KIT/A-EW_249_Klimaschutzvertraege-Industrietransformation-Studie_WEB.pdf</w:t>
        </w:r>
      </w:hyperlink>
      <w:r>
        <w:t xml:space="preserve"> – Zugegriffen: 11.06.2025. </w:t>
      </w:r>
    </w:p>
  </w:footnote>
  <w:footnote w:id="1080">
    <w:p w14:paraId="20074108" w14:textId="77777777" w:rsidR="00832DA5" w:rsidRDefault="00832DA5" w:rsidP="00832DA5">
      <w:pPr>
        <w:pStyle w:val="Funotentext"/>
      </w:pPr>
      <w:r>
        <w:rPr>
          <w:rStyle w:val="Funotenzeichen"/>
        </w:rPr>
        <w:footnoteRef/>
      </w:r>
      <w:r>
        <w:t xml:space="preserve"> S. 12, siehe: </w:t>
      </w:r>
      <w:hyperlink r:id="rId813" w:history="1">
        <w:r w:rsidRPr="009B1ED1">
          <w:rPr>
            <w:rStyle w:val="Hyperlink"/>
          </w:rPr>
          <w:t>https://www.agora-industrie.de/fileadmin/Projekte/2021/2021_10_DE_KIT/A-EW_249_Klimaschutzvertraege-Industrietransformation-Studie_WEB.pdf</w:t>
        </w:r>
      </w:hyperlink>
      <w:r>
        <w:t xml:space="preserve"> – Zugegriffen: 11.06.2025. </w:t>
      </w:r>
    </w:p>
  </w:footnote>
  <w:footnote w:id="1081">
    <w:p w14:paraId="51568EC5" w14:textId="77777777" w:rsidR="00832DA5" w:rsidRDefault="00832DA5" w:rsidP="00832DA5">
      <w:pPr>
        <w:pStyle w:val="Funotentext"/>
      </w:pPr>
      <w:r>
        <w:rPr>
          <w:rStyle w:val="Funotenzeichen"/>
        </w:rPr>
        <w:footnoteRef/>
      </w:r>
      <w:r>
        <w:t xml:space="preserve"> S. 13, siehe: </w:t>
      </w:r>
      <w:hyperlink r:id="rId814" w:history="1">
        <w:r w:rsidRPr="009B1ED1">
          <w:rPr>
            <w:rStyle w:val="Hyperlink"/>
          </w:rPr>
          <w:t>https://www.agora-industrie.de/fileadmin/Projekte/2021/2021_10_DE_KIT/A-EW_249_Klimaschutzvertraege-Industrietransformation-Studie_WEB.pdf</w:t>
        </w:r>
      </w:hyperlink>
      <w:r>
        <w:t xml:space="preserve"> – Zugegriffen: 11.06.2025. </w:t>
      </w:r>
    </w:p>
  </w:footnote>
  <w:footnote w:id="1082">
    <w:p w14:paraId="00B0049F" w14:textId="77777777" w:rsidR="00832DA5" w:rsidRDefault="00832DA5" w:rsidP="00832DA5">
      <w:pPr>
        <w:pStyle w:val="Funotentext"/>
      </w:pPr>
      <w:r>
        <w:rPr>
          <w:rStyle w:val="Funotenzeichen"/>
        </w:rPr>
        <w:footnoteRef/>
      </w:r>
      <w:r>
        <w:t xml:space="preserve"> S. 13, siehe: </w:t>
      </w:r>
      <w:hyperlink r:id="rId815" w:history="1">
        <w:r w:rsidRPr="009B1ED1">
          <w:rPr>
            <w:rStyle w:val="Hyperlink"/>
          </w:rPr>
          <w:t>https://www.agora-industrie.de/fileadmin/Projekte/2021/2021_10_DE_KIT/A-EW_249_Klimaschutzvertraege-Industrietransformation-Studie_WEB.pdf</w:t>
        </w:r>
      </w:hyperlink>
      <w:r>
        <w:t xml:space="preserve"> – Zugegriffen: 11.06.2025. </w:t>
      </w:r>
    </w:p>
  </w:footnote>
  <w:footnote w:id="1083">
    <w:p w14:paraId="7BADEE32" w14:textId="77777777" w:rsidR="00832DA5" w:rsidRDefault="00832DA5" w:rsidP="00832DA5">
      <w:pPr>
        <w:pStyle w:val="Funotentext"/>
      </w:pPr>
      <w:r>
        <w:rPr>
          <w:rStyle w:val="Funotenzeichen"/>
        </w:rPr>
        <w:footnoteRef/>
      </w:r>
      <w:r>
        <w:t xml:space="preserve"> S. 13, siehe: </w:t>
      </w:r>
      <w:hyperlink r:id="rId816" w:history="1">
        <w:r w:rsidRPr="009B1ED1">
          <w:rPr>
            <w:rStyle w:val="Hyperlink"/>
          </w:rPr>
          <w:t>https://www.agora-industrie.de/fileadmin/Projekte/2021/2021_10_DE_KIT/A-EW_249_Klimaschutzvertraege-Industrietransformation-Studie_WEB.pdf</w:t>
        </w:r>
      </w:hyperlink>
      <w:r>
        <w:t xml:space="preserve"> – Zugegriffen: 11.06.2025. </w:t>
      </w:r>
    </w:p>
  </w:footnote>
  <w:footnote w:id="1084">
    <w:p w14:paraId="127AD31C" w14:textId="3AAE9918" w:rsidR="00797DCA" w:rsidRDefault="00797DCA">
      <w:pPr>
        <w:pStyle w:val="Funotentext"/>
      </w:pPr>
      <w:r>
        <w:rPr>
          <w:rStyle w:val="Funotenzeichen"/>
        </w:rPr>
        <w:footnoteRef/>
      </w:r>
      <w:r>
        <w:t xml:space="preserve"> Siehe: </w:t>
      </w:r>
      <w:hyperlink r:id="rId817" w:history="1">
        <w:r w:rsidRPr="007A4366">
          <w:rPr>
            <w:rStyle w:val="Hyperlink"/>
          </w:rPr>
          <w:t>https://www.agora-industrie.de/daten-tools/transformationskostenrechner-stahl</w:t>
        </w:r>
      </w:hyperlink>
      <w:r>
        <w:t xml:space="preserve"> - Zugegriffen: 12.06.2025. </w:t>
      </w:r>
    </w:p>
  </w:footnote>
  <w:footnote w:id="1085">
    <w:p w14:paraId="0AF46DF8" w14:textId="77777777" w:rsidR="00112190" w:rsidRDefault="00112190" w:rsidP="00112190">
      <w:pPr>
        <w:pStyle w:val="Funotentext"/>
      </w:pPr>
      <w:r>
        <w:rPr>
          <w:rStyle w:val="Funotenzeichen"/>
        </w:rPr>
        <w:footnoteRef/>
      </w:r>
      <w:r>
        <w:t xml:space="preserve"> Siehe die Webseite von Thyssenkrupp: </w:t>
      </w:r>
      <w:hyperlink r:id="rId818" w:history="1">
        <w:r w:rsidRPr="00DB7530">
          <w:rPr>
            <w:rStyle w:val="Hyperlink"/>
          </w:rPr>
          <w:t>https://www.thyssenkrupp.com/de/wasserstoff</w:t>
        </w:r>
      </w:hyperlink>
      <w:r>
        <w:t xml:space="preserve"> - Zugegriffen: 30.11.2023. </w:t>
      </w:r>
    </w:p>
  </w:footnote>
  <w:footnote w:id="1086">
    <w:p w14:paraId="5E2B7598" w14:textId="77777777" w:rsidR="00112190" w:rsidRPr="00533DE1" w:rsidRDefault="00112190" w:rsidP="00112190">
      <w:pPr>
        <w:pStyle w:val="Funotentext"/>
      </w:pPr>
      <w:r>
        <w:rPr>
          <w:rStyle w:val="Funotenzeichen"/>
        </w:rPr>
        <w:footnoteRef/>
      </w:r>
      <w:r w:rsidRPr="00533DE1">
        <w:t xml:space="preserve"> Quelle: </w:t>
      </w:r>
      <w:hyperlink r:id="rId819" w:history="1">
        <w:r w:rsidRPr="00533DE1">
          <w:rPr>
            <w:rStyle w:val="Hyperlink"/>
          </w:rPr>
          <w:t>https://www1.wdr.de/nachrichten/ruhrgebiet/wasserstoff-statt-koks-und-kohle-100.html</w:t>
        </w:r>
      </w:hyperlink>
      <w:r w:rsidRPr="00533DE1">
        <w:t xml:space="preserve"> - Zu</w:t>
      </w:r>
      <w:r>
        <w:t xml:space="preserve">gegriffen: 16.10.2023. </w:t>
      </w:r>
    </w:p>
  </w:footnote>
  <w:footnote w:id="1087">
    <w:p w14:paraId="444B3264" w14:textId="77777777" w:rsidR="00112190" w:rsidRPr="00533DE1" w:rsidRDefault="00112190" w:rsidP="00112190">
      <w:pPr>
        <w:pStyle w:val="Funotentext"/>
      </w:pPr>
      <w:r>
        <w:rPr>
          <w:rStyle w:val="Funotenzeichen"/>
        </w:rPr>
        <w:footnoteRef/>
      </w:r>
      <w:r w:rsidRPr="00533DE1">
        <w:t xml:space="preserve"> Quelle: </w:t>
      </w:r>
      <w:hyperlink r:id="rId820" w:history="1">
        <w:r w:rsidRPr="00533DE1">
          <w:rPr>
            <w:rStyle w:val="Hyperlink"/>
          </w:rPr>
          <w:t>https://www1.wdr.de/nachrichten/ruhrgebiet/wasserstoff-statt-koks-und-kohle-100.html</w:t>
        </w:r>
      </w:hyperlink>
      <w:r w:rsidRPr="00533DE1">
        <w:t xml:space="preserve"> - Zug</w:t>
      </w:r>
      <w:r>
        <w:t xml:space="preserve">egriffen: 16.10.2023. </w:t>
      </w:r>
    </w:p>
  </w:footnote>
  <w:footnote w:id="1088">
    <w:p w14:paraId="13D90EEE" w14:textId="77777777" w:rsidR="00112190" w:rsidRDefault="00112190" w:rsidP="00112190">
      <w:pPr>
        <w:pStyle w:val="Funotentext"/>
      </w:pPr>
      <w:r>
        <w:rPr>
          <w:rStyle w:val="Funotenzeichen"/>
        </w:rPr>
        <w:footnoteRef/>
      </w:r>
      <w:r>
        <w:t xml:space="preserve"> Siehe: Thyssenkrupp Pressemitteilung, 26.07.2023: </w:t>
      </w:r>
      <w:hyperlink r:id="rId821" w:history="1">
        <w:r w:rsidRPr="00DB7530">
          <w:rPr>
            <w:rStyle w:val="Hyperlink"/>
          </w:rPr>
          <w:t>https://www.thyssenkrupp.com/de/newsroom/pressemeldungen/pressedetailseite/bundesminister-fur-wirtschaft-und-klimaschutz-robert-habeck-besucht-thyssenkrupp:-thyssenkrupp-steel-erhalt-forderung-in-einer-gesamthohe-von-rund-zwei-milliarden-euro-durch-bund-und-land-229073</w:t>
        </w:r>
      </w:hyperlink>
      <w:r>
        <w:t xml:space="preserve"> – Zugegriffen: 30.11.2023. </w:t>
      </w:r>
    </w:p>
  </w:footnote>
  <w:footnote w:id="1089">
    <w:p w14:paraId="4AF60A50" w14:textId="0AB83DCD" w:rsidR="00CA21F9" w:rsidRDefault="00CA21F9" w:rsidP="00CA21F9">
      <w:pPr>
        <w:pStyle w:val="Funotentext"/>
      </w:pPr>
      <w:r>
        <w:rPr>
          <w:rStyle w:val="Funotenzeichen"/>
        </w:rPr>
        <w:footnoteRef/>
      </w:r>
      <w:r>
        <w:t xml:space="preserve"> Jonas Jansen. Streit um die Stahl-Zukunft für Thyssenkrupp spitzt sich zu. FAZ, 31.05.2024. </w:t>
      </w:r>
    </w:p>
  </w:footnote>
  <w:footnote w:id="1090">
    <w:p w14:paraId="571F7103" w14:textId="4ACF46BD" w:rsidR="00CA21F9" w:rsidRDefault="00CA21F9">
      <w:pPr>
        <w:pStyle w:val="Funotentext"/>
      </w:pPr>
      <w:r>
        <w:rPr>
          <w:rStyle w:val="Funotenzeichen"/>
        </w:rPr>
        <w:footnoteRef/>
      </w:r>
      <w:r>
        <w:t xml:space="preserve"> Bernd Freytag, Julia Löhr, Susanne Preuß. Thyssen-Stahl vor harten Einschnitten. FAZ, 13.04.2024. </w:t>
      </w:r>
    </w:p>
  </w:footnote>
  <w:footnote w:id="1091">
    <w:p w14:paraId="162C787D" w14:textId="1034D387" w:rsidR="00F0268A" w:rsidRDefault="00F0268A">
      <w:pPr>
        <w:pStyle w:val="Funotentext"/>
      </w:pPr>
      <w:r>
        <w:rPr>
          <w:rStyle w:val="Funotenzeichen"/>
        </w:rPr>
        <w:footnoteRef/>
      </w:r>
      <w:r>
        <w:t xml:space="preserve"> Nadine Bös. Thyssenkrupp will Konzern zerschlagen. FAZ, 27.05.2025. </w:t>
      </w:r>
    </w:p>
  </w:footnote>
  <w:footnote w:id="1092">
    <w:p w14:paraId="44281567" w14:textId="77777777" w:rsidR="00CB535E" w:rsidRDefault="00CB535E" w:rsidP="00CB535E">
      <w:pPr>
        <w:pStyle w:val="Funotentext"/>
      </w:pPr>
      <w:r>
        <w:rPr>
          <w:rStyle w:val="Funotenzeichen"/>
        </w:rPr>
        <w:footnoteRef/>
      </w:r>
      <w:r>
        <w:t xml:space="preserve"> Bernd Freytag, Julia Löhr, Susanne Preuß. Thyssen-Stahl vor harten Einschnitten. FAZ, 13.04.2024. </w:t>
      </w:r>
    </w:p>
  </w:footnote>
  <w:footnote w:id="1093">
    <w:p w14:paraId="30F5F526" w14:textId="77777777" w:rsidR="00CA21F9" w:rsidRDefault="00CA21F9" w:rsidP="00CA21F9">
      <w:pPr>
        <w:pStyle w:val="Funotentext"/>
      </w:pPr>
      <w:r>
        <w:rPr>
          <w:rStyle w:val="Funotenzeichen"/>
        </w:rPr>
        <w:footnoteRef/>
      </w:r>
      <w:r>
        <w:t xml:space="preserve"> Jonas Jansen. Streit um die Stahl-Zukunft für Thyssenkrupp spitzt sich zu. FAZ, 31.05.2024. </w:t>
      </w:r>
    </w:p>
  </w:footnote>
  <w:footnote w:id="1094">
    <w:p w14:paraId="28A0E4A6" w14:textId="77777777" w:rsidR="00633B29" w:rsidRDefault="00633B29" w:rsidP="00633B29">
      <w:pPr>
        <w:pStyle w:val="Funotentext"/>
      </w:pPr>
      <w:r>
        <w:rPr>
          <w:rStyle w:val="Funotenzeichen"/>
        </w:rPr>
        <w:footnoteRef/>
      </w:r>
      <w:r>
        <w:t xml:space="preserve"> </w:t>
      </w:r>
      <w:r w:rsidRPr="00566A7C">
        <w:t xml:space="preserve">Sprecher et al. 2019. Siehe: </w:t>
      </w:r>
      <w:hyperlink r:id="rId822" w:history="1">
        <w:r w:rsidRPr="00566A7C">
          <w:rPr>
            <w:rStyle w:val="Hyperlink"/>
          </w:rPr>
          <w:t>https://www.umweltbundesamt.de/sites/default/files/medien/1410/publikationen/2019-01-21_texte_07-2019_abwaermenutzungspotenziale-huettenwerke.pdf</w:t>
        </w:r>
      </w:hyperlink>
      <w:r w:rsidRPr="00566A7C">
        <w:t xml:space="preserve"> - Zugegriffen: 20.10.2024.</w:t>
      </w:r>
    </w:p>
  </w:footnote>
  <w:footnote w:id="1095">
    <w:p w14:paraId="7399EA18" w14:textId="77777777" w:rsidR="00112190" w:rsidRDefault="00112190" w:rsidP="00112190">
      <w:pPr>
        <w:pStyle w:val="Funotentext"/>
      </w:pPr>
      <w:r>
        <w:rPr>
          <w:rStyle w:val="Funotenzeichen"/>
        </w:rPr>
        <w:footnoteRef/>
      </w:r>
      <w:r>
        <w:t xml:space="preserve"> Ist Stahlherstellung in Deutschland noch erwünscht. FAZ, 16.05.2024.</w:t>
      </w:r>
    </w:p>
  </w:footnote>
  <w:footnote w:id="1096">
    <w:p w14:paraId="72B68C62" w14:textId="77777777" w:rsidR="00112190" w:rsidRDefault="00112190" w:rsidP="00112190">
      <w:pPr>
        <w:pStyle w:val="Funotentext"/>
      </w:pPr>
      <w:r>
        <w:rPr>
          <w:rStyle w:val="Funotenzeichen"/>
        </w:rPr>
        <w:footnoteRef/>
      </w:r>
      <w:r>
        <w:t xml:space="preserve"> Ist Stahlherstellung in Deutschland noch erwünscht. FAZ, 16.05.2024.</w:t>
      </w:r>
    </w:p>
  </w:footnote>
  <w:footnote w:id="1097">
    <w:p w14:paraId="60347A92" w14:textId="7A77E41D" w:rsidR="00112190" w:rsidRDefault="00112190" w:rsidP="00112190">
      <w:pPr>
        <w:pStyle w:val="Funotentext"/>
      </w:pPr>
      <w:r>
        <w:rPr>
          <w:rStyle w:val="Funotenzeichen"/>
        </w:rPr>
        <w:footnoteRef/>
      </w:r>
      <w:r>
        <w:t xml:space="preserve"> Siehe: </w:t>
      </w:r>
      <w:hyperlink r:id="rId823" w:history="1">
        <w:r w:rsidRPr="009975E8">
          <w:rPr>
            <w:rStyle w:val="Hyperlink"/>
          </w:rPr>
          <w:t>https://www.dehst.de/DE/Strompreiskompensation/SPK_verstehen/spk-verstehen_node.html</w:t>
        </w:r>
      </w:hyperlink>
      <w:r>
        <w:t>, siehe dort</w:t>
      </w:r>
      <w:r w:rsidR="004A3841">
        <w:t xml:space="preserve">, S. 3, ESF Elbe-Stahlwerke </w:t>
      </w:r>
      <w:proofErr w:type="spellStart"/>
      <w:r w:rsidR="004A3841">
        <w:t>Feralpi</w:t>
      </w:r>
      <w:proofErr w:type="spellEnd"/>
      <w:r w:rsidR="004A3841">
        <w:t xml:space="preserve"> GmbH</w:t>
      </w:r>
      <w:r>
        <w:t xml:space="preserve">: Transparenzbericht über Beihilfen für indirekte CO2-Kosten für das Jahr 2022, hier der Link: </w:t>
      </w:r>
      <w:hyperlink r:id="rId824" w:history="1">
        <w:r w:rsidRPr="009975E8">
          <w:rPr>
            <w:rStyle w:val="Hyperlink"/>
          </w:rPr>
          <w:t>https://www.dehst.de/SharedDocs/downloads/DE/spk/spk-transparenzbericht-2021.pdf?__blob=publicationFile&amp;v=3</w:t>
        </w:r>
      </w:hyperlink>
      <w:r>
        <w:t xml:space="preserve"> – Zugegriffen: 22.05.2024.</w:t>
      </w:r>
    </w:p>
  </w:footnote>
  <w:footnote w:id="1098">
    <w:p w14:paraId="7E0CC7BC" w14:textId="32793E70" w:rsidR="00D07503" w:rsidRDefault="00D07503">
      <w:pPr>
        <w:pStyle w:val="Funotentext"/>
      </w:pPr>
      <w:r>
        <w:rPr>
          <w:rStyle w:val="Funotenzeichen"/>
        </w:rPr>
        <w:footnoteRef/>
      </w:r>
      <w:r>
        <w:t xml:space="preserve"> Anna Sophie Kühne. Die Frau für den grünen Stahl. Frankfurter Allgemeine Sonntagszeitung, 09.06.2024.</w:t>
      </w:r>
    </w:p>
  </w:footnote>
  <w:footnote w:id="1099">
    <w:p w14:paraId="61B820C0" w14:textId="77777777" w:rsidR="00F90E9D" w:rsidRDefault="00F90E9D" w:rsidP="00F90E9D">
      <w:pPr>
        <w:pStyle w:val="Funotentext"/>
      </w:pPr>
      <w:r>
        <w:rPr>
          <w:rStyle w:val="Funotenzeichen"/>
        </w:rPr>
        <w:footnoteRef/>
      </w:r>
      <w:r>
        <w:t xml:space="preserve"> S. 4, siehe: </w:t>
      </w:r>
      <w:hyperlink r:id="rId825" w:history="1">
        <w:r w:rsidRPr="00EC1018">
          <w:rPr>
            <w:rStyle w:val="Hyperlink"/>
          </w:rPr>
          <w:t>https://www.dehst.de/SharedDocs/downloads/DE/spk/spk-transparenzbericht-2021.pdf?__blob=publicationFile&amp;v=3</w:t>
        </w:r>
      </w:hyperlink>
      <w:r>
        <w:t xml:space="preserve"> – Zugegriffen: 11.06.2024. </w:t>
      </w:r>
    </w:p>
  </w:footnote>
  <w:footnote w:id="1100">
    <w:p w14:paraId="416379CD" w14:textId="68F9D227" w:rsidR="00A85E25" w:rsidRDefault="00A85E25">
      <w:pPr>
        <w:pStyle w:val="Funotentext"/>
      </w:pPr>
      <w:r>
        <w:rPr>
          <w:rStyle w:val="Funotenzeichen"/>
        </w:rPr>
        <w:footnoteRef/>
      </w:r>
      <w:r>
        <w:t xml:space="preserve"> Siehe die Webseite der Gießerei Lößnitz: </w:t>
      </w:r>
      <w:hyperlink r:id="rId826" w:history="1">
        <w:r w:rsidRPr="00730B8D">
          <w:rPr>
            <w:rStyle w:val="Hyperlink"/>
          </w:rPr>
          <w:t>https://www.giesserei-loessnitz.de/</w:t>
        </w:r>
      </w:hyperlink>
      <w:r>
        <w:t xml:space="preserve"> - Zugegriffen: 24.06.2024. </w:t>
      </w:r>
    </w:p>
  </w:footnote>
  <w:footnote w:id="1101">
    <w:p w14:paraId="607EF31C" w14:textId="6BC59839" w:rsidR="00A85E25" w:rsidRDefault="00A85E25">
      <w:pPr>
        <w:pStyle w:val="Funotentext"/>
      </w:pPr>
      <w:r>
        <w:rPr>
          <w:rStyle w:val="Funotenzeichen"/>
        </w:rPr>
        <w:footnoteRef/>
      </w:r>
      <w:r>
        <w:t xml:space="preserve"> Stefan Paravicini. Eine Gießerei für Dummies gibt es nicht. FAZ, 17.06.2024. </w:t>
      </w:r>
    </w:p>
  </w:footnote>
  <w:footnote w:id="1102">
    <w:p w14:paraId="584F0D54" w14:textId="60CD11F3" w:rsidR="00112190" w:rsidRDefault="00112190" w:rsidP="00112190">
      <w:pPr>
        <w:pStyle w:val="Funotentext"/>
      </w:pPr>
      <w:r>
        <w:rPr>
          <w:rStyle w:val="Funotenzeichen"/>
        </w:rPr>
        <w:footnoteRef/>
      </w:r>
      <w:r>
        <w:t xml:space="preserve"> Webseite des Stabilitätsrats: </w:t>
      </w:r>
      <w:hyperlink r:id="rId827" w:history="1">
        <w:r w:rsidRPr="004C1EA9">
          <w:rPr>
            <w:rStyle w:val="Hyperlink"/>
          </w:rPr>
          <w:t>https://www.stabilitaetsrat.de/</w:t>
        </w:r>
      </w:hyperlink>
    </w:p>
  </w:footnote>
  <w:footnote w:id="1103">
    <w:p w14:paraId="6BBF24A2" w14:textId="77777777" w:rsidR="00112190" w:rsidRDefault="00112190" w:rsidP="00112190">
      <w:pPr>
        <w:pStyle w:val="Funotentext"/>
      </w:pPr>
      <w:r>
        <w:rPr>
          <w:rStyle w:val="Funotenzeichen"/>
        </w:rPr>
        <w:footnoteRef/>
      </w:r>
      <w:r>
        <w:t xml:space="preserve"> Große Lücken in Lindners Finanzplanung. FAZ, 07.05.2024. Wirtschaft, S. 15.</w:t>
      </w:r>
    </w:p>
  </w:footnote>
  <w:footnote w:id="1104">
    <w:p w14:paraId="1EED41E1" w14:textId="77777777" w:rsidR="00112190" w:rsidRDefault="00112190" w:rsidP="00112190">
      <w:pPr>
        <w:pStyle w:val="Funotentext"/>
      </w:pPr>
      <w:r>
        <w:rPr>
          <w:rStyle w:val="Funotenzeichen"/>
        </w:rPr>
        <w:footnoteRef/>
      </w:r>
      <w:r>
        <w:t xml:space="preserve"> Manfred Schäfers. Das Haushaltsloch wird noch größer. FAZ, 17.05.2024. </w:t>
      </w:r>
    </w:p>
  </w:footnote>
  <w:footnote w:id="1105">
    <w:p w14:paraId="0F05254A" w14:textId="77777777" w:rsidR="00112190" w:rsidRDefault="00112190" w:rsidP="00112190">
      <w:pPr>
        <w:pStyle w:val="Funotentext"/>
      </w:pPr>
      <w:r>
        <w:rPr>
          <w:rStyle w:val="Funotenzeichen"/>
        </w:rPr>
        <w:footnoteRef/>
      </w:r>
      <w:r>
        <w:t xml:space="preserve"> Manfred Schäfers. Die Lücke im Bundeshaushalt ist kleiner als vermutet. FAZ, 17.05.2024.</w:t>
      </w:r>
    </w:p>
  </w:footnote>
  <w:footnote w:id="1106">
    <w:p w14:paraId="0E5A871F" w14:textId="77777777" w:rsidR="007C0C8E" w:rsidRDefault="007C0C8E" w:rsidP="007C0C8E">
      <w:pPr>
        <w:pStyle w:val="Funotentext"/>
      </w:pPr>
      <w:r>
        <w:rPr>
          <w:rStyle w:val="Funotenzeichen"/>
        </w:rPr>
        <w:footnoteRef/>
      </w:r>
      <w:r>
        <w:t xml:space="preserve"> Werner Musseler. EU-Parlament beschließt Reform der Schuldenregeln, FAZ, 23.04.2024. </w:t>
      </w:r>
    </w:p>
  </w:footnote>
  <w:footnote w:id="1107">
    <w:p w14:paraId="41FE7199" w14:textId="77777777" w:rsidR="007C0C8E" w:rsidRDefault="007C0C8E" w:rsidP="007C0C8E">
      <w:pPr>
        <w:pStyle w:val="Funotentext"/>
      </w:pPr>
      <w:r>
        <w:rPr>
          <w:rStyle w:val="Funotenzeichen"/>
        </w:rPr>
        <w:footnoteRef/>
      </w:r>
      <w:r>
        <w:t xml:space="preserve"> EU-Defizitverfahren stocken schon jetzt. FAZ, 19.07.2024.</w:t>
      </w:r>
    </w:p>
  </w:footnote>
  <w:footnote w:id="1108">
    <w:p w14:paraId="53744579" w14:textId="77777777" w:rsidR="00112190" w:rsidRDefault="00112190" w:rsidP="00112190">
      <w:pPr>
        <w:pStyle w:val="Funotentext"/>
      </w:pPr>
      <w:r>
        <w:rPr>
          <w:rStyle w:val="Funotenzeichen"/>
        </w:rPr>
        <w:footnoteRef/>
      </w:r>
      <w:r>
        <w:t xml:space="preserve"> Pressemitteilung Umweltbundesamt, 04.01.2024, siehe: </w:t>
      </w:r>
      <w:hyperlink r:id="rId828" w:history="1">
        <w:r w:rsidRPr="008708CC">
          <w:rPr>
            <w:rStyle w:val="Hyperlink"/>
          </w:rPr>
          <w:t>https://www.umweltbundesamt.de/presse/pressemitteilungen/neue-rekordeinnahmen-im-emissionshandel-ueber-18</w:t>
        </w:r>
      </w:hyperlink>
      <w:r>
        <w:t xml:space="preserve"> - Zugegriffen: 20.05.2024.</w:t>
      </w:r>
    </w:p>
  </w:footnote>
  <w:footnote w:id="1109">
    <w:p w14:paraId="100462C0" w14:textId="65C1B4B9" w:rsidR="00260F52" w:rsidRDefault="00260F52">
      <w:pPr>
        <w:pStyle w:val="Funotentext"/>
      </w:pPr>
      <w:r>
        <w:rPr>
          <w:rStyle w:val="Funotenzeichen"/>
        </w:rPr>
        <w:footnoteRef/>
      </w:r>
      <w:r>
        <w:t xml:space="preserve"> Rudolf Scharping. Mit der KFW Deutschland wieder fit machen. FAZ, 15.07.2024.</w:t>
      </w:r>
    </w:p>
  </w:footnote>
  <w:footnote w:id="1110">
    <w:p w14:paraId="4B84B6AD" w14:textId="77777777" w:rsidR="00234161" w:rsidRDefault="00234161" w:rsidP="00234161">
      <w:pPr>
        <w:pStyle w:val="Funotentext"/>
      </w:pPr>
      <w:r>
        <w:rPr>
          <w:rStyle w:val="Funotenzeichen"/>
        </w:rPr>
        <w:footnoteRef/>
      </w:r>
      <w:r>
        <w:t xml:space="preserve"> S. 27, Zeilen 858-860. Siehe: </w:t>
      </w:r>
      <w:hyperlink r:id="rId829" w:history="1">
        <w:r w:rsidRPr="00287D4C">
          <w:rPr>
            <w:rStyle w:val="Hyperlink"/>
          </w:rPr>
          <w:t>https://www.spd.de/fileadmin/Dokumente/Koalitionsvertrag_2025.pdf</w:t>
        </w:r>
      </w:hyperlink>
      <w:r>
        <w:t xml:space="preserve"> - Zugegriffen: 10.04.2025. </w:t>
      </w:r>
    </w:p>
  </w:footnote>
  <w:footnote w:id="1111">
    <w:p w14:paraId="361457CE" w14:textId="6F328DC1" w:rsidR="00DD073E" w:rsidRDefault="00DD073E">
      <w:pPr>
        <w:pStyle w:val="Funotentext"/>
      </w:pPr>
      <w:r>
        <w:rPr>
          <w:rStyle w:val="Funotenzeichen"/>
        </w:rPr>
        <w:footnoteRef/>
      </w:r>
      <w:r>
        <w:t xml:space="preserve"> BDI auf Seite von SPD und Grünen. FAZ, 12.06.2024. </w:t>
      </w:r>
    </w:p>
  </w:footnote>
  <w:footnote w:id="1112">
    <w:p w14:paraId="1E359FB6" w14:textId="46E46E6F" w:rsidR="004C1AB0" w:rsidRDefault="004C1AB0">
      <w:pPr>
        <w:pStyle w:val="Funotentext"/>
      </w:pPr>
      <w:r>
        <w:rPr>
          <w:rStyle w:val="Funotenzeichen"/>
        </w:rPr>
        <w:footnoteRef/>
      </w:r>
      <w:r>
        <w:t xml:space="preserve"> Für die Wirtschaft ist die Energiewende gescheitert. FAZ, 02.08.2024. </w:t>
      </w:r>
    </w:p>
  </w:footnote>
  <w:footnote w:id="1113">
    <w:p w14:paraId="76222C3A" w14:textId="1FB53844" w:rsidR="000A3F7F" w:rsidRDefault="000A3F7F">
      <w:pPr>
        <w:pStyle w:val="Funotentext"/>
      </w:pPr>
      <w:r>
        <w:rPr>
          <w:rStyle w:val="Funotenzeichen"/>
        </w:rPr>
        <w:footnoteRef/>
      </w:r>
      <w:r>
        <w:t xml:space="preserve"> </w:t>
      </w:r>
      <w:r w:rsidR="00B90308">
        <w:t xml:space="preserve">Diese Box paraphrasiert den </w:t>
      </w:r>
      <w:proofErr w:type="gramStart"/>
      <w:r w:rsidR="00B90308">
        <w:t>FAZ Artikel</w:t>
      </w:r>
      <w:proofErr w:type="gramEnd"/>
      <w:r w:rsidR="00B90308">
        <w:t xml:space="preserve"> des Umweltrechtlers Prof. Wolfgang Durner, Uni Bonn, siehe: Wolfgang Durner. Unfaire Belastung der Kommunen. FAZ, 22.05.2024. </w:t>
      </w:r>
    </w:p>
  </w:footnote>
  <w:footnote w:id="1114">
    <w:p w14:paraId="469513DC" w14:textId="07CB40E0" w:rsidR="00A60786" w:rsidRDefault="00A60786">
      <w:pPr>
        <w:pStyle w:val="Funotentext"/>
      </w:pPr>
      <w:r>
        <w:rPr>
          <w:rStyle w:val="Funotenzeichen"/>
        </w:rPr>
        <w:footnoteRef/>
      </w:r>
      <w:r>
        <w:t xml:space="preserve"> Lehrstuhl Prof. Wolfgang Durner: </w:t>
      </w:r>
      <w:r w:rsidRPr="00A60786">
        <w:t>https://www.jura.uni-bonn.de/lehrstuhl-prof-dr-dr-durner</w:t>
      </w:r>
    </w:p>
  </w:footnote>
  <w:footnote w:id="1115">
    <w:p w14:paraId="3DF346CF" w14:textId="77777777" w:rsidR="00EE1F56" w:rsidRDefault="00EE1F56" w:rsidP="00EE1F56">
      <w:pPr>
        <w:pStyle w:val="Funotentext"/>
      </w:pPr>
      <w:r>
        <w:rPr>
          <w:rStyle w:val="Funotenzeichen"/>
        </w:rPr>
        <w:footnoteRef/>
      </w:r>
      <w:r>
        <w:t xml:space="preserve"> Siehe: </w:t>
      </w:r>
      <w:hyperlink r:id="rId830" w:history="1">
        <w:r w:rsidRPr="00EC1018">
          <w:rPr>
            <w:rStyle w:val="Hyperlink"/>
          </w:rPr>
          <w:t>https://www.bmuv.de/themen/klimaanpassung/das-klimaanpassungsgesetz-kang</w:t>
        </w:r>
      </w:hyperlink>
      <w:r>
        <w:t xml:space="preserve"> - Zugegriffen: 11.06.2024. </w:t>
      </w:r>
    </w:p>
  </w:footnote>
  <w:footnote w:id="1116">
    <w:p w14:paraId="68AFEB58" w14:textId="77777777" w:rsidR="00112190" w:rsidRDefault="00112190" w:rsidP="00112190">
      <w:pPr>
        <w:pStyle w:val="Funotentext"/>
      </w:pPr>
      <w:r>
        <w:rPr>
          <w:rStyle w:val="Funotenzeichen"/>
        </w:rPr>
        <w:footnoteRef/>
      </w:r>
      <w:r>
        <w:t xml:space="preserve"> Hans-Werner Sinn. Ein Plädoyer gegen Alleingänge in der Klimapolitik. FAZ, 23.08.2023. Dies hat eine Debatte ausgelöst, kritisch gegen Hans-Werner Sinn äußerten sich: Reiner Eichenberger und David Stadelmann. Wo Hans-Werner Sinn irrt, FAZ, 20.09.2023. Siehe auch: Lion Hirth. Hans-Werner Sinns Klima-Thesen im Realitätscheck. FAZ, 28.08.2023. Siehe die Antwort von Sinn: Hans-Werner Sinn. Für einen rationalen Klima-Diskurs. FAZ, 08.09.2023. </w:t>
      </w:r>
    </w:p>
  </w:footnote>
  <w:footnote w:id="1117">
    <w:p w14:paraId="3FE48FC5" w14:textId="77777777" w:rsidR="00112190" w:rsidRPr="00126CAC" w:rsidRDefault="00112190" w:rsidP="00112190">
      <w:pPr>
        <w:pStyle w:val="Funotentext"/>
      </w:pPr>
      <w:r>
        <w:rPr>
          <w:rStyle w:val="Funotenzeichen"/>
        </w:rPr>
        <w:footnoteRef/>
      </w:r>
      <w:r>
        <w:t xml:space="preserve"> </w:t>
      </w:r>
      <w:proofErr w:type="spellStart"/>
      <w:r>
        <w:t>Kafsack</w:t>
      </w:r>
      <w:proofErr w:type="spellEnd"/>
      <w:r>
        <w:t xml:space="preserve">, Hendrik. Handelsgespräche zwischen der EU und den USA geplatzt. </w:t>
      </w:r>
      <w:r w:rsidRPr="00BB5025">
        <w:t xml:space="preserve">FAZ, 20.10.2023. </w:t>
      </w:r>
      <w:r w:rsidRPr="00126CAC">
        <w:t xml:space="preserve">URL: </w:t>
      </w:r>
      <w:hyperlink r:id="rId831" w:history="1">
        <w:r w:rsidRPr="00126CAC">
          <w:rPr>
            <w:rStyle w:val="Hyperlink"/>
          </w:rPr>
          <w:t>https://www.faz.net/aktuell/wirtschaft/eu-und-usa-bei-gipfel-in-washington-handelsgespraeche-geplatzt-19257022.html?GEPC=s9</w:t>
        </w:r>
      </w:hyperlink>
      <w:r w:rsidRPr="00126CAC">
        <w:t xml:space="preserve"> </w:t>
      </w:r>
      <w:r>
        <w:t>–</w:t>
      </w:r>
      <w:r w:rsidRPr="00126CAC">
        <w:t xml:space="preserve"> Zu</w:t>
      </w:r>
      <w:r>
        <w:t xml:space="preserve">gegriffen: 03.11.2023. </w:t>
      </w:r>
    </w:p>
  </w:footnote>
  <w:footnote w:id="1118">
    <w:p w14:paraId="0E8E693A" w14:textId="77777777" w:rsidR="00D10AE7" w:rsidRDefault="00D10AE7" w:rsidP="00D10AE7">
      <w:pPr>
        <w:pStyle w:val="Funotentext"/>
      </w:pPr>
      <w:r>
        <w:rPr>
          <w:rStyle w:val="Funotenzeichen"/>
        </w:rPr>
        <w:footnoteRef/>
      </w:r>
      <w:r>
        <w:t xml:space="preserve"> Siehe: </w:t>
      </w:r>
      <w:hyperlink r:id="rId832" w:history="1">
        <w:r w:rsidRPr="00C82A68">
          <w:rPr>
            <w:rStyle w:val="Hyperlink"/>
          </w:rPr>
          <w:t>https://climate-club.org/</w:t>
        </w:r>
      </w:hyperlink>
      <w:r>
        <w:t xml:space="preserve"> </w:t>
      </w:r>
    </w:p>
  </w:footnote>
  <w:footnote w:id="1119">
    <w:p w14:paraId="3E6C5B9F" w14:textId="77777777" w:rsidR="00112190" w:rsidRDefault="00112190" w:rsidP="00112190">
      <w:pPr>
        <w:pStyle w:val="Funotentext"/>
      </w:pPr>
      <w:r>
        <w:rPr>
          <w:rStyle w:val="Funotenzeichen"/>
        </w:rPr>
        <w:footnoteRef/>
      </w:r>
      <w:r>
        <w:t xml:space="preserve"> Siehe: </w:t>
      </w:r>
      <w:hyperlink r:id="rId833" w:history="1">
        <w:r w:rsidRPr="008633A4">
          <w:rPr>
            <w:rStyle w:val="Hyperlink"/>
          </w:rPr>
          <w:t>http://www.adtechamm.com/indonesia-aluminium-smelter/</w:t>
        </w:r>
      </w:hyperlink>
      <w:r>
        <w:t xml:space="preserve"> - Zugegriffen: 28.11.2023. </w:t>
      </w:r>
    </w:p>
  </w:footnote>
  <w:footnote w:id="1120">
    <w:p w14:paraId="5E03C18B" w14:textId="77777777" w:rsidR="00112190" w:rsidRDefault="00112190" w:rsidP="00112190">
      <w:pPr>
        <w:pStyle w:val="Funotentext"/>
      </w:pPr>
      <w:r>
        <w:rPr>
          <w:rStyle w:val="Funotenzeichen"/>
        </w:rPr>
        <w:footnoteRef/>
      </w:r>
      <w:r>
        <w:t xml:space="preserve"> Zu den letzten drei Sätzen siehe auch: Ralph Bollmann. Ein Klub für die klimafreundliche Industrie, FAZ, 02.12.2023. </w:t>
      </w:r>
    </w:p>
  </w:footnote>
  <w:footnote w:id="1121">
    <w:p w14:paraId="67E5FFF8" w14:textId="4D10BEA2" w:rsidR="005D5DF3" w:rsidRPr="005D5DF3" w:rsidRDefault="005D5DF3">
      <w:pPr>
        <w:pStyle w:val="Funotentext"/>
      </w:pPr>
      <w:r>
        <w:rPr>
          <w:rStyle w:val="Funotenzeichen"/>
        </w:rPr>
        <w:footnoteRef/>
      </w:r>
      <w:r w:rsidRPr="005D5DF3">
        <w:t xml:space="preserve"> Siehe Legislative Train: </w:t>
      </w:r>
      <w:hyperlink r:id="rId834" w:history="1">
        <w:r w:rsidRPr="005D5DF3">
          <w:rPr>
            <w:rStyle w:val="Hyperlink"/>
          </w:rPr>
          <w:t>https://www.europarl.europa.eu/legislative-train/theme-a-european-green-deal/file-carbon-border-adjustment-mechanism</w:t>
        </w:r>
      </w:hyperlink>
      <w:r w:rsidRPr="005D5DF3">
        <w:t xml:space="preserve"> - Z</w:t>
      </w:r>
      <w:r>
        <w:t>ugegriffen: 15.05.2025.</w:t>
      </w:r>
    </w:p>
  </w:footnote>
  <w:footnote w:id="1122">
    <w:p w14:paraId="5124E915" w14:textId="77777777" w:rsidR="00112190" w:rsidRDefault="00112190" w:rsidP="00112190">
      <w:pPr>
        <w:pStyle w:val="Funotentext"/>
      </w:pPr>
      <w:r>
        <w:rPr>
          <w:rStyle w:val="Funotenzeichen"/>
        </w:rPr>
        <w:footnoteRef/>
      </w:r>
      <w:r>
        <w:t xml:space="preserve"> Siehe Pressemitteilung: </w:t>
      </w:r>
      <w:hyperlink r:id="rId835" w:history="1">
        <w:r w:rsidRPr="00335629">
          <w:rPr>
            <w:rStyle w:val="Hyperlink"/>
          </w:rPr>
          <w:t>https://www.europarl.europa.eu/news/de/press-room/20221212IPR64527/klimaschutz-einigung-uber-ehrgeizigeren-eu-emissionshandel-ets</w:t>
        </w:r>
      </w:hyperlink>
      <w:r>
        <w:t xml:space="preserve"> - Zugegriffen: 01.11.2023. </w:t>
      </w:r>
    </w:p>
  </w:footnote>
  <w:footnote w:id="1123">
    <w:p w14:paraId="27718CEA" w14:textId="77777777" w:rsidR="00962B8E" w:rsidRPr="009B2ACD" w:rsidRDefault="00962B8E" w:rsidP="00962B8E">
      <w:pPr>
        <w:pStyle w:val="Funotentext"/>
      </w:pPr>
      <w:r>
        <w:rPr>
          <w:rStyle w:val="Funotenzeichen"/>
        </w:rPr>
        <w:footnoteRef/>
      </w:r>
      <w:r w:rsidRPr="008F3617">
        <w:t xml:space="preserve"> Die</w:t>
      </w:r>
      <w:r>
        <w:t>s</w:t>
      </w:r>
      <w:r w:rsidRPr="008F3617">
        <w:t xml:space="preserve"> bemerkt: Jonas Jansen. </w:t>
      </w:r>
      <w:proofErr w:type="spellStart"/>
      <w:r w:rsidRPr="009B2ACD">
        <w:t>Thyssenkrupps</w:t>
      </w:r>
      <w:proofErr w:type="spellEnd"/>
      <w:r w:rsidRPr="009B2ACD">
        <w:t xml:space="preserve"> große S</w:t>
      </w:r>
      <w:r>
        <w:t>tahlsorgen. FAZ, 03.05.2024.</w:t>
      </w:r>
    </w:p>
  </w:footnote>
  <w:footnote w:id="1124">
    <w:p w14:paraId="092EFCBE" w14:textId="596519A1" w:rsidR="00BC6275" w:rsidRDefault="00BC6275">
      <w:pPr>
        <w:pStyle w:val="Funotentext"/>
      </w:pPr>
      <w:r>
        <w:rPr>
          <w:rStyle w:val="Funotenzeichen"/>
        </w:rPr>
        <w:footnoteRef/>
      </w:r>
      <w:r>
        <w:t xml:space="preserve"> Leserbrief. Elmar Timpe. Das Gelingen der europäischen Idee. FAZ, 09.07.2024. </w:t>
      </w:r>
    </w:p>
  </w:footnote>
  <w:footnote w:id="1125">
    <w:p w14:paraId="1C32E7FE" w14:textId="77777777" w:rsidR="00112190" w:rsidRPr="009115CC" w:rsidRDefault="00112190" w:rsidP="00112190">
      <w:pPr>
        <w:pStyle w:val="Funotentext"/>
      </w:pPr>
      <w:r>
        <w:rPr>
          <w:rStyle w:val="Funotenzeichen"/>
        </w:rPr>
        <w:footnoteRef/>
      </w:r>
      <w:r w:rsidRPr="009115CC">
        <w:t xml:space="preserve"> Die ganze Box ist teils paraphrasierend entnomme</w:t>
      </w:r>
      <w:r>
        <w:t xml:space="preserve">n aus: </w:t>
      </w:r>
      <w:r w:rsidRPr="009115CC">
        <w:t>Hendrik Kafsack. Der Green Deal – vom T</w:t>
      </w:r>
      <w:r>
        <w:t>opthema zum Problemkind. FAZ, 16.05.2024.</w:t>
      </w:r>
    </w:p>
  </w:footnote>
  <w:footnote w:id="1126">
    <w:p w14:paraId="67FAC4C7" w14:textId="77777777" w:rsidR="00112190" w:rsidRDefault="00112190" w:rsidP="00112190">
      <w:pPr>
        <w:pStyle w:val="Funotentext"/>
      </w:pPr>
      <w:r>
        <w:rPr>
          <w:rStyle w:val="Funotenzeichen"/>
        </w:rPr>
        <w:footnoteRef/>
      </w:r>
      <w:r>
        <w:t xml:space="preserve"> Marie-Agnes Strack-Zimmermann. Die EU braucht keinen neuen Schuldenfonds. FAZ, 13.05.2024. </w:t>
      </w:r>
    </w:p>
  </w:footnote>
  <w:footnote w:id="1127">
    <w:p w14:paraId="1A5BE767" w14:textId="77777777" w:rsidR="00112190" w:rsidRDefault="00112190" w:rsidP="00112190">
      <w:pPr>
        <w:pStyle w:val="Funotentext"/>
      </w:pPr>
      <w:r>
        <w:rPr>
          <w:rStyle w:val="Funotenzeichen"/>
        </w:rPr>
        <w:footnoteRef/>
      </w:r>
      <w:r>
        <w:t xml:space="preserve"> Siehe: </w:t>
      </w:r>
      <w:hyperlink r:id="rId836" w:history="1">
        <w:r w:rsidRPr="008708CC">
          <w:rPr>
            <w:rStyle w:val="Hyperlink"/>
          </w:rPr>
          <w:t>https://www.consilium.europa.eu/de/meetings/european-council/2024/04/17-18/</w:t>
        </w:r>
      </w:hyperlink>
      <w:r>
        <w:t xml:space="preserve"> - Zugegriffen: 20.05.2024. </w:t>
      </w:r>
    </w:p>
  </w:footnote>
  <w:footnote w:id="1128">
    <w:p w14:paraId="52C91D7A" w14:textId="77777777" w:rsidR="00112190" w:rsidRPr="00C96F8D" w:rsidRDefault="00112190" w:rsidP="00112190">
      <w:pPr>
        <w:pStyle w:val="Funotentext"/>
      </w:pPr>
      <w:r>
        <w:rPr>
          <w:rStyle w:val="Funotenzeichen"/>
        </w:rPr>
        <w:footnoteRef/>
      </w:r>
      <w:r w:rsidRPr="00C96F8D">
        <w:t xml:space="preserve"> </w:t>
      </w:r>
      <w:r>
        <w:t xml:space="preserve">Auch im Satz darüber werden Infos aus diesem Artikel verwendet: </w:t>
      </w:r>
      <w:r w:rsidRPr="00C96F8D">
        <w:t>Werner Mussler, Hendrik Kafsack. Di</w:t>
      </w:r>
      <w:r>
        <w:t>e Industriepolitik ist wieder da. FAZ, 08.05.2024. Wirtschaft, S. 17.</w:t>
      </w:r>
    </w:p>
  </w:footnote>
  <w:footnote w:id="1129">
    <w:p w14:paraId="087CC0F8" w14:textId="77777777" w:rsidR="00112190" w:rsidRDefault="00112190" w:rsidP="00112190">
      <w:pPr>
        <w:pStyle w:val="Funotentext"/>
      </w:pPr>
      <w:r>
        <w:rPr>
          <w:rStyle w:val="Funotenzeichen"/>
        </w:rPr>
        <w:footnoteRef/>
      </w:r>
      <w:r>
        <w:t xml:space="preserve"> Der Bericht findet sich hier: </w:t>
      </w:r>
      <w:hyperlink r:id="rId837" w:history="1">
        <w:r w:rsidRPr="008708CC">
          <w:rPr>
            <w:rStyle w:val="Hyperlink"/>
          </w:rPr>
          <w:t>https://www.consilium.europa.eu/media/ny3j24sm/much-more-than-a-market-report-by-enrico-letta.pdf</w:t>
        </w:r>
      </w:hyperlink>
      <w:r>
        <w:t xml:space="preserve"> - Zugegriffen: 20.05.2024.</w:t>
      </w:r>
    </w:p>
  </w:footnote>
  <w:footnote w:id="1130">
    <w:p w14:paraId="48D0CC21" w14:textId="13F726E0" w:rsidR="00512EE8" w:rsidRDefault="00512EE8">
      <w:pPr>
        <w:pStyle w:val="Funotentext"/>
      </w:pPr>
      <w:r>
        <w:rPr>
          <w:rStyle w:val="Funotenzeichen"/>
        </w:rPr>
        <w:footnoteRef/>
      </w:r>
      <w:r>
        <w:t xml:space="preserve"> Siehe: </w:t>
      </w:r>
      <w:hyperlink r:id="rId838" w:anchor="paragraph_47059" w:history="1">
        <w:r w:rsidRPr="00B608C2">
          <w:rPr>
            <w:rStyle w:val="Hyperlink"/>
          </w:rPr>
          <w:t>https://commission.europa.eu/topics/eu-competitiveness/draghi-report_en#paragraph_47059</w:t>
        </w:r>
      </w:hyperlink>
      <w:r>
        <w:t xml:space="preserve"> – Zugegriffen: 13.05.2025. </w:t>
      </w:r>
    </w:p>
  </w:footnote>
  <w:footnote w:id="1131">
    <w:p w14:paraId="5696ADB8" w14:textId="04AD2182" w:rsidR="00512EE8" w:rsidRDefault="00512EE8">
      <w:pPr>
        <w:pStyle w:val="Funotentext"/>
      </w:pPr>
      <w:r>
        <w:rPr>
          <w:rStyle w:val="Funotenzeichen"/>
        </w:rPr>
        <w:footnoteRef/>
      </w:r>
      <w:r>
        <w:t xml:space="preserve"> Siehe: </w:t>
      </w:r>
      <w:hyperlink r:id="rId839" w:history="1">
        <w:r w:rsidRPr="00B608C2">
          <w:rPr>
            <w:rStyle w:val="Hyperlink"/>
          </w:rPr>
          <w:t>https://ec.europa.eu/commission/presscorner/detail/en/ip_25_339</w:t>
        </w:r>
      </w:hyperlink>
      <w:r>
        <w:t xml:space="preserve"> - Zugegriffen: 13.05.2025. </w:t>
      </w:r>
    </w:p>
  </w:footnote>
  <w:footnote w:id="1132">
    <w:p w14:paraId="35038FEF" w14:textId="77777777" w:rsidR="00112190" w:rsidRPr="00C96F8D" w:rsidRDefault="00112190" w:rsidP="00112190">
      <w:pPr>
        <w:pStyle w:val="Funotentext"/>
      </w:pPr>
      <w:r>
        <w:rPr>
          <w:rStyle w:val="Funotenzeichen"/>
        </w:rPr>
        <w:footnoteRef/>
      </w:r>
      <w:r w:rsidRPr="00C96F8D">
        <w:t xml:space="preserve"> Calliess 2022: 114, Para. 200.</w:t>
      </w:r>
    </w:p>
  </w:footnote>
  <w:footnote w:id="1133">
    <w:p w14:paraId="64B5933F" w14:textId="77777777" w:rsidR="00112190" w:rsidRPr="00D50AC3" w:rsidRDefault="00112190" w:rsidP="00112190">
      <w:pPr>
        <w:pStyle w:val="Funotentext"/>
      </w:pPr>
      <w:r>
        <w:rPr>
          <w:rStyle w:val="Funotenzeichen"/>
        </w:rPr>
        <w:footnoteRef/>
      </w:r>
      <w:r w:rsidRPr="00D50AC3">
        <w:t xml:space="preserve"> </w:t>
      </w:r>
      <w:r>
        <w:t xml:space="preserve">Siehe für einen Überblick über das </w:t>
      </w:r>
      <w:proofErr w:type="gramStart"/>
      <w:r>
        <w:t>EU Umweltrecht</w:t>
      </w:r>
      <w:proofErr w:type="gramEnd"/>
      <w:r>
        <w:t xml:space="preserve"> </w:t>
      </w:r>
      <w:r w:rsidRPr="00D50AC3">
        <w:t xml:space="preserve">Callies </w:t>
      </w:r>
      <w:r>
        <w:t>(</w:t>
      </w:r>
      <w:r w:rsidRPr="00D50AC3">
        <w:t>2022</w:t>
      </w:r>
      <w:r>
        <w:t>), siehe zu den letzten beiden Sätzen Calliess 2022</w:t>
      </w:r>
      <w:r w:rsidRPr="00D50AC3">
        <w:t xml:space="preserve">: </w:t>
      </w:r>
      <w:r>
        <w:t xml:space="preserve">103, </w:t>
      </w:r>
      <w:r w:rsidRPr="00D50AC3">
        <w:t>112-114, Para</w:t>
      </w:r>
      <w:r>
        <w:t>s</w:t>
      </w:r>
      <w:r w:rsidRPr="00D50AC3">
        <w:t xml:space="preserve">. </w:t>
      </w:r>
      <w:r>
        <w:t xml:space="preserve">181, </w:t>
      </w:r>
      <w:r w:rsidRPr="00D50AC3">
        <w:t>199, 200.</w:t>
      </w:r>
      <w:r>
        <w:t xml:space="preserve"> Siehe für einen nicht mehr ganz aktuellen Überblick über das EU-Umweltrecht, Sachverständigenrat für Umweltfragen 2020: 469-535.</w:t>
      </w:r>
    </w:p>
  </w:footnote>
  <w:footnote w:id="1134">
    <w:p w14:paraId="24DEC668" w14:textId="77777777" w:rsidR="00112190" w:rsidRDefault="00112190" w:rsidP="00112190">
      <w:pPr>
        <w:pStyle w:val="Funotentext"/>
      </w:pPr>
      <w:r>
        <w:rPr>
          <w:rStyle w:val="Funotenzeichen"/>
        </w:rPr>
        <w:footnoteRef/>
      </w:r>
      <w:r>
        <w:t xml:space="preserve"> </w:t>
      </w:r>
      <w:proofErr w:type="spellStart"/>
      <w:r>
        <w:t>Ochner</w:t>
      </w:r>
      <w:proofErr w:type="spellEnd"/>
      <w:r>
        <w:t xml:space="preserve"> 2022: 25. </w:t>
      </w:r>
    </w:p>
  </w:footnote>
  <w:footnote w:id="1135">
    <w:p w14:paraId="116E5A8D" w14:textId="77777777" w:rsidR="00112190" w:rsidRPr="0019689C" w:rsidRDefault="00112190" w:rsidP="00112190">
      <w:pPr>
        <w:pStyle w:val="Funotentext"/>
      </w:pPr>
      <w:r>
        <w:rPr>
          <w:rStyle w:val="Funotenzeichen"/>
        </w:rPr>
        <w:footnoteRef/>
      </w:r>
      <w:r w:rsidRPr="0019689C">
        <w:t xml:space="preserve"> </w:t>
      </w:r>
      <w:proofErr w:type="gramStart"/>
      <w:r>
        <w:t xml:space="preserve">AEUV </w:t>
      </w:r>
      <w:r w:rsidRPr="0019689C">
        <w:t>Link</w:t>
      </w:r>
      <w:proofErr w:type="gramEnd"/>
      <w:r w:rsidRPr="0019689C">
        <w:t xml:space="preserve">: </w:t>
      </w:r>
      <w:hyperlink r:id="rId840" w:history="1">
        <w:r w:rsidRPr="0019689C">
          <w:rPr>
            <w:rStyle w:val="Hyperlink"/>
          </w:rPr>
          <w:t>https://eur-lex.europa.eu/LexUriServ/LexUriServ.do?uri=CELEX:12012E/TXT:de:PDF</w:t>
        </w:r>
      </w:hyperlink>
      <w:r w:rsidRPr="0019689C">
        <w:t xml:space="preserve"> </w:t>
      </w:r>
      <w:r>
        <w:t>–</w:t>
      </w:r>
      <w:r w:rsidRPr="0019689C">
        <w:t xml:space="preserve"> Zu</w:t>
      </w:r>
      <w:r>
        <w:t xml:space="preserve">gegriffen: 30.12.2023. </w:t>
      </w:r>
    </w:p>
  </w:footnote>
  <w:footnote w:id="1136">
    <w:p w14:paraId="519493BC" w14:textId="77777777" w:rsidR="00112190" w:rsidRPr="003A01AF" w:rsidRDefault="00112190" w:rsidP="00112190">
      <w:pPr>
        <w:pStyle w:val="Funotentext"/>
      </w:pPr>
      <w:r>
        <w:rPr>
          <w:rStyle w:val="Funotenzeichen"/>
        </w:rPr>
        <w:footnoteRef/>
      </w:r>
      <w:r w:rsidRPr="003A01AF">
        <w:t xml:space="preserve"> Calliess 2022: 105, Para. 184. </w:t>
      </w:r>
    </w:p>
  </w:footnote>
  <w:footnote w:id="1137">
    <w:p w14:paraId="4BF47C32" w14:textId="77777777" w:rsidR="00112190" w:rsidRPr="00463073" w:rsidRDefault="00112190" w:rsidP="00112190">
      <w:pPr>
        <w:pStyle w:val="Funotentext"/>
      </w:pPr>
      <w:r>
        <w:rPr>
          <w:rStyle w:val="Funotenzeichen"/>
        </w:rPr>
        <w:footnoteRef/>
      </w:r>
      <w:r w:rsidRPr="00463073">
        <w:t xml:space="preserve"> </w:t>
      </w:r>
      <w:bookmarkStart w:id="57" w:name="_Hlk156404729"/>
      <w:proofErr w:type="gramStart"/>
      <w:r w:rsidRPr="00463073">
        <w:t>AEUV Link</w:t>
      </w:r>
      <w:proofErr w:type="gramEnd"/>
      <w:r w:rsidRPr="00463073">
        <w:t xml:space="preserve">: </w:t>
      </w:r>
      <w:hyperlink r:id="rId841" w:history="1">
        <w:r w:rsidRPr="00463073">
          <w:rPr>
            <w:rStyle w:val="Hyperlink"/>
          </w:rPr>
          <w:t>https://eur-lex.europa.eu/legal-content/DE/TXT/PDF/?uri=CELEX:12012E/TXT</w:t>
        </w:r>
      </w:hyperlink>
      <w:r w:rsidRPr="00463073">
        <w:t xml:space="preserve"> - Zu</w:t>
      </w:r>
      <w:r>
        <w:t>gegriffen: 07.01.2024.</w:t>
      </w:r>
      <w:bookmarkEnd w:id="57"/>
    </w:p>
  </w:footnote>
  <w:footnote w:id="1138">
    <w:p w14:paraId="7D4D6F64" w14:textId="77777777" w:rsidR="00112190" w:rsidRDefault="00112190" w:rsidP="00112190">
      <w:pPr>
        <w:pStyle w:val="Funotentext"/>
      </w:pPr>
      <w:r>
        <w:rPr>
          <w:rStyle w:val="Funotenzeichen"/>
        </w:rPr>
        <w:footnoteRef/>
      </w:r>
      <w:r>
        <w:t xml:space="preserve"> </w:t>
      </w:r>
      <w:proofErr w:type="spellStart"/>
      <w:r>
        <w:t>Pirstner</w:t>
      </w:r>
      <w:proofErr w:type="spellEnd"/>
      <w:r>
        <w:t>-Ebner 2022: 20-24.</w:t>
      </w:r>
    </w:p>
  </w:footnote>
  <w:footnote w:id="1139">
    <w:p w14:paraId="1EB73861" w14:textId="77777777" w:rsidR="00112190" w:rsidRDefault="00112190" w:rsidP="00112190">
      <w:pPr>
        <w:pStyle w:val="Funotentext"/>
      </w:pPr>
      <w:r>
        <w:rPr>
          <w:rStyle w:val="Funotenzeichen"/>
        </w:rPr>
        <w:footnoteRef/>
      </w:r>
      <w:r>
        <w:t xml:space="preserve"> Weishaar 2020: 444-445.</w:t>
      </w:r>
    </w:p>
  </w:footnote>
  <w:footnote w:id="1140">
    <w:p w14:paraId="75FAAE30" w14:textId="77777777" w:rsidR="00112190" w:rsidRDefault="00112190" w:rsidP="00112190">
      <w:pPr>
        <w:pStyle w:val="Funotentext"/>
      </w:pPr>
      <w:r>
        <w:rPr>
          <w:rStyle w:val="Funotenzeichen"/>
        </w:rPr>
        <w:footnoteRef/>
      </w:r>
      <w:r>
        <w:t xml:space="preserve"> </w:t>
      </w:r>
      <w:proofErr w:type="spellStart"/>
      <w:r>
        <w:t>Dok</w:t>
      </w:r>
      <w:proofErr w:type="spellEnd"/>
      <w:r>
        <w:t>. 9702/98 des Rates der Europäischen Union vom 19. Juni 1998 über die Tagung des Fachrates Umwelt vom 16.-17. Juni 1998, Anlage 1.</w:t>
      </w:r>
    </w:p>
  </w:footnote>
  <w:footnote w:id="1141">
    <w:p w14:paraId="2CF9562F" w14:textId="77777777" w:rsidR="00112190" w:rsidRDefault="00112190" w:rsidP="00112190">
      <w:pPr>
        <w:pStyle w:val="Funotentext"/>
      </w:pPr>
      <w:r>
        <w:rPr>
          <w:rStyle w:val="Funotenzeichen"/>
        </w:rPr>
        <w:footnoteRef/>
      </w:r>
      <w:r>
        <w:t xml:space="preserve"> COM (2000) 88 final. Siehe: </w:t>
      </w:r>
      <w:hyperlink r:id="rId842" w:history="1">
        <w:r w:rsidRPr="005A2154">
          <w:rPr>
            <w:rStyle w:val="Hyperlink"/>
          </w:rPr>
          <w:t>https://eur-lex.europa.eu/LexUriServ/LexUriServ.do?uri=COM:2000:0088:FIN:EN:PDF</w:t>
        </w:r>
      </w:hyperlink>
      <w:r>
        <w:t xml:space="preserve"> – Zugegriffen: 28.01.2024. </w:t>
      </w:r>
    </w:p>
  </w:footnote>
  <w:footnote w:id="1142">
    <w:p w14:paraId="746C0E88" w14:textId="77777777" w:rsidR="00112190" w:rsidRDefault="00112190" w:rsidP="00112190">
      <w:pPr>
        <w:pStyle w:val="Funotentext"/>
      </w:pPr>
      <w:r>
        <w:rPr>
          <w:rStyle w:val="Funotenzeichen"/>
        </w:rPr>
        <w:footnoteRef/>
      </w:r>
      <w:r>
        <w:t xml:space="preserve"> COM (2001) 581 final, siehe hier: </w:t>
      </w:r>
      <w:hyperlink r:id="rId843" w:history="1">
        <w:r w:rsidRPr="005A2154">
          <w:rPr>
            <w:rStyle w:val="Hyperlink"/>
          </w:rPr>
          <w:t>https://eur-lex.europa.eu/legal-content/DE/TXT/PDF/?uri=CELEX:52001PC0581</w:t>
        </w:r>
      </w:hyperlink>
      <w:r>
        <w:t xml:space="preserve"> - siehe eine Timeline dazu: </w:t>
      </w:r>
      <w:hyperlink r:id="rId844" w:history="1">
        <w:r w:rsidRPr="005A2154">
          <w:rPr>
            <w:rStyle w:val="Hyperlink"/>
          </w:rPr>
          <w:t>https://eur-lex.europa.eu/legal-content/en/HIS/?uri=CELEX:52001PC0581</w:t>
        </w:r>
      </w:hyperlink>
      <w:r>
        <w:t xml:space="preserve"> – Zugegriffen: 28.01.2024. Siehe dazu auch Weishaar 2020: 445. Link zu diesem Artikel: </w:t>
      </w:r>
      <w:hyperlink r:id="rId845" w:history="1">
        <w:r w:rsidRPr="005A2154">
          <w:rPr>
            <w:rStyle w:val="Hyperlink"/>
          </w:rPr>
          <w:t>https://pure.rug.nl/ws/portalfiles/portal/194764335/PeetersMarjanEl_2020_28EUEmissionsTradingI_ResearchHandbookOnEUE.pdf</w:t>
        </w:r>
      </w:hyperlink>
      <w:r>
        <w:t xml:space="preserve"> - Zugegriffen: 28.01.2024.</w:t>
      </w:r>
    </w:p>
  </w:footnote>
  <w:footnote w:id="1143">
    <w:p w14:paraId="70765FDB" w14:textId="77777777" w:rsidR="00112190" w:rsidRDefault="00112190" w:rsidP="00112190">
      <w:pPr>
        <w:pStyle w:val="Funotentext"/>
      </w:pPr>
      <w:r>
        <w:rPr>
          <w:rStyle w:val="Funotenzeichen"/>
        </w:rPr>
        <w:footnoteRef/>
      </w:r>
      <w:r>
        <w:t xml:space="preserve"> </w:t>
      </w:r>
      <w:bookmarkStart w:id="58" w:name="_Hlk155280933"/>
      <w:r>
        <w:t xml:space="preserve">Entscheidung des Rates, </w:t>
      </w:r>
      <w:r w:rsidRPr="000230E5">
        <w:t>2002/358/EG</w:t>
      </w:r>
      <w:bookmarkEnd w:id="58"/>
      <w:r>
        <w:t>, im Anhang das Kyoto-Protokoll.</w:t>
      </w:r>
      <w:r w:rsidRPr="000230E5">
        <w:t xml:space="preserve"> </w:t>
      </w:r>
      <w:r>
        <w:t xml:space="preserve">Siehe: </w:t>
      </w:r>
      <w:hyperlink r:id="rId846" w:history="1">
        <w:r w:rsidRPr="005735F8">
          <w:rPr>
            <w:rStyle w:val="Hyperlink"/>
          </w:rPr>
          <w:t>https://eur-lex.europa.eu/legal-content/DE/TXT/PDF/?uri=CELEX:32002D0358&amp;qid=1704382586823</w:t>
        </w:r>
      </w:hyperlink>
      <w:r>
        <w:t xml:space="preserve"> – Zugegriffen: 30.12.2023. </w:t>
      </w:r>
    </w:p>
  </w:footnote>
  <w:footnote w:id="1144">
    <w:p w14:paraId="0848367E" w14:textId="77777777" w:rsidR="00112190" w:rsidRDefault="00112190" w:rsidP="00112190">
      <w:pPr>
        <w:pStyle w:val="Funotentext"/>
      </w:pPr>
      <w:r>
        <w:rPr>
          <w:rStyle w:val="Funotenzeichen"/>
        </w:rPr>
        <w:footnoteRef/>
      </w:r>
      <w:r>
        <w:t xml:space="preserve"> Siehe: </w:t>
      </w:r>
      <w:r w:rsidRPr="00313CFB">
        <w:t>Entscheidung des Rates, 2002/358/EG</w:t>
      </w:r>
      <w:r>
        <w:t xml:space="preserve">, Art. 3 und Art. 4. Hier ein durch Art. 8 des Beschlusses 93/389/EWG eingesetzter Ausschuss bestimmt, der die Kommission unterstützt. Die Bedeutung muss hier vorerst unklar bleiben. </w:t>
      </w:r>
    </w:p>
  </w:footnote>
  <w:footnote w:id="1145">
    <w:p w14:paraId="555F42D5" w14:textId="77777777" w:rsidR="00112190" w:rsidRPr="00CF7CE7" w:rsidRDefault="00112190" w:rsidP="00112190">
      <w:pPr>
        <w:pStyle w:val="Funotentext"/>
        <w:rPr>
          <w:lang w:val="en-GB"/>
        </w:rPr>
      </w:pPr>
      <w:r>
        <w:rPr>
          <w:rStyle w:val="Funotenzeichen"/>
        </w:rPr>
        <w:footnoteRef/>
      </w:r>
      <w:r>
        <w:t xml:space="preserve"> Siehe: </w:t>
      </w:r>
      <w:hyperlink r:id="rId847" w:history="1">
        <w:r w:rsidRPr="005735F8">
          <w:rPr>
            <w:rStyle w:val="Hyperlink"/>
          </w:rPr>
          <w:t>https://eur-lex.europa.eu/legal-content/EN/TXT/?uri=CELEX%3A02006D0944-20131112</w:t>
        </w:r>
      </w:hyperlink>
      <w:r>
        <w:t xml:space="preserve"> – Zugegriffen: 30.12.2023. </w:t>
      </w:r>
      <w:r w:rsidRPr="00CF7CE7">
        <w:rPr>
          <w:lang w:val="en-GB"/>
        </w:rPr>
        <w:t xml:space="preserve">Die sog. quantified emission limitation or reduction commitments </w:t>
      </w:r>
      <w:proofErr w:type="spellStart"/>
      <w:r w:rsidRPr="00CF7CE7">
        <w:rPr>
          <w:lang w:val="en-GB"/>
        </w:rPr>
        <w:t>werden</w:t>
      </w:r>
      <w:proofErr w:type="spellEnd"/>
      <w:r w:rsidRPr="00CF7CE7">
        <w:rPr>
          <w:lang w:val="en-GB"/>
        </w:rPr>
        <w:t xml:space="preserve"> QE</w:t>
      </w:r>
      <w:r>
        <w:rPr>
          <w:lang w:val="en-GB"/>
        </w:rPr>
        <w:t xml:space="preserve">LRCs </w:t>
      </w:r>
      <w:proofErr w:type="spellStart"/>
      <w:r>
        <w:rPr>
          <w:lang w:val="en-GB"/>
        </w:rPr>
        <w:t>abgekürzt</w:t>
      </w:r>
      <w:proofErr w:type="spellEnd"/>
      <w:r>
        <w:rPr>
          <w:lang w:val="en-GB"/>
        </w:rPr>
        <w:t>.</w:t>
      </w:r>
    </w:p>
  </w:footnote>
  <w:footnote w:id="1146">
    <w:p w14:paraId="4293D506" w14:textId="77777777" w:rsidR="00112190" w:rsidRDefault="00112190" w:rsidP="00112190">
      <w:pPr>
        <w:pStyle w:val="Funotentext"/>
      </w:pPr>
      <w:r>
        <w:rPr>
          <w:rStyle w:val="Funotenzeichen"/>
        </w:rPr>
        <w:footnoteRef/>
      </w:r>
      <w:r>
        <w:t xml:space="preserve"> Siehe: </w:t>
      </w:r>
      <w:hyperlink r:id="rId848" w:history="1">
        <w:r w:rsidRPr="005735F8">
          <w:rPr>
            <w:rStyle w:val="Hyperlink"/>
          </w:rPr>
          <w:t>https://climate.ec.europa.eu/eu-action/international-action-climate-change/kyoto-1st-commitment-period-2008-12_de</w:t>
        </w:r>
      </w:hyperlink>
      <w:r>
        <w:t xml:space="preserve"> - Zugegriffen: 30.12.2023. </w:t>
      </w:r>
    </w:p>
  </w:footnote>
  <w:footnote w:id="1147">
    <w:p w14:paraId="3C601362" w14:textId="77777777" w:rsidR="00112190" w:rsidRDefault="00112190" w:rsidP="00112190">
      <w:pPr>
        <w:pStyle w:val="Funotentext"/>
      </w:pPr>
      <w:r>
        <w:rPr>
          <w:rStyle w:val="Funotenzeichen"/>
        </w:rPr>
        <w:footnoteRef/>
      </w:r>
      <w:r>
        <w:t xml:space="preserve"> Siehe: </w:t>
      </w:r>
      <w:hyperlink r:id="rId849" w:history="1">
        <w:r w:rsidRPr="005735F8">
          <w:rPr>
            <w:rStyle w:val="Hyperlink"/>
          </w:rPr>
          <w:t>https://climate.ec.europa.eu/eu-action/international-action-climate-change/kyoto-2nd-commitment-period-2013-20_de</w:t>
        </w:r>
      </w:hyperlink>
      <w:r>
        <w:t xml:space="preserve"> - Zugegriffen: 30.12.2023. </w:t>
      </w:r>
    </w:p>
  </w:footnote>
  <w:footnote w:id="1148">
    <w:p w14:paraId="4CD46606" w14:textId="77777777" w:rsidR="00112190" w:rsidRDefault="00112190" w:rsidP="00112190">
      <w:pPr>
        <w:pStyle w:val="Funotentext"/>
      </w:pPr>
      <w:r>
        <w:rPr>
          <w:rStyle w:val="Funotenzeichen"/>
        </w:rPr>
        <w:footnoteRef/>
      </w:r>
      <w:r>
        <w:t xml:space="preserve"> Siehe: </w:t>
      </w:r>
      <w:hyperlink r:id="rId850" w:history="1">
        <w:r w:rsidRPr="00DB6AF3">
          <w:rPr>
            <w:rStyle w:val="Hyperlink"/>
          </w:rPr>
          <w:t>https://eur-lex.europa.eu/LexUriServ/LexUriServ.do?uri=OJ:L:2009:140:0016:0062:de:PDF</w:t>
        </w:r>
      </w:hyperlink>
      <w:r>
        <w:t xml:space="preserve"> – Zugegriffen: 22.12.2023. </w:t>
      </w:r>
    </w:p>
  </w:footnote>
  <w:footnote w:id="1149">
    <w:p w14:paraId="0B5AE2B4" w14:textId="77777777" w:rsidR="00112190" w:rsidRDefault="00112190" w:rsidP="00112190">
      <w:pPr>
        <w:pStyle w:val="Funotentext"/>
      </w:pPr>
      <w:r>
        <w:rPr>
          <w:rStyle w:val="Funotenzeichen"/>
        </w:rPr>
        <w:footnoteRef/>
      </w:r>
      <w:r>
        <w:t xml:space="preserve"> Siehe: </w:t>
      </w:r>
      <w:hyperlink r:id="rId851" w:history="1">
        <w:r w:rsidRPr="00DB6AF3">
          <w:rPr>
            <w:rStyle w:val="Hyperlink"/>
          </w:rPr>
          <w:t>https://www.erneuerbare-energien.de/EE/Navigation/DE/Recht-Politik/EU_Richtlinie_fuer_EE/eu_richtlinie_fuer_erneuerbare_energien.html</w:t>
        </w:r>
      </w:hyperlink>
      <w:r>
        <w:t xml:space="preserve"> - Zugegriffen: 22.12.2023. </w:t>
      </w:r>
    </w:p>
  </w:footnote>
  <w:footnote w:id="1150">
    <w:p w14:paraId="38B7C3CC" w14:textId="77777777" w:rsidR="00112190" w:rsidRDefault="00112190" w:rsidP="00112190">
      <w:pPr>
        <w:pStyle w:val="Funotentext"/>
      </w:pPr>
      <w:r>
        <w:rPr>
          <w:rStyle w:val="Funotenzeichen"/>
        </w:rPr>
        <w:footnoteRef/>
      </w:r>
      <w:r>
        <w:t xml:space="preserve"> Siehe Richtlinie 2009/31/EG, siehe: </w:t>
      </w:r>
      <w:hyperlink r:id="rId852" w:history="1">
        <w:r w:rsidRPr="001602B8">
          <w:rPr>
            <w:rStyle w:val="Hyperlink"/>
          </w:rPr>
          <w:t>https://eur-lex.europa.eu/legal-content/DE/TXT/PDF/?uri=CELEX:32009L0031</w:t>
        </w:r>
      </w:hyperlink>
      <w:r>
        <w:t xml:space="preserve"> – Zugegriffen: 07.01.2024.</w:t>
      </w:r>
    </w:p>
  </w:footnote>
  <w:footnote w:id="1151">
    <w:p w14:paraId="7CDF299F" w14:textId="77777777" w:rsidR="00112190" w:rsidRPr="0030111F" w:rsidRDefault="00112190" w:rsidP="00112190">
      <w:pPr>
        <w:pStyle w:val="Funotentext"/>
      </w:pPr>
      <w:r>
        <w:rPr>
          <w:rStyle w:val="Funotenzeichen"/>
        </w:rPr>
        <w:footnoteRef/>
      </w:r>
      <w:r w:rsidRPr="0030111F">
        <w:t xml:space="preserve"> Siehe: </w:t>
      </w:r>
      <w:hyperlink r:id="rId853" w:history="1">
        <w:r w:rsidRPr="0030111F">
          <w:rPr>
            <w:rStyle w:val="Hyperlink"/>
          </w:rPr>
          <w:t>https://climate.ec.europa.eu/index_de</w:t>
        </w:r>
      </w:hyperlink>
      <w:r w:rsidRPr="0030111F">
        <w:t xml:space="preserve"> </w:t>
      </w:r>
    </w:p>
  </w:footnote>
  <w:footnote w:id="1152">
    <w:p w14:paraId="184CA1AA" w14:textId="77777777" w:rsidR="00112190" w:rsidRDefault="00112190" w:rsidP="00112190">
      <w:pPr>
        <w:pStyle w:val="Funotentext"/>
      </w:pPr>
      <w:r>
        <w:rPr>
          <w:rStyle w:val="Funotenzeichen"/>
        </w:rPr>
        <w:footnoteRef/>
      </w:r>
      <w:r>
        <w:t xml:space="preserve"> Jörg Staude, Neuer EU-Klimakommissar verspricht strikten Klimaschutz. FR, 05.10.2023. Siehe:  </w:t>
      </w:r>
      <w:hyperlink r:id="rId854" w:history="1">
        <w:r w:rsidRPr="00D76C6A">
          <w:rPr>
            <w:rStyle w:val="Hyperlink"/>
          </w:rPr>
          <w:t>https://www.fr.de/politik/neuer-eu-klimakommissar-hoekstra-verspricht-strikten-klimaschutz-92560565.html</w:t>
        </w:r>
      </w:hyperlink>
      <w:r>
        <w:t xml:space="preserve"> - Zugegriffen: 26.12.2023.</w:t>
      </w:r>
    </w:p>
  </w:footnote>
  <w:footnote w:id="1153">
    <w:p w14:paraId="2ED53C24" w14:textId="388F471D" w:rsidR="001A182A" w:rsidRDefault="001A182A">
      <w:pPr>
        <w:pStyle w:val="Funotentext"/>
      </w:pPr>
      <w:r>
        <w:rPr>
          <w:rStyle w:val="Funotenzeichen"/>
        </w:rPr>
        <w:footnoteRef/>
      </w:r>
      <w:r>
        <w:t xml:space="preserve"> Siehe: </w:t>
      </w:r>
      <w:hyperlink r:id="rId855" w:history="1">
        <w:r w:rsidRPr="007C682A">
          <w:rPr>
            <w:rStyle w:val="Hyperlink"/>
          </w:rPr>
          <w:t>https://www.euractiv.de/section/energie-und-umwelt/news/anhoerung-zum-eu-klimakommissar-hoekstra-beruft-sich-auf-grenzen-seines-amtes/</w:t>
        </w:r>
      </w:hyperlink>
      <w:r>
        <w:t xml:space="preserve"> - Zugegriffen: 15.05.2025. </w:t>
      </w:r>
    </w:p>
  </w:footnote>
  <w:footnote w:id="1154">
    <w:p w14:paraId="4EE2B59F" w14:textId="77777777" w:rsidR="00112190" w:rsidRDefault="00112190" w:rsidP="00112190">
      <w:pPr>
        <w:pStyle w:val="Funotentext"/>
      </w:pPr>
      <w:r>
        <w:rPr>
          <w:rStyle w:val="Funotenzeichen"/>
        </w:rPr>
        <w:footnoteRef/>
      </w:r>
      <w:r>
        <w:t xml:space="preserve"> Siehe: </w:t>
      </w:r>
      <w:hyperlink r:id="rId856" w:history="1">
        <w:r w:rsidRPr="006A0612">
          <w:rPr>
            <w:rStyle w:val="Hyperlink"/>
          </w:rPr>
          <w:t>https://climate.ec.europa.eu/eu-action/eu-funding-climate-action/ner-300-programme_de</w:t>
        </w:r>
      </w:hyperlink>
      <w:r>
        <w:t xml:space="preserve"> - Zugegriffen: 19.01.2024. </w:t>
      </w:r>
    </w:p>
  </w:footnote>
  <w:footnote w:id="1155">
    <w:p w14:paraId="6A5E7DCF" w14:textId="77777777" w:rsidR="00112190" w:rsidRDefault="00112190" w:rsidP="00112190">
      <w:pPr>
        <w:pStyle w:val="Funotentext"/>
      </w:pPr>
      <w:r>
        <w:rPr>
          <w:rStyle w:val="Funotenzeichen"/>
        </w:rPr>
        <w:footnoteRef/>
      </w:r>
      <w:r>
        <w:t xml:space="preserve"> Siehe: </w:t>
      </w:r>
      <w:hyperlink r:id="rId857" w:history="1">
        <w:r w:rsidRPr="002B05B5">
          <w:rPr>
            <w:rStyle w:val="Hyperlink"/>
          </w:rPr>
          <w:t>https://vejamate.de/</w:t>
        </w:r>
      </w:hyperlink>
    </w:p>
  </w:footnote>
  <w:footnote w:id="1156">
    <w:p w14:paraId="460D615D" w14:textId="77777777" w:rsidR="00112190" w:rsidRDefault="00112190" w:rsidP="00112190">
      <w:pPr>
        <w:pStyle w:val="Funotentext"/>
      </w:pPr>
      <w:r>
        <w:rPr>
          <w:rStyle w:val="Funotenzeichen"/>
        </w:rPr>
        <w:footnoteRef/>
      </w:r>
      <w:r>
        <w:t xml:space="preserve"> Siehe: </w:t>
      </w:r>
      <w:hyperlink r:id="rId858" w:history="1">
        <w:r w:rsidRPr="006A0612">
          <w:rPr>
            <w:rStyle w:val="Hyperlink"/>
          </w:rPr>
          <w:t>https://ec.europa.eu/commission/presscorner/detail/en/MEMO_12_999</w:t>
        </w:r>
      </w:hyperlink>
      <w:r>
        <w:t xml:space="preserve"> - Zugegriffen: 19.01.2024.</w:t>
      </w:r>
    </w:p>
  </w:footnote>
  <w:footnote w:id="1157">
    <w:p w14:paraId="0A5D0D99" w14:textId="77777777" w:rsidR="00112190" w:rsidRDefault="00112190" w:rsidP="00112190">
      <w:pPr>
        <w:pStyle w:val="Funotentext"/>
      </w:pPr>
      <w:r>
        <w:rPr>
          <w:rStyle w:val="Funotenzeichen"/>
        </w:rPr>
        <w:footnoteRef/>
      </w:r>
      <w:r>
        <w:t xml:space="preserve"> Siehe: </w:t>
      </w:r>
      <w:hyperlink r:id="rId859" w:history="1">
        <w:r w:rsidRPr="006A0612">
          <w:rPr>
            <w:rStyle w:val="Hyperlink"/>
          </w:rPr>
          <w:t>https://ec.europa.eu/commission/presscorner/detail/en/MEMO_14_465</w:t>
        </w:r>
      </w:hyperlink>
      <w:r>
        <w:t xml:space="preserve"> - Zugegriffen: 19.01.2024.</w:t>
      </w:r>
    </w:p>
  </w:footnote>
  <w:footnote w:id="1158">
    <w:p w14:paraId="2EDF4DC5" w14:textId="77777777" w:rsidR="00112190" w:rsidRDefault="00112190" w:rsidP="00112190">
      <w:pPr>
        <w:pStyle w:val="Funotentext"/>
      </w:pPr>
      <w:r>
        <w:rPr>
          <w:rStyle w:val="Funotenzeichen"/>
        </w:rPr>
        <w:footnoteRef/>
      </w:r>
      <w:r>
        <w:t xml:space="preserve"> Siehe: </w:t>
      </w:r>
      <w:hyperlink r:id="rId860" w:history="1">
        <w:r w:rsidRPr="006A0612">
          <w:rPr>
            <w:rStyle w:val="Hyperlink"/>
          </w:rPr>
          <w:t>https://en.wikipedia.org/wiki/White_Rose_Project</w:t>
        </w:r>
      </w:hyperlink>
      <w:r>
        <w:t xml:space="preserve"> - Zugegriffen: 19.01.2024. </w:t>
      </w:r>
    </w:p>
  </w:footnote>
  <w:footnote w:id="1159">
    <w:p w14:paraId="47B75855" w14:textId="77777777" w:rsidR="00112190" w:rsidRDefault="00112190" w:rsidP="00112190">
      <w:pPr>
        <w:pStyle w:val="Funotentext"/>
      </w:pPr>
      <w:r>
        <w:rPr>
          <w:rStyle w:val="Funotenzeichen"/>
        </w:rPr>
        <w:footnoteRef/>
      </w:r>
      <w:r>
        <w:t xml:space="preserve"> Siehe: </w:t>
      </w:r>
      <w:hyperlink r:id="rId861" w:history="1">
        <w:r w:rsidRPr="006A0612">
          <w:rPr>
            <w:rStyle w:val="Hyperlink"/>
          </w:rPr>
          <w:t>https://www.aboutamazon.eu/news/sustainability/engie-inaugurates-the-biggest-agrovoltaic-park-in-italy-which-will-help-to-power-amazons-operations</w:t>
        </w:r>
      </w:hyperlink>
      <w:r>
        <w:t xml:space="preserve"> - Zugegriffen: 19.01.2024.</w:t>
      </w:r>
    </w:p>
  </w:footnote>
  <w:footnote w:id="1160">
    <w:p w14:paraId="5FC47F95" w14:textId="77777777" w:rsidR="00112190" w:rsidRDefault="00112190" w:rsidP="00112190">
      <w:pPr>
        <w:pStyle w:val="Funotentext"/>
      </w:pPr>
      <w:r>
        <w:rPr>
          <w:rStyle w:val="Funotenzeichen"/>
        </w:rPr>
        <w:footnoteRef/>
      </w:r>
      <w:r>
        <w:t xml:space="preserve"> Siehe: „</w:t>
      </w:r>
      <w:r w:rsidRPr="00B40E84">
        <w:rPr>
          <w:u w:val="single"/>
        </w:rPr>
        <w:t>THG-Emissionsreduktionsziel</w:t>
      </w:r>
      <w:r>
        <w:t>, 2. Der Europäische Rat hat das verbindliche Ziel der EU gebilligt, die EU-internen Treibhausgasemissionen bis 2030 um mindestens 40 % im Vergleich zu 1990 zu reduzieren. Hierzu gilt Folgendes: 2.1 Das Ziel wird von der EU gemeinsam in möglichst kostenwirksamer Weise erfüllt werden, wobei die vom Emissionshandelssystem (EHS) erfassten Sektoren und die nicht unter das EHS fallenden Sektoren eine Reduzierung um 43 % bzw. 30 % gegenüber 2005 erzielen müssen. 2.2 Alle Mitgliedstaaten werden sich an diesen Anstrengungen beteiligen, wobei Fairness- und Solidaritätsaspekte in ausgewogener Weise zu berücksichtigen sind.“ (…) „</w:t>
      </w:r>
      <w:r w:rsidRPr="00B40E84">
        <w:rPr>
          <w:u w:val="single"/>
        </w:rPr>
        <w:t>Erneuerbare Energiequellen und Energieeffizienz</w:t>
      </w:r>
      <w:r>
        <w:t xml:space="preserve">, 3. Für den bis 2030 </w:t>
      </w:r>
      <w:proofErr w:type="gramStart"/>
      <w:r>
        <w:t>zu erreichenden Anteil</w:t>
      </w:r>
      <w:proofErr w:type="gramEnd"/>
      <w:r>
        <w:t xml:space="preserve"> der erneuerbaren Energien am Energieverbrauch in der EU wird ein EU-Ziel von mindestens 27 % festgesetzt. Dieses Ziel wird auf EU-Ebene verbindlich sein. Es wird durch Beiträge der Mitgliedstaaten erfüllt werden, die von der Notwendigkeit geleitet werden, das EU-Ziel gemeinsam zu erreichen, ohne dass die Mitgliedstaaten daran gehindert werden, eigene ehrgeizigere nationale Ziele festzulegen und in Einklang mit den Regeln für staatliche Beihilfen zu unterstützen, wobei auch dem Ausmaß ihrer Integration in den Energiebinnenmarkt Rechnung getragen wird. Die Einspeisung von immer mehr Energie aus intermittierenden erneuerbaren Quellen erfordert einen stärker vernetzten Energiebinnenmarkt und geeignete Reservekapazitäten, wobei die Koordinierung erforderlichenfalls auf regionaler Ebene erfolgen sollte. Zur Verbesserung der Energieeffizienz bis 2030 gegenüber dem auf der Basis der derzeitigen Kriterien prognostizierten künftigen Energieverbrauch wird auf EU-Ebene ein indikatives Ziel von mindestens 27 % vorgegeben. Das Ziel wird in kostenwirksamer Weise erreicht und es wird die Wirksamkeit des EU-EHS im Hinblick auf einen Beitrag zur Erreichung der allgemeinen Klimaziele voll und ganz achten. Dies wird bis 2020 mit Blick auf ein EU-Niveau von 30 % überprüft. Die Kommission wird vorrangige Sektoren vorschlagen, in denen beträchtliche Energieeffizienzgewinne erlangt werden können, und Maßnahmen empfehlen, wie dieses Ziel auf EU-Ebene zu erreichen ist, wobei die EU und die Mitgliedstaaten ihre Anstrengungen im Regulierungs- und im Finanzbereich auf diese Sektoren konzentrieren. Diese Ziele werden unter vollständiger Achtung der Freiheit der Mitgliedstaaten zur Festlegung ihres Energiemixes erreicht. Aus den Zielen werden keine national verbindlichen Ziele abgeleitet. Den einzelnen Mitgliedstaaten steht es frei, eigene höhere nationale Ziele festzulegen.“ Siehe: </w:t>
      </w:r>
      <w:hyperlink r:id="rId862" w:history="1">
        <w:r w:rsidRPr="002D373A">
          <w:rPr>
            <w:rStyle w:val="Hyperlink"/>
          </w:rPr>
          <w:t>https://data.consilium.europa.eu/doc/document/ST-169-2014-INIT/de/pdf</w:t>
        </w:r>
      </w:hyperlink>
      <w:r>
        <w:t xml:space="preserve"> - Zugegriffen: 30.12.2023. Siehe zu diesen Zielen auch: </w:t>
      </w:r>
      <w:hyperlink r:id="rId863" w:history="1">
        <w:r w:rsidRPr="00DB6AF3">
          <w:rPr>
            <w:rStyle w:val="Hyperlink"/>
          </w:rPr>
          <w:t>https://www.erneuerbare-energien.de/EE/Navigation/DE/Recht-Politik/EU_Klima_Energierahmen/eu_klima_und_energierahmen.html</w:t>
        </w:r>
      </w:hyperlink>
      <w:r>
        <w:t xml:space="preserve"> - Zugegriffen: 22: 12.2023.</w:t>
      </w:r>
    </w:p>
  </w:footnote>
  <w:footnote w:id="1161">
    <w:p w14:paraId="105F54A5" w14:textId="77777777" w:rsidR="00112190" w:rsidRDefault="00112190" w:rsidP="00112190">
      <w:pPr>
        <w:pStyle w:val="Funotentext"/>
      </w:pPr>
      <w:r>
        <w:rPr>
          <w:rStyle w:val="Funotenzeichen"/>
        </w:rPr>
        <w:footnoteRef/>
      </w:r>
      <w:r>
        <w:t xml:space="preserve"> Siehe: </w:t>
      </w:r>
      <w:hyperlink r:id="rId864" w:history="1">
        <w:r w:rsidRPr="002D373A">
          <w:rPr>
            <w:rStyle w:val="Hyperlink"/>
          </w:rPr>
          <w:t>https://www.consilium.europa.eu/de/meetings/european-council/2019/12/12-13/</w:t>
        </w:r>
      </w:hyperlink>
      <w:r>
        <w:t xml:space="preserve"> - Zugegriffen: 30.12.2023. Siehe das die Schlussfolgerungen des EU-Gipfels vom 12.12.2019, Para: 1: „Schlussfolgerungen – 12. Dezember 2019, I. KLIMAWANDEL, 1. Angesichts der neuesten wissenschaftlichen Erkenntnisse und der Notwendigkeit, den weltweiten Klimaschutz zu intensivieren, unterstützt der Europäische Rat das Ziel, bis 2050 im Einklang mit den Zielen des Übereinkommens von Paris eine klimaneutrale Union zu erreichen. Ein Mitgliedstaat kann sich zum gegenwärtigen Zeitpunkt nicht verpflichten, dieses Ziel für sich umzusetzen, und der Europäische Rat wird im Juni 2020 darauf zurückkommen.“ (…) siehe: </w:t>
      </w:r>
      <w:hyperlink r:id="rId865" w:history="1">
        <w:r w:rsidRPr="002D373A">
          <w:rPr>
            <w:rStyle w:val="Hyperlink"/>
          </w:rPr>
          <w:t>https://www.consilium.europa.eu/media/41779/12-euco-final-conclusions-de.pdf</w:t>
        </w:r>
      </w:hyperlink>
      <w:r>
        <w:t xml:space="preserve"> - Zugegriffen: 30.12.2023. Das Land, dass sich damals nicht verpflichten wollte, war Polen. </w:t>
      </w:r>
    </w:p>
  </w:footnote>
  <w:footnote w:id="1162">
    <w:p w14:paraId="5DC5EBAA" w14:textId="25E0D991" w:rsidR="005A2C3F" w:rsidRDefault="005A2C3F">
      <w:pPr>
        <w:pStyle w:val="Funotentext"/>
      </w:pPr>
      <w:r>
        <w:rPr>
          <w:rStyle w:val="Funotenzeichen"/>
        </w:rPr>
        <w:footnoteRef/>
      </w:r>
      <w:r>
        <w:t xml:space="preserve"> </w:t>
      </w:r>
      <w:r w:rsidR="00BC6100">
        <w:t xml:space="preserve">Hendrick Kafsack, Johannes Pennekamp. Die Fallstricke des EU-Klimaziels. FAZ, 03.07.2025. </w:t>
      </w:r>
    </w:p>
  </w:footnote>
  <w:footnote w:id="1163">
    <w:p w14:paraId="618AD640" w14:textId="4B333BCD" w:rsidR="00BC6100" w:rsidRDefault="00BC6100" w:rsidP="00BC6100">
      <w:pPr>
        <w:pStyle w:val="Funotentext"/>
      </w:pPr>
      <w:r>
        <w:rPr>
          <w:rStyle w:val="Funotenzeichen"/>
        </w:rPr>
        <w:footnoteRef/>
      </w:r>
      <w:r>
        <w:t xml:space="preserve"> Hendrick Kafsack, Johannes Pennekamp. Die Fallstricke des EU-Klimaziels. FAZ, 03.07.2025. </w:t>
      </w:r>
      <w:r w:rsidR="00BC0F2D">
        <w:t xml:space="preserve">Siehe auch: EU-Kommission will Klimaziel für 2040 aufweichen. FAZ, 01.07.2025. </w:t>
      </w:r>
    </w:p>
  </w:footnote>
  <w:footnote w:id="1164">
    <w:p w14:paraId="10FB094E" w14:textId="77777777" w:rsidR="00D53D1F" w:rsidRDefault="00D53D1F" w:rsidP="00D53D1F">
      <w:pPr>
        <w:pStyle w:val="Funotentext"/>
      </w:pPr>
      <w:r>
        <w:rPr>
          <w:rStyle w:val="Funotenzeichen"/>
        </w:rPr>
        <w:footnoteRef/>
      </w:r>
      <w:r>
        <w:t xml:space="preserve"> Klimaschutzgesetz, Abschnitt 2, Klimaschutzziele und Jahresemissionsmengen, § 3 Nationale Klimaschutzziele, Abs. (1). u. Abs. (2) </w:t>
      </w:r>
    </w:p>
  </w:footnote>
  <w:footnote w:id="1165">
    <w:p w14:paraId="343EE56E" w14:textId="77777777" w:rsidR="00112190" w:rsidRDefault="00112190" w:rsidP="00112190">
      <w:pPr>
        <w:pStyle w:val="Funotentext"/>
      </w:pPr>
      <w:r>
        <w:rPr>
          <w:rStyle w:val="Funotenzeichen"/>
        </w:rPr>
        <w:footnoteRef/>
      </w:r>
      <w:r>
        <w:t xml:space="preserve"> Richtlinie 2003/87/EG des Europäischen Parlaments und des Rates vom 13. Oktober 2003 über ein System für den Handel mit Treibhausgasemissionszertifikaten in der Union und zur Änderung der Richtlinie 96/61/EG des Rates, </w:t>
      </w:r>
      <w:proofErr w:type="spellStart"/>
      <w:r>
        <w:t>ABl.</w:t>
      </w:r>
      <w:proofErr w:type="spellEnd"/>
      <w:r>
        <w:t xml:space="preserve"> L 275 vom 25.10.2003, S. 32. Siehe: </w:t>
      </w:r>
      <w:hyperlink r:id="rId866" w:history="1">
        <w:r w:rsidRPr="00DB6AF3">
          <w:rPr>
            <w:rStyle w:val="Hyperlink"/>
          </w:rPr>
          <w:t>https://de.wikipedia.org/wiki/EU-Emissionshandel</w:t>
        </w:r>
      </w:hyperlink>
      <w:r>
        <w:t xml:space="preserve"> - Zugegriffen: 22.12.2023. </w:t>
      </w:r>
    </w:p>
  </w:footnote>
  <w:footnote w:id="1166">
    <w:p w14:paraId="6BF47C3C" w14:textId="77777777" w:rsidR="00112190" w:rsidRDefault="00112190" w:rsidP="00112190">
      <w:pPr>
        <w:pStyle w:val="Funotentext"/>
      </w:pPr>
      <w:r>
        <w:rPr>
          <w:rStyle w:val="Funotenzeichen"/>
        </w:rPr>
        <w:footnoteRef/>
      </w:r>
      <w:r>
        <w:t xml:space="preserve"> </w:t>
      </w:r>
      <w:r w:rsidRPr="00875C73">
        <w:t>Link zu</w:t>
      </w:r>
      <w:r>
        <w:t>m Artikel von</w:t>
      </w:r>
      <w:r w:rsidRPr="00875C73">
        <w:t xml:space="preserve"> </w:t>
      </w:r>
      <w:r>
        <w:t>Weishaar (2020)</w:t>
      </w:r>
      <w:r w:rsidRPr="00875C73">
        <w:t xml:space="preserve">: </w:t>
      </w:r>
      <w:hyperlink r:id="rId867" w:history="1">
        <w:r w:rsidRPr="00875C73">
          <w:rPr>
            <w:rStyle w:val="Hyperlink"/>
          </w:rPr>
          <w:t>https://pure.rug.nl/ws/portalfiles/portal/194764335/PeetersMarjanEl_2020_28EUEmissionsTradingI_ResearchHandbookOnEUE.pdf</w:t>
        </w:r>
      </w:hyperlink>
      <w:r w:rsidRPr="00875C73">
        <w:t xml:space="preserve"> - Zugegriffen: 28.01.2024.</w:t>
      </w:r>
    </w:p>
  </w:footnote>
  <w:footnote w:id="1167">
    <w:p w14:paraId="1D4EEA62" w14:textId="77777777" w:rsidR="00112190" w:rsidRDefault="00112190" w:rsidP="00112190">
      <w:pPr>
        <w:pStyle w:val="Funotentext"/>
      </w:pPr>
      <w:r>
        <w:rPr>
          <w:rStyle w:val="Funotenzeichen"/>
        </w:rPr>
        <w:footnoteRef/>
      </w:r>
      <w:r>
        <w:t xml:space="preserve"> Kyoto-Protokoll, Art. 7: „Die in Anlage B aufgeführten Vertragsparteien können sich an dem Handel mit Emissionen beteiligen, um ihre Verpflichtungen aus Artikel 3 zu erfüllen. Ein derartiger Handel erfolgt ergänzend zu den im eigenen Land ergriffenen Maßnahmen zur Erfüllung der quantifizierten Emissionsbegrenzungs- und -</w:t>
      </w:r>
      <w:proofErr w:type="spellStart"/>
      <w:r>
        <w:t>reduktionsverpflichtungen</w:t>
      </w:r>
      <w:proofErr w:type="spellEnd"/>
      <w:r>
        <w:t xml:space="preserve"> aus Artikel 3.“</w:t>
      </w:r>
    </w:p>
  </w:footnote>
  <w:footnote w:id="1168">
    <w:p w14:paraId="77826A52" w14:textId="77777777" w:rsidR="00112190" w:rsidRDefault="00112190" w:rsidP="00112190">
      <w:pPr>
        <w:pStyle w:val="Funotentext"/>
      </w:pPr>
      <w:r>
        <w:rPr>
          <w:rStyle w:val="Funotenzeichen"/>
        </w:rPr>
        <w:footnoteRef/>
      </w:r>
      <w:r>
        <w:t xml:space="preserve"> S. 39, und S. 35-41. </w:t>
      </w:r>
      <w:r w:rsidRPr="00290D0A">
        <w:t>BMWK, Die Energie der Zukunft, 8. Monitoring Bericht zur Energiewende, Berichtsjahre 2018 bis 2019, Stand 2021.</w:t>
      </w:r>
    </w:p>
  </w:footnote>
  <w:footnote w:id="1169">
    <w:p w14:paraId="6135B8E2" w14:textId="77777777" w:rsidR="00112190" w:rsidRDefault="00112190" w:rsidP="00112190">
      <w:pPr>
        <w:pStyle w:val="Funotentext"/>
      </w:pPr>
      <w:r>
        <w:rPr>
          <w:rStyle w:val="Funotenzeichen"/>
        </w:rPr>
        <w:footnoteRef/>
      </w:r>
      <w:r>
        <w:t xml:space="preserve"> Siehe: </w:t>
      </w:r>
      <w:hyperlink r:id="rId868" w:history="1">
        <w:r w:rsidRPr="005735F8">
          <w:rPr>
            <w:rStyle w:val="Hyperlink"/>
          </w:rPr>
          <w:t>https://climate.ec.europa.eu/eu-action/effort-sharing-member-states-emission-targets/effort-sharing-2021-2030-targets-and-flexibilities_de</w:t>
        </w:r>
      </w:hyperlink>
      <w:r>
        <w:t xml:space="preserve"> - Zugegriffen: 30.12.2023. </w:t>
      </w:r>
    </w:p>
  </w:footnote>
  <w:footnote w:id="1170">
    <w:p w14:paraId="6502A1EC" w14:textId="77777777" w:rsidR="00112190" w:rsidRDefault="00112190" w:rsidP="00112190">
      <w:pPr>
        <w:pStyle w:val="Funotentext"/>
      </w:pPr>
      <w:r>
        <w:rPr>
          <w:rStyle w:val="Funotenzeichen"/>
        </w:rPr>
        <w:footnoteRef/>
      </w:r>
      <w:r>
        <w:t xml:space="preserve"> Siehe: </w:t>
      </w:r>
      <w:hyperlink r:id="rId869" w:history="1">
        <w:r w:rsidRPr="005735F8">
          <w:rPr>
            <w:rStyle w:val="Hyperlink"/>
          </w:rPr>
          <w:t>https://eur-lex.europa.eu/LexUriServ/LexUriServ.do?uri=OJ:L:2009:140:0136:0148:DE:PDF</w:t>
        </w:r>
      </w:hyperlink>
      <w:r>
        <w:t xml:space="preserve"> – Zugegriffen: 30.12.2023. </w:t>
      </w:r>
    </w:p>
  </w:footnote>
  <w:footnote w:id="1171">
    <w:p w14:paraId="310AC330" w14:textId="77777777" w:rsidR="00112190" w:rsidRDefault="00112190" w:rsidP="00112190">
      <w:pPr>
        <w:pStyle w:val="Funotentext"/>
      </w:pPr>
      <w:r>
        <w:rPr>
          <w:rStyle w:val="Funotenzeichen"/>
        </w:rPr>
        <w:footnoteRef/>
      </w:r>
      <w:r>
        <w:t xml:space="preserve"> S. 23, siehe: </w:t>
      </w:r>
      <w:hyperlink r:id="rId870" w:history="1">
        <w:r w:rsidRPr="005735F8">
          <w:rPr>
            <w:rStyle w:val="Hyperlink"/>
          </w:rPr>
          <w:t>https://www.europarl.europa.eu/RegData/etudes/BRIE/2021/698812/EPRS_BRI(2021)698812_EN.pdf</w:t>
        </w:r>
      </w:hyperlink>
      <w:r>
        <w:t xml:space="preserve"> – Zugegriffen: 30.12.2023. </w:t>
      </w:r>
    </w:p>
  </w:footnote>
  <w:footnote w:id="1172">
    <w:p w14:paraId="04EEC3DC" w14:textId="77777777" w:rsidR="00112190" w:rsidRDefault="00112190" w:rsidP="00112190">
      <w:pPr>
        <w:pStyle w:val="Funotentext"/>
      </w:pPr>
      <w:r>
        <w:rPr>
          <w:rStyle w:val="Funotenzeichen"/>
        </w:rPr>
        <w:footnoteRef/>
      </w:r>
      <w:r>
        <w:t xml:space="preserve"> „2.1 Das Ziel wird von der EU gemeinsam in möglichst kostenwirksamer Weise erfüllt werden, wobei die vom Emissionshandelssystem (EHS) erfassten Sektoren und die nicht unter das EHS fallenden Sektoren eine Reduzierung um 43 % bzw. 30 % gegenüber 2005 erzielen müssen“. Siehe: </w:t>
      </w:r>
      <w:hyperlink r:id="rId871" w:history="1">
        <w:r w:rsidRPr="002D373A">
          <w:rPr>
            <w:rStyle w:val="Hyperlink"/>
          </w:rPr>
          <w:t>https://data.consilium.europa.eu/doc/document/ST-169-2014-INIT/de/pdf</w:t>
        </w:r>
      </w:hyperlink>
      <w:r>
        <w:t xml:space="preserve"> - Zugegriffen: 30.12.2023.</w:t>
      </w:r>
    </w:p>
  </w:footnote>
  <w:footnote w:id="1173">
    <w:p w14:paraId="56DC83F8" w14:textId="77777777" w:rsidR="00112190" w:rsidRDefault="00112190" w:rsidP="00112190">
      <w:pPr>
        <w:pStyle w:val="Funotentext"/>
      </w:pPr>
      <w:r>
        <w:rPr>
          <w:rStyle w:val="Funotenzeichen"/>
        </w:rPr>
        <w:footnoteRef/>
      </w:r>
      <w:r>
        <w:t xml:space="preserve"> Siehe: </w:t>
      </w:r>
      <w:hyperlink r:id="rId872" w:history="1">
        <w:r w:rsidRPr="002D373A">
          <w:rPr>
            <w:rStyle w:val="Hyperlink"/>
          </w:rPr>
          <w:t>https://eur-lex.europa.eu/legal-content/DE/TXT/?uri=CELEX:32018R0841</w:t>
        </w:r>
      </w:hyperlink>
      <w:r>
        <w:t xml:space="preserve"> – Zugegriffen: 30.12.2023. </w:t>
      </w:r>
    </w:p>
  </w:footnote>
  <w:footnote w:id="1174">
    <w:p w14:paraId="64BFB202" w14:textId="77777777" w:rsidR="00112190" w:rsidRDefault="00112190" w:rsidP="00112190">
      <w:pPr>
        <w:pStyle w:val="Funotentext"/>
      </w:pPr>
      <w:r>
        <w:rPr>
          <w:rStyle w:val="Funotenzeichen"/>
        </w:rPr>
        <w:footnoteRef/>
      </w:r>
      <w:r>
        <w:t xml:space="preserve"> Beispiel: Entscheidung der Kommission, 2006/944/EG, 14. Dezember 2006, über die gemäß der Entscheidung 2002/358/EG des Rates erfolgende Festlegung der Emissionsmengen, die der Gemeinschaft und jedem ihrer Mitgliedstaaten im Rahmen des Kyoto-Protokolls zugeteilt werden, Stand: 12.11.2013. </w:t>
      </w:r>
    </w:p>
  </w:footnote>
  <w:footnote w:id="1175">
    <w:p w14:paraId="291CECAA" w14:textId="77777777" w:rsidR="00112190" w:rsidRDefault="00112190" w:rsidP="00112190">
      <w:pPr>
        <w:pStyle w:val="Funotentext"/>
      </w:pPr>
      <w:r>
        <w:rPr>
          <w:rStyle w:val="Funotenzeichen"/>
        </w:rPr>
        <w:footnoteRef/>
      </w:r>
      <w:r>
        <w:t xml:space="preserve"> </w:t>
      </w:r>
      <w:r w:rsidRPr="004F33C2">
        <w:t xml:space="preserve">Verordnung (EU) 2018/842, 30. Mai 2018. Siehe: </w:t>
      </w:r>
      <w:hyperlink r:id="rId873" w:history="1">
        <w:r w:rsidRPr="004F33C2">
          <w:rPr>
            <w:rStyle w:val="Hyperlink"/>
          </w:rPr>
          <w:t>https://eur-lex.europa.eu/legal-content/DE/TXT/PDF/?uri=CELEX:32018R0842</w:t>
        </w:r>
      </w:hyperlink>
      <w:r w:rsidRPr="004F33C2">
        <w:t xml:space="preserve"> </w:t>
      </w:r>
      <w:r>
        <w:t xml:space="preserve">– Zugegriffen: 29.12.2023. </w:t>
      </w:r>
    </w:p>
  </w:footnote>
  <w:footnote w:id="1176">
    <w:p w14:paraId="55B00BD9" w14:textId="77777777" w:rsidR="00112190" w:rsidRDefault="00112190" w:rsidP="00112190">
      <w:pPr>
        <w:pStyle w:val="Funotentext"/>
      </w:pPr>
      <w:r>
        <w:rPr>
          <w:rStyle w:val="Funotenzeichen"/>
        </w:rPr>
        <w:footnoteRef/>
      </w:r>
      <w:r>
        <w:t xml:space="preserve"> Siehe Art. 12, Art. 13 und Art. 14, in: </w:t>
      </w:r>
      <w:r w:rsidRPr="004F33C2">
        <w:t xml:space="preserve">Verordnung (EU) 2018/842, 30. Mai 2018. Siehe: </w:t>
      </w:r>
      <w:hyperlink r:id="rId874" w:history="1">
        <w:r w:rsidRPr="004F33C2">
          <w:rPr>
            <w:rStyle w:val="Hyperlink"/>
          </w:rPr>
          <w:t>https://eur-lex.europa.eu/legal-content/DE/TXT/PDF/?uri=CELEX:32018R0842</w:t>
        </w:r>
      </w:hyperlink>
      <w:r w:rsidRPr="004F33C2">
        <w:t xml:space="preserve"> </w:t>
      </w:r>
      <w:r>
        <w:t xml:space="preserve">– Zugegriffen: 29.12.2023. </w:t>
      </w:r>
    </w:p>
  </w:footnote>
  <w:footnote w:id="1177">
    <w:p w14:paraId="5DC378B8" w14:textId="77777777" w:rsidR="00112190" w:rsidRDefault="00112190" w:rsidP="00112190">
      <w:pPr>
        <w:pStyle w:val="Funotentext"/>
      </w:pPr>
      <w:r>
        <w:rPr>
          <w:rStyle w:val="Funotenzeichen"/>
        </w:rPr>
        <w:footnoteRef/>
      </w:r>
      <w:r>
        <w:t xml:space="preserve"> Siehe: </w:t>
      </w:r>
      <w:hyperlink r:id="rId875" w:history="1">
        <w:r w:rsidRPr="005735F8">
          <w:rPr>
            <w:rStyle w:val="Hyperlink"/>
          </w:rPr>
          <w:t>https://eur-lex.europa.eu/eli/reg/2023/857</w:t>
        </w:r>
      </w:hyperlink>
      <w:r>
        <w:t xml:space="preserve"> - Zugegriffen: 30.12.2023.</w:t>
      </w:r>
    </w:p>
  </w:footnote>
  <w:footnote w:id="1178">
    <w:p w14:paraId="2EFB1279" w14:textId="77777777" w:rsidR="00112190" w:rsidRDefault="00112190" w:rsidP="00112190">
      <w:pPr>
        <w:pStyle w:val="Funotentext"/>
      </w:pPr>
      <w:r>
        <w:rPr>
          <w:rStyle w:val="Funotenzeichen"/>
        </w:rPr>
        <w:footnoteRef/>
      </w:r>
      <w:r>
        <w:t xml:space="preserve"> Erwägungsgrund (13), eine Quelle dafür finden sich dort nicht. Siehe: </w:t>
      </w:r>
      <w:hyperlink r:id="rId876" w:history="1">
        <w:r w:rsidRPr="002D373A">
          <w:rPr>
            <w:rStyle w:val="Hyperlink"/>
          </w:rPr>
          <w:t>https://eur-lex.europa.eu/legal-content/DE/TXT/PDF/?uri=CELEX:32023R0857&amp;qid=1707056922612</w:t>
        </w:r>
      </w:hyperlink>
      <w:r>
        <w:t xml:space="preserve"> – Zugegriffen: 30.12.2023.</w:t>
      </w:r>
    </w:p>
  </w:footnote>
  <w:footnote w:id="1179">
    <w:p w14:paraId="71006773" w14:textId="77777777" w:rsidR="00112190" w:rsidRPr="00C61F5B" w:rsidRDefault="00112190" w:rsidP="00112190">
      <w:pPr>
        <w:pStyle w:val="Funotentext"/>
      </w:pPr>
      <w:r>
        <w:rPr>
          <w:rStyle w:val="Funotenzeichen"/>
        </w:rPr>
        <w:footnoteRef/>
      </w:r>
      <w:r w:rsidRPr="00C61F5B">
        <w:t xml:space="preserve"> Durc</w:t>
      </w:r>
      <w:r>
        <w:t xml:space="preserve">hführungsbeschluss (EU) 2020/2126, 16. </w:t>
      </w:r>
      <w:r w:rsidRPr="00C61F5B">
        <w:t>Dezemb</w:t>
      </w:r>
      <w:r>
        <w:t xml:space="preserve">er 2020, siehe: </w:t>
      </w:r>
      <w:hyperlink r:id="rId877" w:history="1">
        <w:r w:rsidRPr="005735F8">
          <w:rPr>
            <w:rStyle w:val="Hyperlink"/>
          </w:rPr>
          <w:t>https://eur-lex.europa.eu/legal-content/DE/TXT/PDF/?uri=CELEX:32020D2126</w:t>
        </w:r>
      </w:hyperlink>
      <w:r>
        <w:t xml:space="preserve"> – Zugegriffen: 30.12.2023. </w:t>
      </w:r>
    </w:p>
  </w:footnote>
  <w:footnote w:id="1180">
    <w:p w14:paraId="378D8929" w14:textId="77777777" w:rsidR="00112190" w:rsidRDefault="00112190" w:rsidP="00112190">
      <w:pPr>
        <w:pStyle w:val="Funotentext"/>
      </w:pPr>
      <w:r>
        <w:rPr>
          <w:rStyle w:val="Funotenzeichen"/>
        </w:rPr>
        <w:footnoteRef/>
      </w:r>
      <w:r>
        <w:t xml:space="preserve"> Durchführungsbeschluss (EU) 2023/1319, 28. Juni 2023, siehe: </w:t>
      </w:r>
      <w:hyperlink r:id="rId878" w:history="1">
        <w:r w:rsidRPr="005735F8">
          <w:rPr>
            <w:rStyle w:val="Hyperlink"/>
          </w:rPr>
          <w:t>https://eur-lex.europa.eu/legal-content/EN/TXT/PDF/?uri=CELEX:32023D1319</w:t>
        </w:r>
      </w:hyperlink>
      <w:r>
        <w:t xml:space="preserve"> – Zugegriffen: 30.12.2023. </w:t>
      </w:r>
    </w:p>
  </w:footnote>
  <w:footnote w:id="1181">
    <w:p w14:paraId="4BD3B067" w14:textId="77777777" w:rsidR="00112190" w:rsidRPr="00C61F5B" w:rsidRDefault="00112190" w:rsidP="00112190">
      <w:pPr>
        <w:pStyle w:val="Funotentext"/>
      </w:pPr>
      <w:r>
        <w:rPr>
          <w:rStyle w:val="Funotenzeichen"/>
        </w:rPr>
        <w:footnoteRef/>
      </w:r>
      <w:r w:rsidRPr="00C61F5B">
        <w:t xml:space="preserve"> Siehe Effort Sharing 2021-2030: </w:t>
      </w:r>
      <w:proofErr w:type="spellStart"/>
      <w:r w:rsidRPr="00C61F5B">
        <w:t>targets</w:t>
      </w:r>
      <w:proofErr w:type="spellEnd"/>
      <w:r w:rsidRPr="00C61F5B">
        <w:t xml:space="preserve"> and </w:t>
      </w:r>
      <w:proofErr w:type="spellStart"/>
      <w:r w:rsidRPr="00C61F5B">
        <w:t>flexibilities</w:t>
      </w:r>
      <w:proofErr w:type="spellEnd"/>
      <w:r w:rsidRPr="00C61F5B">
        <w:t xml:space="preserve">, in: </w:t>
      </w:r>
      <w:hyperlink r:id="rId879" w:history="1">
        <w:r w:rsidRPr="00C61F5B">
          <w:rPr>
            <w:rStyle w:val="Hyperlink"/>
          </w:rPr>
          <w:t>https://climate.ec.europa.eu/eu-action/effort-sharing-member-states-emission-targets/effort-sharing-2021-2030-targets-and-flexibilities_en</w:t>
        </w:r>
      </w:hyperlink>
      <w:r w:rsidRPr="00C61F5B">
        <w:t xml:space="preserve"> - Zugegr</w:t>
      </w:r>
      <w:r>
        <w:t xml:space="preserve">iffen: 30.12.2023. </w:t>
      </w:r>
    </w:p>
  </w:footnote>
  <w:footnote w:id="1182">
    <w:p w14:paraId="13233656" w14:textId="77777777" w:rsidR="00112190" w:rsidRPr="000842C6" w:rsidRDefault="00112190" w:rsidP="00112190">
      <w:pPr>
        <w:pStyle w:val="Funotentext"/>
        <w:rPr>
          <w:lang w:val="en-GB"/>
        </w:rPr>
      </w:pPr>
      <w:r>
        <w:rPr>
          <w:rStyle w:val="Funotenzeichen"/>
        </w:rPr>
        <w:footnoteRef/>
      </w:r>
      <w:r w:rsidRPr="000842C6">
        <w:rPr>
          <w:lang w:val="en-GB"/>
        </w:rPr>
        <w:t xml:space="preserve"> Briefing EU Legislation in Progress. Revising the </w:t>
      </w:r>
      <w:r>
        <w:rPr>
          <w:lang w:val="en-GB"/>
        </w:rPr>
        <w:t xml:space="preserve">Effort-sharing Regulation for 2021-2030: ‘Fit for 55’package:  </w:t>
      </w:r>
      <w:hyperlink r:id="rId880" w:history="1">
        <w:r w:rsidRPr="005735F8">
          <w:rPr>
            <w:rStyle w:val="Hyperlink"/>
            <w:lang w:val="en-GB"/>
          </w:rPr>
          <w:t>https://www.europarl.europa.eu/RegData/etudes/BRIE/2021/698812/EPRS_BRI(2021)698812_EN.pdf</w:t>
        </w:r>
      </w:hyperlink>
      <w:r>
        <w:rPr>
          <w:lang w:val="en-GB"/>
        </w:rPr>
        <w:t xml:space="preserve"> – </w:t>
      </w:r>
      <w:proofErr w:type="spellStart"/>
      <w:r>
        <w:rPr>
          <w:lang w:val="en-GB"/>
        </w:rPr>
        <w:t>oder</w:t>
      </w:r>
      <w:proofErr w:type="spellEnd"/>
      <w:r>
        <w:rPr>
          <w:lang w:val="en-GB"/>
        </w:rPr>
        <w:t xml:space="preserve"> </w:t>
      </w:r>
      <w:proofErr w:type="spellStart"/>
      <w:r>
        <w:rPr>
          <w:lang w:val="en-GB"/>
        </w:rPr>
        <w:t>hier</w:t>
      </w:r>
      <w:proofErr w:type="spellEnd"/>
      <w:r>
        <w:rPr>
          <w:lang w:val="en-GB"/>
        </w:rPr>
        <w:t xml:space="preserve">: </w:t>
      </w:r>
      <w:hyperlink r:id="rId881" w:history="1">
        <w:r w:rsidRPr="005735F8">
          <w:rPr>
            <w:rStyle w:val="Hyperlink"/>
            <w:lang w:val="en-GB"/>
          </w:rPr>
          <w:t>https://www.europarl.europa.eu/thinktank/en/document/EPRS_BRI(2021)698812</w:t>
        </w:r>
      </w:hyperlink>
      <w:r>
        <w:rPr>
          <w:lang w:val="en-GB"/>
        </w:rPr>
        <w:t xml:space="preserve"> - </w:t>
      </w:r>
      <w:proofErr w:type="spellStart"/>
      <w:r>
        <w:rPr>
          <w:lang w:val="en-GB"/>
        </w:rPr>
        <w:t>Zugegriffen</w:t>
      </w:r>
      <w:proofErr w:type="spellEnd"/>
      <w:r>
        <w:rPr>
          <w:lang w:val="en-GB"/>
        </w:rPr>
        <w:t xml:space="preserve">: 30.12.2023. </w:t>
      </w:r>
    </w:p>
  </w:footnote>
  <w:footnote w:id="1183">
    <w:p w14:paraId="48E84FB1" w14:textId="77777777" w:rsidR="00112190" w:rsidRPr="000842C6" w:rsidRDefault="00112190" w:rsidP="00112190">
      <w:pPr>
        <w:pStyle w:val="Funotentext"/>
      </w:pPr>
      <w:r>
        <w:rPr>
          <w:rStyle w:val="Funotenzeichen"/>
        </w:rPr>
        <w:footnoteRef/>
      </w:r>
      <w:r w:rsidRPr="000842C6">
        <w:t xml:space="preserve"> </w:t>
      </w:r>
      <w:r>
        <w:t>S. 5, e</w:t>
      </w:r>
      <w:r w:rsidRPr="000842C6">
        <w:t>bd.</w:t>
      </w:r>
      <w:r>
        <w:t xml:space="preserve">, s.o. die Fußnote, im Briefing für das Parlament: </w:t>
      </w:r>
      <w:r w:rsidRPr="000842C6">
        <w:t xml:space="preserve"> </w:t>
      </w:r>
      <w:hyperlink r:id="rId882" w:history="1">
        <w:r w:rsidRPr="005735F8">
          <w:rPr>
            <w:rStyle w:val="Hyperlink"/>
          </w:rPr>
          <w:t>https://www.europarl.europa.eu/RegData/etudes/BRIE/2021/698812/EPRS_BRI(2021)698812_EN.pdf</w:t>
        </w:r>
      </w:hyperlink>
      <w:r>
        <w:t xml:space="preserve"> – Zugegriffen: 30.12.2023. </w:t>
      </w:r>
    </w:p>
  </w:footnote>
  <w:footnote w:id="1184">
    <w:p w14:paraId="134619F6" w14:textId="77777777" w:rsidR="00112190" w:rsidRDefault="00112190" w:rsidP="00112190">
      <w:pPr>
        <w:pStyle w:val="Funotentext"/>
      </w:pPr>
      <w:r>
        <w:rPr>
          <w:rStyle w:val="Funotenzeichen"/>
        </w:rPr>
        <w:footnoteRef/>
      </w:r>
      <w:r>
        <w:t xml:space="preserve"> Siehe: </w:t>
      </w:r>
      <w:hyperlink r:id="rId883" w:history="1">
        <w:r w:rsidRPr="0088181F">
          <w:rPr>
            <w:rStyle w:val="Hyperlink"/>
          </w:rPr>
          <w:t>https://www.bmwk.de/Redaktion/DE/Pressemitteilungen/2022/10/20221024-deutschland-erwirbt-emissionsberechtigungen-fur-verfehlte-klimaziele-zwischen-2013-bis-2020.html</w:t>
        </w:r>
      </w:hyperlink>
      <w:r>
        <w:t xml:space="preserve"> - Zugegriffen: 07.01.2024.</w:t>
      </w:r>
    </w:p>
  </w:footnote>
  <w:footnote w:id="1185">
    <w:p w14:paraId="035EB1FC" w14:textId="77777777" w:rsidR="00112190" w:rsidRDefault="00112190" w:rsidP="00112190">
      <w:pPr>
        <w:pStyle w:val="Funotentext"/>
      </w:pPr>
      <w:r>
        <w:rPr>
          <w:rStyle w:val="Funotenzeichen"/>
        </w:rPr>
        <w:footnoteRef/>
      </w:r>
      <w:r>
        <w:t xml:space="preserve"> Siehe: </w:t>
      </w:r>
      <w:hyperlink r:id="rId884" w:history="1">
        <w:r w:rsidRPr="005735F8">
          <w:rPr>
            <w:rStyle w:val="Hyperlink"/>
          </w:rPr>
          <w:t>https://eur-lex.europa.eu/LexUriServ/LexUriServ.do?uri=OJ:L:2009:140:0136:0148:DE:PDF</w:t>
        </w:r>
      </w:hyperlink>
      <w:r>
        <w:t xml:space="preserve"> – Zugegriffen: 30.12.2023. </w:t>
      </w:r>
    </w:p>
  </w:footnote>
  <w:footnote w:id="1186">
    <w:p w14:paraId="630164CC" w14:textId="77777777" w:rsidR="0010794A" w:rsidRDefault="0010794A" w:rsidP="0010794A">
      <w:pPr>
        <w:pStyle w:val="Funotentext"/>
      </w:pPr>
      <w:r>
        <w:rPr>
          <w:rStyle w:val="Funotenzeichen"/>
        </w:rPr>
        <w:footnoteRef/>
      </w:r>
      <w:r>
        <w:t xml:space="preserve"> „Ein Mitgliedstaat kann für die Jahre 2021 bis 2025 bis zu 10 % und für die Jahre 2026 bis 2030 bis zu 15 %</w:t>
      </w:r>
    </w:p>
    <w:p w14:paraId="4784DF58" w14:textId="77777777" w:rsidR="0010794A" w:rsidRDefault="0010794A" w:rsidP="0010794A">
      <w:pPr>
        <w:pStyle w:val="Funotentext"/>
      </w:pPr>
      <w:r>
        <w:t>seiner jährlichen Emissionszuweisung für ein bestimmtes Jahr an einen anderen Mitgliedstaat übertragen. Der</w:t>
      </w:r>
    </w:p>
    <w:p w14:paraId="4F7908C3" w14:textId="77777777" w:rsidR="0010794A" w:rsidRDefault="0010794A" w:rsidP="0010794A">
      <w:pPr>
        <w:pStyle w:val="Funotentext"/>
      </w:pPr>
      <w:r>
        <w:t>Empfängermitgliedstaat kann diese Menge zwecks Einhaltung der Vorgaben gemäß Artikel 9 für das betreffende</w:t>
      </w:r>
    </w:p>
    <w:p w14:paraId="7151F9DA" w14:textId="77777777" w:rsidR="0010794A" w:rsidRDefault="0010794A" w:rsidP="0010794A">
      <w:pPr>
        <w:pStyle w:val="Funotentext"/>
      </w:pPr>
      <w:r>
        <w:t xml:space="preserve">Jahr oder für spätere Jahre des Zeitraums bis 2030 verwenden“ Siehe: </w:t>
      </w:r>
      <w:hyperlink r:id="rId885" w:history="1">
        <w:r w:rsidRPr="00530E42">
          <w:rPr>
            <w:rStyle w:val="Hyperlink"/>
          </w:rPr>
          <w:t>https://eur-lex.europa.eu/legal-content/DE/TXT/PDF/?uri=CELEX:32023R0857</w:t>
        </w:r>
      </w:hyperlink>
      <w:r>
        <w:t xml:space="preserve"> – Zugegriffen: 22.04.2025. </w:t>
      </w:r>
    </w:p>
  </w:footnote>
  <w:footnote w:id="1187">
    <w:p w14:paraId="62DECC30" w14:textId="77777777" w:rsidR="00112190" w:rsidRDefault="00112190" w:rsidP="00112190">
      <w:pPr>
        <w:pStyle w:val="Funotentext"/>
      </w:pPr>
      <w:r>
        <w:rPr>
          <w:rStyle w:val="Funotenzeichen"/>
        </w:rPr>
        <w:footnoteRef/>
      </w:r>
      <w:r>
        <w:t xml:space="preserve"> „</w:t>
      </w:r>
      <w:proofErr w:type="spellStart"/>
      <w:r>
        <w:t>Governance</w:t>
      </w:r>
      <w:proofErr w:type="spellEnd"/>
      <w:r>
        <w:t xml:space="preserve">, 6. Der Europäische Rat ist übereingekommen, dass ein zuverlässiges und transparentes </w:t>
      </w:r>
      <w:proofErr w:type="spellStart"/>
      <w:r>
        <w:t>Governance</w:t>
      </w:r>
      <w:proofErr w:type="spellEnd"/>
      <w:r>
        <w:t xml:space="preserve">-System ohne unnötigen Verwaltungsaufwand zu entwickeln ist, das dazu beiträgt, dass die EU ihre energiepolitischen Ziele erreicht, wobei den Mitgliedstaaten die notwendige Flexibilität einzuräumen und ihre Freiheit zur Festlegung ihres Energiemixes uneingeschränkt zu achten ist.“, siehe: </w:t>
      </w:r>
      <w:hyperlink r:id="rId886" w:history="1">
        <w:r w:rsidRPr="002D373A">
          <w:rPr>
            <w:rStyle w:val="Hyperlink"/>
          </w:rPr>
          <w:t>https://data.consilium.europa.eu/doc/document/ST-169-2014-INIT/de/pdf</w:t>
        </w:r>
      </w:hyperlink>
      <w:r>
        <w:t xml:space="preserve"> - Zugegriffen: 30.12.2023. </w:t>
      </w:r>
    </w:p>
  </w:footnote>
  <w:footnote w:id="1188">
    <w:p w14:paraId="184C3DC2" w14:textId="77777777" w:rsidR="00112190" w:rsidRDefault="00112190" w:rsidP="00112190">
      <w:pPr>
        <w:pStyle w:val="Funotentext"/>
      </w:pPr>
      <w:r>
        <w:rPr>
          <w:rStyle w:val="Funotenzeichen"/>
        </w:rPr>
        <w:footnoteRef/>
      </w:r>
      <w:r>
        <w:t xml:space="preserve"> Erwägungsgrund (3). </w:t>
      </w:r>
      <w:r w:rsidRPr="00456F3D">
        <w:t xml:space="preserve">Siehe: Verordnung (EU 2018/1999, 11. Dezember 2018. In: </w:t>
      </w:r>
      <w:hyperlink r:id="rId887" w:history="1">
        <w:r w:rsidRPr="003F537A">
          <w:rPr>
            <w:rStyle w:val="Hyperlink"/>
          </w:rPr>
          <w:t>https://eur-lex.europa.eu/legal-content/DE/TXT/PDF/?uri=CELEX:32018R1999</w:t>
        </w:r>
      </w:hyperlink>
      <w:r w:rsidRPr="00456F3D">
        <w:t xml:space="preserve"> – Zugegriffen: 28.12.2023.</w:t>
      </w:r>
    </w:p>
  </w:footnote>
  <w:footnote w:id="1189">
    <w:p w14:paraId="3FE9F9AB" w14:textId="77777777" w:rsidR="00112190" w:rsidRDefault="00112190" w:rsidP="00112190">
      <w:pPr>
        <w:pStyle w:val="Funotentext"/>
      </w:pPr>
      <w:r>
        <w:rPr>
          <w:rStyle w:val="Funotenzeichen"/>
        </w:rPr>
        <w:footnoteRef/>
      </w:r>
      <w:r>
        <w:t xml:space="preserve"> Erwägungsgrund (36). Siehe: Verordnung (EU 2018/1999, 11. Dezember 2018. In: </w:t>
      </w:r>
      <w:hyperlink r:id="rId888" w:history="1">
        <w:r w:rsidRPr="008F7D68">
          <w:rPr>
            <w:rStyle w:val="Hyperlink"/>
          </w:rPr>
          <w:t>https://eur-lex.europa.eu/legal-content/DE/TXT/PDF/?uri=CELEX:32018R1999</w:t>
        </w:r>
      </w:hyperlink>
      <w:r>
        <w:t xml:space="preserve"> – Zugegriffen: 28.12.2023. </w:t>
      </w:r>
    </w:p>
  </w:footnote>
  <w:footnote w:id="1190">
    <w:p w14:paraId="0E1BE5D2" w14:textId="77777777" w:rsidR="00112190" w:rsidRDefault="00112190" w:rsidP="00112190">
      <w:pPr>
        <w:pStyle w:val="Funotentext"/>
      </w:pPr>
      <w:r>
        <w:rPr>
          <w:rStyle w:val="Funotenzeichen"/>
        </w:rPr>
        <w:footnoteRef/>
      </w:r>
      <w:r>
        <w:t xml:space="preserve"> Art. 1-32. </w:t>
      </w:r>
      <w:r w:rsidRPr="00212EB0">
        <w:t xml:space="preserve">Siehe: Verordnung (EU 2018/1999, 11. Dezember 2018. In: </w:t>
      </w:r>
      <w:hyperlink r:id="rId889" w:history="1">
        <w:r w:rsidRPr="003F537A">
          <w:rPr>
            <w:rStyle w:val="Hyperlink"/>
          </w:rPr>
          <w:t>https://eur-lex.europa.eu/legal-content/DE/TXT/PDF/?uri=CELEX:32018R1999</w:t>
        </w:r>
      </w:hyperlink>
      <w:r w:rsidRPr="00212EB0">
        <w:t xml:space="preserve"> – Zugegriffen: 28.12.2023.</w:t>
      </w:r>
    </w:p>
  </w:footnote>
  <w:footnote w:id="1191">
    <w:p w14:paraId="5F4C74D1" w14:textId="77777777" w:rsidR="00112190" w:rsidRDefault="00112190" w:rsidP="00112190">
      <w:pPr>
        <w:pStyle w:val="Funotentext"/>
      </w:pPr>
      <w:r>
        <w:rPr>
          <w:rStyle w:val="Funotenzeichen"/>
        </w:rPr>
        <w:footnoteRef/>
      </w:r>
      <w:r>
        <w:t xml:space="preserve"> Art. 32 Abs. 2 „</w:t>
      </w:r>
      <w:r w:rsidRPr="00212EB0">
        <w:t>Reichen die nationalen Maßnahmen nicht aus, so schlägt die Kommission zusätzlich zu den Empfehlungen erforderlichenfalls Maßnahmen auf Unionsebene vor und übt erforderlichenfalls ihre Befugnisse auf Unionsebene aus, damit insbesondere die Vorgabe der Union für erneuerbare Energie für 2030 erreicht wird.</w:t>
      </w:r>
      <w:r>
        <w:t xml:space="preserve">“, siehe den weiteren Verlauf von Art. 32. Siehe: Verordnung (EU 2018/1999, 11. Dezember 2018. In: </w:t>
      </w:r>
      <w:hyperlink r:id="rId890" w:history="1">
        <w:r w:rsidRPr="008F7D68">
          <w:rPr>
            <w:rStyle w:val="Hyperlink"/>
          </w:rPr>
          <w:t>https://eur-lex.europa.eu/legal-content/DE/TXT/PDF/?uri=CELEX:32018R1999</w:t>
        </w:r>
      </w:hyperlink>
      <w:r>
        <w:t xml:space="preserve"> – Zugegriffen: 28.12.2023. </w:t>
      </w:r>
    </w:p>
  </w:footnote>
  <w:footnote w:id="1192">
    <w:p w14:paraId="132A535D" w14:textId="77777777" w:rsidR="00112190" w:rsidRDefault="00112190" w:rsidP="00112190">
      <w:pPr>
        <w:pStyle w:val="Funotentext"/>
      </w:pPr>
      <w:r>
        <w:rPr>
          <w:rStyle w:val="Funotenzeichen"/>
        </w:rPr>
        <w:footnoteRef/>
      </w:r>
      <w:r>
        <w:t xml:space="preserve"> Art. 35.</w:t>
      </w:r>
      <w:r w:rsidRPr="00925BBC">
        <w:t xml:space="preserve"> Verordnung (EU 2018/1999, 11. Dezember 2018. In: </w:t>
      </w:r>
      <w:hyperlink r:id="rId891" w:history="1">
        <w:r w:rsidRPr="005A627F">
          <w:rPr>
            <w:rStyle w:val="Hyperlink"/>
          </w:rPr>
          <w:t>https://eur-lex.europa.eu/legal-content/DE/TXT/PDF/?uri=CELEX:32018R1999</w:t>
        </w:r>
      </w:hyperlink>
      <w:r w:rsidRPr="00925BBC">
        <w:t xml:space="preserve"> – Zugegriffen: 28.12.2023.</w:t>
      </w:r>
    </w:p>
  </w:footnote>
  <w:footnote w:id="1193">
    <w:p w14:paraId="59CCDDAB" w14:textId="77777777" w:rsidR="00112190" w:rsidRDefault="00112190" w:rsidP="00112190">
      <w:pPr>
        <w:pStyle w:val="Funotentext"/>
      </w:pPr>
      <w:r>
        <w:rPr>
          <w:rStyle w:val="Funotenzeichen"/>
        </w:rPr>
        <w:footnoteRef/>
      </w:r>
      <w:r>
        <w:t xml:space="preserve"> Siehe </w:t>
      </w:r>
      <w:proofErr w:type="spellStart"/>
      <w:r w:rsidRPr="00925BBC">
        <w:t>Document</w:t>
      </w:r>
      <w:proofErr w:type="spellEnd"/>
      <w:r w:rsidRPr="00925BBC">
        <w:t xml:space="preserve"> 52023DC0650</w:t>
      </w:r>
      <w:r>
        <w:t xml:space="preserve">: </w:t>
      </w:r>
      <w:hyperlink r:id="rId892" w:history="1">
        <w:r w:rsidRPr="00716F5F">
          <w:rPr>
            <w:rStyle w:val="Hyperlink"/>
          </w:rPr>
          <w:t>https://energy.ec.europa.eu/topics/energy-strategy/energy-union/eighth-report-state-energy-union_en?prefLang=de</w:t>
        </w:r>
      </w:hyperlink>
      <w:r>
        <w:t xml:space="preserve"> – Zugegriffen: 28.12.2023. </w:t>
      </w:r>
    </w:p>
  </w:footnote>
  <w:footnote w:id="1194">
    <w:p w14:paraId="2360BC85" w14:textId="77777777" w:rsidR="00112190" w:rsidRDefault="00112190" w:rsidP="00112190">
      <w:pPr>
        <w:pStyle w:val="Funotentext"/>
      </w:pPr>
      <w:r>
        <w:rPr>
          <w:rStyle w:val="Funotenzeichen"/>
        </w:rPr>
        <w:footnoteRef/>
      </w:r>
      <w:r>
        <w:t xml:space="preserve"> </w:t>
      </w:r>
      <w:r w:rsidRPr="00A01D68">
        <w:t xml:space="preserve">Dies mag nicht einmal unvernünftig zu sein, in diesem sensiblen Bereich so vorzugehen und es auch zuzulassen, dass die Länder ganz unterschiedlich vorgehen, zumal es Länder gibt, die so wenig Energie verbrauchen, dass sie schon 2030 mit der Energiewende fertig sein werden. Deutschland, Frankreich, Italien, Spanien, das sind eben auch dicke Brummer, siehe Punkt 8, Vergleich des Stromverbrauchs der Länder.  </w:t>
      </w:r>
    </w:p>
  </w:footnote>
  <w:footnote w:id="1195">
    <w:p w14:paraId="512CF429" w14:textId="77777777" w:rsidR="00112190" w:rsidRDefault="00112190" w:rsidP="00112190">
      <w:pPr>
        <w:pStyle w:val="Funotentext"/>
      </w:pPr>
      <w:r>
        <w:rPr>
          <w:rStyle w:val="Funotenzeichen"/>
        </w:rPr>
        <w:footnoteRef/>
      </w:r>
      <w:r>
        <w:t xml:space="preserve"> Siehe: </w:t>
      </w:r>
      <w:hyperlink r:id="rId893" w:history="1">
        <w:r w:rsidRPr="00DB6AF3">
          <w:rPr>
            <w:rStyle w:val="Hyperlink"/>
          </w:rPr>
          <w:t>https://www.bmwk.de/Redaktion/DE/Textsammlungen/Energie/necp.html</w:t>
        </w:r>
      </w:hyperlink>
      <w:r>
        <w:t xml:space="preserve"> - Zugegriffen: 22.12.2023. </w:t>
      </w:r>
    </w:p>
  </w:footnote>
  <w:footnote w:id="1196">
    <w:p w14:paraId="449FAB6D" w14:textId="77777777" w:rsidR="00112190" w:rsidRDefault="00112190" w:rsidP="00112190">
      <w:pPr>
        <w:pStyle w:val="Funotentext"/>
      </w:pPr>
      <w:r>
        <w:rPr>
          <w:rStyle w:val="Funotenzeichen"/>
        </w:rPr>
        <w:footnoteRef/>
      </w:r>
      <w:r>
        <w:t xml:space="preserve"> Siehe: </w:t>
      </w:r>
      <w:hyperlink r:id="rId894" w:history="1">
        <w:r w:rsidRPr="00DB6AF3">
          <w:rPr>
            <w:rStyle w:val="Hyperlink"/>
          </w:rPr>
          <w:t>https://energy.ec.europa.eu/topics/energy-strategy/national-energy-and-climate-plans-necps_en?prefLang=de</w:t>
        </w:r>
      </w:hyperlink>
      <w:r>
        <w:t xml:space="preserve"> – Zugegriffen: 22.12.2023.</w:t>
      </w:r>
    </w:p>
  </w:footnote>
  <w:footnote w:id="1197">
    <w:p w14:paraId="3C8048F8" w14:textId="77777777" w:rsidR="00112190" w:rsidRDefault="00112190" w:rsidP="00112190">
      <w:pPr>
        <w:pStyle w:val="Funotentext"/>
      </w:pPr>
      <w:r>
        <w:rPr>
          <w:rStyle w:val="Funotenzeichen"/>
        </w:rPr>
        <w:footnoteRef/>
      </w:r>
      <w:r>
        <w:t xml:space="preserve"> Siehe: </w:t>
      </w:r>
      <w:hyperlink r:id="rId895" w:history="1">
        <w:r w:rsidRPr="00DB6AF3">
          <w:rPr>
            <w:rStyle w:val="Hyperlink"/>
          </w:rPr>
          <w:t>https://commission.europa.eu/energy-climate-change-environment/implementation-eu-countries/energy-and-climate-governance-and-reporting/national-energy-and-climate-plans_en</w:t>
        </w:r>
      </w:hyperlink>
      <w:r>
        <w:t xml:space="preserve"> - Zugegriffen: 22.12.2023. </w:t>
      </w:r>
    </w:p>
  </w:footnote>
  <w:footnote w:id="1198">
    <w:p w14:paraId="75132574" w14:textId="77777777" w:rsidR="00FF4D78" w:rsidRDefault="00FF4D78" w:rsidP="00FF4D78">
      <w:pPr>
        <w:pStyle w:val="Funotentext"/>
      </w:pPr>
      <w:r>
        <w:rPr>
          <w:rStyle w:val="Funotenzeichen"/>
        </w:rPr>
        <w:footnoteRef/>
      </w:r>
      <w:r>
        <w:t xml:space="preserve"> Siehe: </w:t>
      </w:r>
      <w:hyperlink r:id="rId896" w:history="1">
        <w:r w:rsidRPr="00DB6AF3">
          <w:rPr>
            <w:rStyle w:val="Hyperlink"/>
          </w:rPr>
          <w:t>https://commission.europa.eu/energy-climate-change-environment/implementation-eu-countries/energy-and-climate-governance-and-reporting/national-energy-and-climate-plans_en</w:t>
        </w:r>
      </w:hyperlink>
      <w:r>
        <w:t xml:space="preserve"> - Zugegriffen: 22.12.2023. </w:t>
      </w:r>
    </w:p>
  </w:footnote>
  <w:footnote w:id="1199">
    <w:p w14:paraId="7A90D0DE" w14:textId="77777777" w:rsidR="00FF4D78" w:rsidRPr="00B9590C" w:rsidRDefault="00FF4D78" w:rsidP="00FF4D78">
      <w:pPr>
        <w:pStyle w:val="Funotentext"/>
        <w:rPr>
          <w:lang w:val="en-GB"/>
        </w:rPr>
      </w:pPr>
      <w:r>
        <w:rPr>
          <w:rStyle w:val="Funotenzeichen"/>
        </w:rPr>
        <w:footnoteRef/>
      </w:r>
      <w:r w:rsidRPr="00B9590C">
        <w:rPr>
          <w:lang w:val="en-GB"/>
        </w:rPr>
        <w:t xml:space="preserve"> </w:t>
      </w:r>
      <w:proofErr w:type="spellStart"/>
      <w:r w:rsidRPr="00B9590C">
        <w:rPr>
          <w:lang w:val="en-GB"/>
        </w:rPr>
        <w:t>Auszug</w:t>
      </w:r>
      <w:proofErr w:type="spellEnd"/>
      <w:r>
        <w:rPr>
          <w:lang w:val="en-GB"/>
        </w:rPr>
        <w:t xml:space="preserve">, S. 7, PAM </w:t>
      </w:r>
      <w:proofErr w:type="spellStart"/>
      <w:r>
        <w:rPr>
          <w:lang w:val="en-GB"/>
        </w:rPr>
        <w:t>heisst</w:t>
      </w:r>
      <w:proofErr w:type="spellEnd"/>
      <w:r>
        <w:rPr>
          <w:lang w:val="en-GB"/>
        </w:rPr>
        <w:t xml:space="preserve"> ‘policies and measures’, WEM </w:t>
      </w:r>
      <w:proofErr w:type="spellStart"/>
      <w:r>
        <w:rPr>
          <w:lang w:val="en-GB"/>
        </w:rPr>
        <w:t>ist</w:t>
      </w:r>
      <w:proofErr w:type="spellEnd"/>
      <w:r>
        <w:rPr>
          <w:lang w:val="en-GB"/>
        </w:rPr>
        <w:t xml:space="preserve"> </w:t>
      </w:r>
      <w:proofErr w:type="spellStart"/>
      <w:r>
        <w:rPr>
          <w:lang w:val="en-GB"/>
        </w:rPr>
        <w:t>mit</w:t>
      </w:r>
      <w:proofErr w:type="spellEnd"/>
      <w:r>
        <w:rPr>
          <w:lang w:val="en-GB"/>
        </w:rPr>
        <w:t xml:space="preserve"> ‘existing measures’, WAM </w:t>
      </w:r>
      <w:proofErr w:type="spellStart"/>
      <w:r>
        <w:rPr>
          <w:lang w:val="en-GB"/>
        </w:rPr>
        <w:t>ist</w:t>
      </w:r>
      <w:proofErr w:type="spellEnd"/>
      <w:r>
        <w:rPr>
          <w:lang w:val="en-GB"/>
        </w:rPr>
        <w:t xml:space="preserve"> </w:t>
      </w:r>
      <w:proofErr w:type="spellStart"/>
      <w:r>
        <w:rPr>
          <w:lang w:val="en-GB"/>
        </w:rPr>
        <w:t>mit</w:t>
      </w:r>
      <w:proofErr w:type="spellEnd"/>
      <w:r>
        <w:rPr>
          <w:lang w:val="en-GB"/>
        </w:rPr>
        <w:t xml:space="preserve"> ‘additional measures’</w:t>
      </w:r>
      <w:r w:rsidRPr="00B9590C">
        <w:rPr>
          <w:lang w:val="en-GB"/>
        </w:rPr>
        <w:t>: „In fact, some of the countries that submitted their draft NECP update explicitly mention that the planned levels of action are not even in line with the respective binding ESR obligations</w:t>
      </w:r>
      <w:r>
        <w:rPr>
          <w:lang w:val="en-GB"/>
        </w:rPr>
        <w:t xml:space="preserve"> </w:t>
      </w:r>
      <w:r w:rsidRPr="00B9590C">
        <w:rPr>
          <w:lang w:val="en-GB"/>
        </w:rPr>
        <w:t>(Cyprus, Denmark, Finland, Italy, the Netherlands). This is not to say that the remaining countries</w:t>
      </w:r>
      <w:r>
        <w:rPr>
          <w:lang w:val="en-GB"/>
        </w:rPr>
        <w:t xml:space="preserve"> </w:t>
      </w:r>
      <w:r w:rsidRPr="00B9590C">
        <w:rPr>
          <w:lang w:val="en-GB"/>
        </w:rPr>
        <w:t>have done their minimum job. On paper, Estonia, Hungary, Luxembourg, Portugal, Slovakia,</w:t>
      </w:r>
      <w:r>
        <w:rPr>
          <w:lang w:val="en-GB"/>
        </w:rPr>
        <w:t xml:space="preserve"> </w:t>
      </w:r>
      <w:r w:rsidRPr="00B9590C">
        <w:rPr>
          <w:lang w:val="en-GB"/>
        </w:rPr>
        <w:t xml:space="preserve">Slovenia, </w:t>
      </w:r>
      <w:proofErr w:type="gramStart"/>
      <w:r w:rsidRPr="00B9590C">
        <w:rPr>
          <w:lang w:val="en-GB"/>
        </w:rPr>
        <w:t>Spain</w:t>
      </w:r>
      <w:proofErr w:type="gramEnd"/>
      <w:r w:rsidRPr="00B9590C">
        <w:rPr>
          <w:lang w:val="en-GB"/>
        </w:rPr>
        <w:t xml:space="preserve"> and Sweden would all meet the ESR requirements. However, for some of them</w:t>
      </w:r>
      <w:r>
        <w:rPr>
          <w:lang w:val="en-GB"/>
        </w:rPr>
        <w:t xml:space="preserve"> </w:t>
      </w:r>
      <w:r w:rsidRPr="00B9590C">
        <w:rPr>
          <w:lang w:val="en-GB"/>
        </w:rPr>
        <w:t>(Portugal, Slovakia, Sweden) projections with existing and additional policies and measures</w:t>
      </w:r>
      <w:r>
        <w:rPr>
          <w:lang w:val="en-GB"/>
        </w:rPr>
        <w:t xml:space="preserve"> </w:t>
      </w:r>
      <w:r w:rsidRPr="00B9590C">
        <w:rPr>
          <w:lang w:val="en-GB"/>
        </w:rPr>
        <w:t>(WEM and WAM scenarios) are either missing or not credible in the current political context.</w:t>
      </w:r>
      <w:r>
        <w:rPr>
          <w:lang w:val="en-GB"/>
        </w:rPr>
        <w:t xml:space="preserve"> </w:t>
      </w:r>
      <w:r w:rsidRPr="00B9590C">
        <w:rPr>
          <w:lang w:val="en-GB"/>
        </w:rPr>
        <w:t>Croatia and Lithuania also meet their minimum targets. However, it is worth flagging that a</w:t>
      </w:r>
      <w:r>
        <w:rPr>
          <w:lang w:val="en-GB"/>
        </w:rPr>
        <w:t xml:space="preserve"> </w:t>
      </w:r>
      <w:r w:rsidRPr="00B9590C">
        <w:rPr>
          <w:lang w:val="en-GB"/>
        </w:rPr>
        <w:t>significant discrepancy exists between data used in the plans and European Environment Agency</w:t>
      </w:r>
      <w:r>
        <w:rPr>
          <w:lang w:val="en-GB"/>
        </w:rPr>
        <w:t xml:space="preserve"> </w:t>
      </w:r>
      <w:r w:rsidRPr="00B9590C">
        <w:rPr>
          <w:lang w:val="en-GB"/>
        </w:rPr>
        <w:t>(EEA) data on historical emissions3, to the point that both countries would fail to meet their</w:t>
      </w:r>
      <w:r>
        <w:rPr>
          <w:lang w:val="en-GB"/>
        </w:rPr>
        <w:t xml:space="preserve"> </w:t>
      </w:r>
      <w:r w:rsidRPr="00B9590C">
        <w:rPr>
          <w:lang w:val="en-GB"/>
        </w:rPr>
        <w:t>respective targets if EEA data were used for the 2005 baseline (instead of data provided by the</w:t>
      </w:r>
      <w:r>
        <w:rPr>
          <w:lang w:val="en-GB"/>
        </w:rPr>
        <w:t xml:space="preserve"> </w:t>
      </w:r>
      <w:r w:rsidRPr="00B9590C">
        <w:rPr>
          <w:lang w:val="en-GB"/>
        </w:rPr>
        <w:t>national governments in their draft NECP updates that refers to a higher baseline). This should be</w:t>
      </w:r>
      <w:r>
        <w:rPr>
          <w:lang w:val="en-GB"/>
        </w:rPr>
        <w:t xml:space="preserve"> </w:t>
      </w:r>
      <w:r w:rsidRPr="00B9590C">
        <w:rPr>
          <w:lang w:val="en-GB"/>
        </w:rPr>
        <w:t>scrutinised by the Commission.</w:t>
      </w:r>
      <w:r>
        <w:rPr>
          <w:lang w:val="en-GB"/>
        </w:rPr>
        <w:t xml:space="preserve"> </w:t>
      </w:r>
      <w:r w:rsidRPr="00B9590C">
        <w:rPr>
          <w:lang w:val="en-GB"/>
        </w:rPr>
        <w:t>In most cases, PAMs are inadequate to meet the set targets. In some cases, countries have</w:t>
      </w:r>
      <w:r>
        <w:rPr>
          <w:lang w:val="en-GB"/>
        </w:rPr>
        <w:t xml:space="preserve"> </w:t>
      </w:r>
      <w:r w:rsidRPr="00B9590C">
        <w:rPr>
          <w:lang w:val="en-GB"/>
        </w:rPr>
        <w:t>simply laid out existing measures (Denmark, Finland, Sweden), which are either not aligned with</w:t>
      </w:r>
      <w:r>
        <w:rPr>
          <w:lang w:val="en-GB"/>
        </w:rPr>
        <w:t xml:space="preserve"> </w:t>
      </w:r>
      <w:r w:rsidRPr="00B9590C">
        <w:rPr>
          <w:lang w:val="en-GB"/>
        </w:rPr>
        <w:t>additional policies (WAM) scenarios, or reflect frozen policy (WEM) scenarios that only confirm</w:t>
      </w:r>
      <w:r>
        <w:rPr>
          <w:lang w:val="en-GB"/>
        </w:rPr>
        <w:t xml:space="preserve"> </w:t>
      </w:r>
      <w:r w:rsidRPr="00B9590C">
        <w:rPr>
          <w:lang w:val="en-GB"/>
        </w:rPr>
        <w:t>existing policies, without increasing ambition. In other countries, such as Croatia, Cyprus,</w:t>
      </w:r>
      <w:r>
        <w:rPr>
          <w:lang w:val="en-GB"/>
        </w:rPr>
        <w:t xml:space="preserve"> </w:t>
      </w:r>
      <w:r w:rsidRPr="00B9590C">
        <w:rPr>
          <w:lang w:val="en-GB"/>
        </w:rPr>
        <w:t>Portugal and Slovakia, PAMs lack detail and notably do not include a comprehensive assessment</w:t>
      </w:r>
      <w:r>
        <w:rPr>
          <w:lang w:val="en-GB"/>
        </w:rPr>
        <w:t xml:space="preserve"> </w:t>
      </w:r>
      <w:r w:rsidRPr="00B9590C">
        <w:rPr>
          <w:lang w:val="en-GB"/>
        </w:rPr>
        <w:t>of their emission reductions. In other cases, such as Hungary, Italy and Lithuania, the ambition of</w:t>
      </w:r>
      <w:r>
        <w:rPr>
          <w:lang w:val="en-GB"/>
        </w:rPr>
        <w:t xml:space="preserve"> </w:t>
      </w:r>
      <w:r w:rsidRPr="00B9590C">
        <w:rPr>
          <w:lang w:val="en-GB"/>
        </w:rPr>
        <w:t xml:space="preserve">PAMs needs substantial improvements </w:t>
      </w:r>
      <w:proofErr w:type="gramStart"/>
      <w:r w:rsidRPr="00B9590C">
        <w:rPr>
          <w:lang w:val="en-GB"/>
        </w:rPr>
        <w:t>in order to</w:t>
      </w:r>
      <w:proofErr w:type="gramEnd"/>
      <w:r w:rsidRPr="00B9590C">
        <w:rPr>
          <w:lang w:val="en-GB"/>
        </w:rPr>
        <w:t xml:space="preserve"> achieve the ESR targets. Slovenia has simply</w:t>
      </w:r>
      <w:r>
        <w:rPr>
          <w:lang w:val="en-GB"/>
        </w:rPr>
        <w:t xml:space="preserve"> </w:t>
      </w:r>
      <w:r w:rsidRPr="00B9590C">
        <w:rPr>
          <w:lang w:val="en-GB"/>
        </w:rPr>
        <w:t>not presented any climate PAMs.</w:t>
      </w:r>
      <w:r>
        <w:rPr>
          <w:lang w:val="en-GB"/>
        </w:rPr>
        <w:t xml:space="preserve"> </w:t>
      </w:r>
      <w:r w:rsidRPr="00B9590C">
        <w:rPr>
          <w:lang w:val="en-GB"/>
        </w:rPr>
        <w:t>In the end, only four countries have developed plans that meet (Estonia, Lithuania)</w:t>
      </w:r>
      <w:r>
        <w:rPr>
          <w:lang w:val="en-GB"/>
        </w:rPr>
        <w:t xml:space="preserve"> </w:t>
      </w:r>
      <w:r w:rsidRPr="00B9590C">
        <w:rPr>
          <w:lang w:val="en-GB"/>
        </w:rPr>
        <w:t>or surpass (Spain, Luxembourg) their ESR targets, and include credible emission</w:t>
      </w:r>
      <w:r>
        <w:rPr>
          <w:lang w:val="en-GB"/>
        </w:rPr>
        <w:t xml:space="preserve"> </w:t>
      </w:r>
      <w:r w:rsidRPr="00B9590C">
        <w:rPr>
          <w:lang w:val="en-GB"/>
        </w:rPr>
        <w:t>reductions projections as well as PAMs that, while they could be improved, are</w:t>
      </w:r>
      <w:r>
        <w:rPr>
          <w:lang w:val="en-GB"/>
        </w:rPr>
        <w:t xml:space="preserve"> </w:t>
      </w:r>
      <w:r w:rsidRPr="00B9590C">
        <w:rPr>
          <w:lang w:val="en-GB"/>
        </w:rPr>
        <w:t>sufficient and detailed enough to back them up. In all cases, however, they remain</w:t>
      </w:r>
      <w:r>
        <w:rPr>
          <w:lang w:val="en-GB"/>
        </w:rPr>
        <w:t xml:space="preserve"> </w:t>
      </w:r>
      <w:r w:rsidRPr="00B9590C">
        <w:rPr>
          <w:lang w:val="en-GB"/>
        </w:rPr>
        <w:t xml:space="preserve">insufficient to be in line with a 1.5°C trajectory and </w:t>
      </w:r>
      <w:proofErr w:type="gramStart"/>
      <w:r w:rsidRPr="00B9590C">
        <w:rPr>
          <w:lang w:val="en-GB"/>
        </w:rPr>
        <w:t>in light of</w:t>
      </w:r>
      <w:proofErr w:type="gramEnd"/>
      <w:r w:rsidRPr="00B9590C">
        <w:rPr>
          <w:lang w:val="en-GB"/>
        </w:rPr>
        <w:t xml:space="preserve"> historical responsibilities. In addition,</w:t>
      </w:r>
      <w:r>
        <w:rPr>
          <w:lang w:val="en-GB"/>
        </w:rPr>
        <w:t xml:space="preserve"> </w:t>
      </w:r>
      <w:r w:rsidRPr="00B9590C">
        <w:rPr>
          <w:lang w:val="en-GB"/>
        </w:rPr>
        <w:t>Estonia is not doing great, as it would still fail to meet its other 2030 EU binding requirement</w:t>
      </w:r>
    </w:p>
    <w:p w14:paraId="20A9CD0F" w14:textId="77777777" w:rsidR="00FF4D78" w:rsidRPr="00B9590C" w:rsidRDefault="00FF4D78" w:rsidP="00FF4D78">
      <w:pPr>
        <w:pStyle w:val="Funotentext"/>
      </w:pPr>
      <w:r w:rsidRPr="00B9590C">
        <w:rPr>
          <w:lang w:val="en-GB"/>
        </w:rPr>
        <w:t>(the 2030 LULUCF target</w:t>
      </w:r>
      <w:proofErr w:type="gramStart"/>
      <w:r w:rsidRPr="00B9590C">
        <w:rPr>
          <w:lang w:val="en-GB"/>
        </w:rPr>
        <w:t>).“</w:t>
      </w:r>
      <w:proofErr w:type="gramEnd"/>
      <w:r w:rsidRPr="00B9590C">
        <w:rPr>
          <w:lang w:val="en-GB"/>
        </w:rPr>
        <w:t xml:space="preserve"> CAN Europe.</w:t>
      </w:r>
      <w:r>
        <w:rPr>
          <w:lang w:val="en-GB"/>
        </w:rPr>
        <w:t xml:space="preserve"> Time to step up national climate action, October 2023. </w:t>
      </w:r>
      <w:r w:rsidRPr="00B9590C">
        <w:t xml:space="preserve">In: </w:t>
      </w:r>
      <w:hyperlink r:id="rId897" w:history="1">
        <w:r w:rsidRPr="00B9590C">
          <w:rPr>
            <w:rStyle w:val="Hyperlink"/>
          </w:rPr>
          <w:t>https://caneurope.org/content/uploads/2023/10/NECPs_Assessment-Report_October2023.pdf</w:t>
        </w:r>
      </w:hyperlink>
      <w:r w:rsidRPr="00B9590C">
        <w:t xml:space="preserve"> - Zu</w:t>
      </w:r>
      <w:r>
        <w:t xml:space="preserve">gegriffen: 30.01.2024. </w:t>
      </w:r>
      <w:r w:rsidRPr="00B9590C">
        <w:t xml:space="preserve"> </w:t>
      </w:r>
    </w:p>
  </w:footnote>
  <w:footnote w:id="1200">
    <w:p w14:paraId="46C5FE33" w14:textId="77777777" w:rsidR="00112190" w:rsidRDefault="00112190" w:rsidP="00112190">
      <w:pPr>
        <w:pStyle w:val="Funotentext"/>
      </w:pPr>
      <w:r>
        <w:rPr>
          <w:rStyle w:val="Funotenzeichen"/>
        </w:rPr>
        <w:footnoteRef/>
      </w:r>
      <w:r>
        <w:t xml:space="preserve"> Wissenschaftliche Dienste 2018: 8.</w:t>
      </w:r>
    </w:p>
  </w:footnote>
  <w:footnote w:id="1201">
    <w:p w14:paraId="34B5BE86" w14:textId="77777777" w:rsidR="00112190" w:rsidRPr="00E739D4" w:rsidRDefault="00112190" w:rsidP="00112190">
      <w:pPr>
        <w:pStyle w:val="Funotentext"/>
      </w:pPr>
      <w:r>
        <w:rPr>
          <w:rStyle w:val="Funotenzeichen"/>
        </w:rPr>
        <w:footnoteRef/>
      </w:r>
      <w:r w:rsidRPr="00E739D4">
        <w:t xml:space="preserve"> Wissenschaftliche Dienste </w:t>
      </w:r>
      <w:r>
        <w:t>2018: 8-9</w:t>
      </w:r>
      <w:r w:rsidRPr="00E739D4">
        <w:t>.</w:t>
      </w:r>
    </w:p>
  </w:footnote>
  <w:footnote w:id="1202">
    <w:p w14:paraId="3B5AE5E9" w14:textId="77777777" w:rsidR="00112190" w:rsidRDefault="00112190" w:rsidP="00112190">
      <w:pPr>
        <w:pStyle w:val="Funotentext"/>
      </w:pPr>
      <w:r>
        <w:rPr>
          <w:rStyle w:val="Funotenzeichen"/>
        </w:rPr>
        <w:footnoteRef/>
      </w:r>
      <w:r>
        <w:t xml:space="preserve"> Siehe Zitat aus Erwägungsgrund (10), und Art. 6, in: Entscheidung des Rates, </w:t>
      </w:r>
      <w:r w:rsidRPr="000230E5">
        <w:t>2002/358/EG</w:t>
      </w:r>
      <w:r>
        <w:t>, im Anhang das Kyoto-Protokoll.</w:t>
      </w:r>
      <w:r w:rsidRPr="000230E5">
        <w:t xml:space="preserve"> </w:t>
      </w:r>
      <w:r>
        <w:t xml:space="preserve">Siehe: </w:t>
      </w:r>
      <w:hyperlink r:id="rId898" w:history="1">
        <w:r w:rsidRPr="005735F8">
          <w:rPr>
            <w:rStyle w:val="Hyperlink"/>
          </w:rPr>
          <w:t>https://eur-lex.europa.eu/legal-content/DE/TXT/PDF/?uri=CELEX:32002D0358&amp;qid=1704382586823</w:t>
        </w:r>
      </w:hyperlink>
      <w:r>
        <w:t xml:space="preserve"> – Zugegriffen: 30.12.2023. </w:t>
      </w:r>
    </w:p>
  </w:footnote>
  <w:footnote w:id="1203">
    <w:p w14:paraId="2932DD35" w14:textId="77777777" w:rsidR="00112190" w:rsidRDefault="00112190" w:rsidP="00112190">
      <w:pPr>
        <w:pStyle w:val="Funotentext"/>
      </w:pPr>
      <w:r>
        <w:rPr>
          <w:rStyle w:val="Funotenzeichen"/>
        </w:rPr>
        <w:footnoteRef/>
      </w:r>
      <w:r>
        <w:t xml:space="preserve"> Diese Leitlinien können etwa bei Gerichtsentscheidungen als Auslegungshilfe oder Ergänzung von Rechtsvorschriften herangezogen werden. </w:t>
      </w:r>
      <w:proofErr w:type="spellStart"/>
      <w:r>
        <w:t>Ochner</w:t>
      </w:r>
      <w:proofErr w:type="spellEnd"/>
      <w:r>
        <w:t xml:space="preserve"> 2022: 49-50.</w:t>
      </w:r>
    </w:p>
  </w:footnote>
  <w:footnote w:id="1204">
    <w:p w14:paraId="1F5D119F" w14:textId="77777777" w:rsidR="00112190" w:rsidRDefault="00112190" w:rsidP="00112190">
      <w:pPr>
        <w:pStyle w:val="Funotentext"/>
      </w:pPr>
      <w:r>
        <w:rPr>
          <w:rStyle w:val="Funotenzeichen"/>
        </w:rPr>
        <w:footnoteRef/>
      </w:r>
      <w:r>
        <w:t xml:space="preserve"> Siehe: </w:t>
      </w:r>
      <w:hyperlink r:id="rId899" w:history="1">
        <w:r w:rsidRPr="008F7D68">
          <w:rPr>
            <w:rStyle w:val="Hyperlink"/>
          </w:rPr>
          <w:t>https://european-union.europa.eu/institutions-law-budget/law/types-legislation_de</w:t>
        </w:r>
      </w:hyperlink>
      <w:r>
        <w:t xml:space="preserve"> - Zugegriffen: 28.12.2023. </w:t>
      </w:r>
    </w:p>
  </w:footnote>
  <w:footnote w:id="1205">
    <w:p w14:paraId="5079D2A8" w14:textId="77777777" w:rsidR="00112190" w:rsidRDefault="00112190" w:rsidP="00112190">
      <w:pPr>
        <w:pStyle w:val="Funotentext"/>
      </w:pPr>
      <w:r>
        <w:rPr>
          <w:rStyle w:val="Funotenzeichen"/>
        </w:rPr>
        <w:footnoteRef/>
      </w:r>
      <w:r>
        <w:t xml:space="preserve"> Siehe: </w:t>
      </w:r>
      <w:hyperlink r:id="rId900" w:history="1">
        <w:r w:rsidRPr="002D373A">
          <w:rPr>
            <w:rStyle w:val="Hyperlink"/>
          </w:rPr>
          <w:t>https://data.consilium.europa.eu/doc/document/ST-169-2014-INIT/de/pdf</w:t>
        </w:r>
      </w:hyperlink>
      <w:r>
        <w:t xml:space="preserve"> - Zugegriffen: 30.12.2023. </w:t>
      </w:r>
    </w:p>
  </w:footnote>
  <w:footnote w:id="1206">
    <w:p w14:paraId="6C936553" w14:textId="77777777" w:rsidR="00112190" w:rsidRDefault="00112190" w:rsidP="00112190">
      <w:pPr>
        <w:pStyle w:val="Funotentext"/>
      </w:pPr>
      <w:r>
        <w:rPr>
          <w:rStyle w:val="Funotenzeichen"/>
        </w:rPr>
        <w:footnoteRef/>
      </w:r>
      <w:r>
        <w:t xml:space="preserve"> U</w:t>
      </w:r>
      <w:r w:rsidRPr="00E761B6">
        <w:t xml:space="preserve">nd sehr begrenzt, aber zunehmend auch der Ministerrat und der Rat. </w:t>
      </w:r>
      <w:r>
        <w:t xml:space="preserve">Siehe: </w:t>
      </w:r>
      <w:hyperlink r:id="rId901" w:history="1">
        <w:r w:rsidRPr="008F7D68">
          <w:rPr>
            <w:rStyle w:val="Hyperlink"/>
          </w:rPr>
          <w:t>https://www.europarl.europa.eu/RegData/etudes/STUD/2020/655134/IPOL_STU(2020)655134(SUM01)_DE.pdf</w:t>
        </w:r>
      </w:hyperlink>
      <w:r>
        <w:t xml:space="preserve"> – Zugegriffen: 28.12.2023. </w:t>
      </w:r>
    </w:p>
  </w:footnote>
  <w:footnote w:id="1207">
    <w:p w14:paraId="6DA30960" w14:textId="77777777" w:rsidR="00112190" w:rsidRDefault="00112190" w:rsidP="00112190">
      <w:pPr>
        <w:pStyle w:val="Funotentext"/>
      </w:pPr>
      <w:r>
        <w:rPr>
          <w:rStyle w:val="Funotenzeichen"/>
        </w:rPr>
        <w:footnoteRef/>
      </w:r>
      <w:r>
        <w:t xml:space="preserve"> Siehe: </w:t>
      </w:r>
      <w:hyperlink r:id="rId902" w:history="1">
        <w:r w:rsidRPr="008F7D68">
          <w:rPr>
            <w:rStyle w:val="Hyperlink"/>
          </w:rPr>
          <w:t>https://www.europarl.europa.eu/RegData/etudes/STUD/2020/655134/IPOL_STU(2020)655134(SUM01)_DE.pdf</w:t>
        </w:r>
      </w:hyperlink>
      <w:r>
        <w:t xml:space="preserve"> – Zugegriffen: 28.12.2023. </w:t>
      </w:r>
    </w:p>
  </w:footnote>
  <w:footnote w:id="1208">
    <w:p w14:paraId="22AB9B31" w14:textId="77777777" w:rsidR="00112190" w:rsidRPr="000975ED" w:rsidRDefault="00112190" w:rsidP="00112190">
      <w:pPr>
        <w:pStyle w:val="Funotentext"/>
      </w:pPr>
      <w:r>
        <w:rPr>
          <w:rStyle w:val="Funotenzeichen"/>
        </w:rPr>
        <w:footnoteRef/>
      </w:r>
      <w:r w:rsidRPr="000975ED">
        <w:t xml:space="preserve"> ENVI: </w:t>
      </w:r>
      <w:hyperlink r:id="rId903" w:history="1">
        <w:r w:rsidRPr="000975ED">
          <w:rPr>
            <w:rStyle w:val="Hyperlink"/>
          </w:rPr>
          <w:t>https://www.europarl.europa.eu/committees/de/envi/home/highlights</w:t>
        </w:r>
      </w:hyperlink>
      <w:r w:rsidRPr="000975ED">
        <w:t xml:space="preserve"> - Zu</w:t>
      </w:r>
      <w:r>
        <w:t xml:space="preserve">gegriffen: 29.12.2023. </w:t>
      </w:r>
    </w:p>
  </w:footnote>
  <w:footnote w:id="1209">
    <w:p w14:paraId="2C6D6F42" w14:textId="77777777" w:rsidR="00112190" w:rsidRDefault="00112190" w:rsidP="00112190">
      <w:pPr>
        <w:pStyle w:val="Funotentext"/>
      </w:pPr>
      <w:r>
        <w:rPr>
          <w:rStyle w:val="Funotenzeichen"/>
        </w:rPr>
        <w:footnoteRef/>
      </w:r>
      <w:r>
        <w:t xml:space="preserve"> Siehe für die qualifizierte Mehrheit: </w:t>
      </w:r>
      <w:hyperlink r:id="rId904" w:history="1">
        <w:r w:rsidRPr="00DA1D6D">
          <w:rPr>
            <w:rStyle w:val="Hyperlink"/>
          </w:rPr>
          <w:t>https://www.consilium.europa.eu/de/council-eu/voting-system/qualified-majority/</w:t>
        </w:r>
      </w:hyperlink>
      <w:r>
        <w:t xml:space="preserve"> - für Einstimmigkeit: </w:t>
      </w:r>
      <w:hyperlink r:id="rId905" w:history="1">
        <w:r w:rsidRPr="00DA1D6D">
          <w:rPr>
            <w:rStyle w:val="Hyperlink"/>
          </w:rPr>
          <w:t>https://www.consilium.europa.eu/de/council-eu/voting-system/unanimity/</w:t>
        </w:r>
      </w:hyperlink>
      <w:r>
        <w:t xml:space="preserve"> - für einfache Mehrheit: </w:t>
      </w:r>
      <w:hyperlink r:id="rId906" w:history="1">
        <w:r w:rsidRPr="00DA1D6D">
          <w:rPr>
            <w:rStyle w:val="Hyperlink"/>
          </w:rPr>
          <w:t>https://www.consilium.europa.eu/de/council-eu/voting-system/simple-majority/</w:t>
        </w:r>
      </w:hyperlink>
      <w:r>
        <w:t xml:space="preserve"> - Zugegriffen: 28.12.2023. </w:t>
      </w:r>
    </w:p>
  </w:footnote>
  <w:footnote w:id="1210">
    <w:p w14:paraId="7D520340" w14:textId="77777777" w:rsidR="00112190" w:rsidRDefault="00112190" w:rsidP="00112190">
      <w:pPr>
        <w:pStyle w:val="Funotentext"/>
      </w:pPr>
      <w:r>
        <w:rPr>
          <w:rStyle w:val="Funotenzeichen"/>
        </w:rPr>
        <w:footnoteRef/>
      </w:r>
      <w:r>
        <w:t xml:space="preserve"> </w:t>
      </w:r>
      <w:proofErr w:type="spellStart"/>
      <w:r>
        <w:t>Ochner</w:t>
      </w:r>
      <w:proofErr w:type="spellEnd"/>
      <w:r>
        <w:t xml:space="preserve"> 2022: 27. </w:t>
      </w:r>
    </w:p>
  </w:footnote>
  <w:footnote w:id="1211">
    <w:p w14:paraId="4E53AB01" w14:textId="77777777" w:rsidR="00112190" w:rsidRDefault="00112190" w:rsidP="00112190">
      <w:pPr>
        <w:pStyle w:val="Funotentext"/>
      </w:pPr>
      <w:r>
        <w:rPr>
          <w:rStyle w:val="Funotenzeichen"/>
        </w:rPr>
        <w:footnoteRef/>
      </w:r>
      <w:r>
        <w:t xml:space="preserve"> Übersicht über die EU-Organe, siehe: </w:t>
      </w:r>
      <w:hyperlink r:id="rId907" w:history="1">
        <w:r w:rsidRPr="008F7D68">
          <w:rPr>
            <w:rStyle w:val="Hyperlink"/>
          </w:rPr>
          <w:t>https://european-union.europa.eu/institutions-law-budget/institutions-and-bodies/types-institutions-and-bodies_de</w:t>
        </w:r>
      </w:hyperlink>
      <w:r>
        <w:t xml:space="preserve"> - Zugegriffen: 28.12.2023. </w:t>
      </w:r>
    </w:p>
  </w:footnote>
  <w:footnote w:id="1212">
    <w:p w14:paraId="7AD42FD5" w14:textId="77777777" w:rsidR="00112190" w:rsidRDefault="00112190" w:rsidP="00112190">
      <w:pPr>
        <w:pStyle w:val="Funotentext"/>
      </w:pPr>
      <w:r>
        <w:rPr>
          <w:rStyle w:val="Funotenzeichen"/>
        </w:rPr>
        <w:footnoteRef/>
      </w:r>
      <w:r>
        <w:t xml:space="preserve"> Beschlussverfahren: </w:t>
      </w:r>
      <w:hyperlink r:id="rId908" w:history="1">
        <w:r w:rsidRPr="00DB1672">
          <w:rPr>
            <w:rStyle w:val="Hyperlink"/>
          </w:rPr>
          <w:t>https://www.europarl.europa.eu/factsheets/de/sheet/9/beschlussfassungsverfahren-auf-zwischenstaatlicher-ebene</w:t>
        </w:r>
      </w:hyperlink>
      <w:r>
        <w:t xml:space="preserve"> - Zugegriffen: 07.01.2024.</w:t>
      </w:r>
    </w:p>
  </w:footnote>
  <w:footnote w:id="1213">
    <w:p w14:paraId="393C02DA" w14:textId="1E517AA0" w:rsidR="00112190" w:rsidRDefault="00112190" w:rsidP="00112190">
      <w:pPr>
        <w:pStyle w:val="Funotentext"/>
      </w:pPr>
      <w:r>
        <w:rPr>
          <w:rStyle w:val="Funotenzeichen"/>
        </w:rPr>
        <w:footnoteRef/>
      </w:r>
      <w:r>
        <w:t xml:space="preserve"> Siehe: </w:t>
      </w:r>
      <w:hyperlink r:id="rId909" w:history="1">
        <w:r w:rsidR="00F024DA" w:rsidRPr="007C682A">
          <w:rPr>
            <w:rStyle w:val="Hyperlink"/>
          </w:rPr>
          <w:t>https://www.consilium.europa.eu/</w:t>
        </w:r>
      </w:hyperlink>
      <w:r w:rsidR="00F024DA">
        <w:t xml:space="preserve"> </w:t>
      </w:r>
    </w:p>
  </w:footnote>
  <w:footnote w:id="1214">
    <w:p w14:paraId="4E46446E" w14:textId="77777777" w:rsidR="00112190" w:rsidRDefault="00112190" w:rsidP="00112190">
      <w:pPr>
        <w:pStyle w:val="Funotentext"/>
      </w:pPr>
      <w:r>
        <w:rPr>
          <w:rStyle w:val="Funotenzeichen"/>
        </w:rPr>
        <w:footnoteRef/>
      </w:r>
      <w:r>
        <w:t xml:space="preserve"> Siehe: </w:t>
      </w:r>
      <w:hyperlink r:id="rId910" w:history="1">
        <w:r w:rsidRPr="00DA1D6D">
          <w:rPr>
            <w:rStyle w:val="Hyperlink"/>
          </w:rPr>
          <w:t>https://www.eu-umweltbuero.at/europaeische-union/gesetzgebung/</w:t>
        </w:r>
      </w:hyperlink>
      <w:r>
        <w:t xml:space="preserve"> - Zugegriffen: 29.12.2023. </w:t>
      </w:r>
    </w:p>
  </w:footnote>
  <w:footnote w:id="1215">
    <w:p w14:paraId="78BC04A0" w14:textId="77777777" w:rsidR="00112190" w:rsidRDefault="00112190" w:rsidP="00112190">
      <w:pPr>
        <w:pStyle w:val="Funotentext"/>
      </w:pPr>
      <w:r>
        <w:rPr>
          <w:rStyle w:val="Funotenzeichen"/>
        </w:rPr>
        <w:footnoteRef/>
      </w:r>
      <w:r>
        <w:t xml:space="preserve"> Siehe: </w:t>
      </w:r>
      <w:hyperlink r:id="rId911" w:history="1">
        <w:r w:rsidRPr="000700D9">
          <w:rPr>
            <w:rStyle w:val="Hyperlink"/>
          </w:rPr>
          <w:t>https://www.consilium.europa.eu/de/meetings/env/2023/06/20/</w:t>
        </w:r>
      </w:hyperlink>
      <w:r>
        <w:t xml:space="preserve"> - Zugegriffen: 29.11.2023. </w:t>
      </w:r>
    </w:p>
  </w:footnote>
  <w:footnote w:id="1216">
    <w:p w14:paraId="600A7811" w14:textId="77777777" w:rsidR="00112190" w:rsidRDefault="00112190" w:rsidP="00112190">
      <w:pPr>
        <w:pStyle w:val="Funotentext"/>
      </w:pPr>
      <w:r>
        <w:rPr>
          <w:rStyle w:val="Funotenzeichen"/>
        </w:rPr>
        <w:footnoteRef/>
      </w:r>
      <w:r>
        <w:t xml:space="preserve"> Siehe: </w:t>
      </w:r>
      <w:hyperlink r:id="rId912" w:history="1">
        <w:r w:rsidRPr="008F7D68">
          <w:rPr>
            <w:rStyle w:val="Hyperlink"/>
          </w:rPr>
          <w:t>https://de.wikipedia.org/wiki/Rat_der_Europ%C3%A4ischen_Union</w:t>
        </w:r>
      </w:hyperlink>
      <w:r>
        <w:t xml:space="preserve"> – besser auf Englisch: </w:t>
      </w:r>
      <w:hyperlink r:id="rId913" w:history="1">
        <w:r w:rsidRPr="008F7D68">
          <w:rPr>
            <w:rStyle w:val="Hyperlink"/>
          </w:rPr>
          <w:t>https://en.wikipedia.org/wiki/Council_of_the_European_Union</w:t>
        </w:r>
      </w:hyperlink>
      <w:r>
        <w:t xml:space="preserve"> - Zugegriffen: 28.12.2023. </w:t>
      </w:r>
    </w:p>
  </w:footnote>
  <w:footnote w:id="1217">
    <w:p w14:paraId="0CAD0D74" w14:textId="77777777" w:rsidR="00112190" w:rsidRDefault="00112190" w:rsidP="00112190">
      <w:pPr>
        <w:pStyle w:val="Funotentext"/>
      </w:pPr>
      <w:r>
        <w:rPr>
          <w:rStyle w:val="Funotenzeichen"/>
        </w:rPr>
        <w:footnoteRef/>
      </w:r>
      <w:r>
        <w:t xml:space="preserve"> Siehe Trilog: </w:t>
      </w:r>
      <w:hyperlink r:id="rId914" w:history="1">
        <w:r w:rsidRPr="00AB4BBB">
          <w:rPr>
            <w:rStyle w:val="Hyperlink"/>
          </w:rPr>
          <w:t>https://eur-lex.europa.eu/DE/legal-content/glossary/trilogue.html</w:t>
        </w:r>
      </w:hyperlink>
      <w:r>
        <w:t xml:space="preserve"> - Zugegriffen: 07.01.2024.</w:t>
      </w:r>
    </w:p>
  </w:footnote>
  <w:footnote w:id="1218">
    <w:p w14:paraId="46F9F362" w14:textId="26DA6FB8" w:rsidR="00EC5F38" w:rsidRPr="00F769C8" w:rsidRDefault="00EC5F38">
      <w:pPr>
        <w:pStyle w:val="Funotentext"/>
        <w:rPr>
          <w:lang w:val="nl-NL"/>
        </w:rPr>
      </w:pPr>
      <w:r>
        <w:rPr>
          <w:rStyle w:val="Funotenzeichen"/>
        </w:rPr>
        <w:footnoteRef/>
      </w:r>
      <w:r w:rsidRPr="00F769C8">
        <w:rPr>
          <w:lang w:val="nl-NL"/>
        </w:rPr>
        <w:t xml:space="preserve"> Hendrik Kafsack. Kompromissapparat. FAZ, </w:t>
      </w:r>
      <w:r w:rsidR="0053429C" w:rsidRPr="00F769C8">
        <w:rPr>
          <w:lang w:val="nl-NL"/>
        </w:rPr>
        <w:t xml:space="preserve">07.06.2024. </w:t>
      </w:r>
    </w:p>
  </w:footnote>
  <w:footnote w:id="1219">
    <w:p w14:paraId="2F5CD6F4" w14:textId="77777777" w:rsidR="0076001F" w:rsidRDefault="0076001F" w:rsidP="0076001F">
      <w:pPr>
        <w:pStyle w:val="Funotentext"/>
      </w:pPr>
      <w:r>
        <w:rPr>
          <w:rStyle w:val="Funotenzeichen"/>
        </w:rPr>
        <w:footnoteRef/>
      </w:r>
      <w:r w:rsidRPr="00F769C8">
        <w:rPr>
          <w:lang w:val="nl-NL"/>
        </w:rPr>
        <w:t xml:space="preserve"> Hendrik Kafsack. </w:t>
      </w:r>
      <w:r>
        <w:t xml:space="preserve">Kompromissapparat. FAZ, 07.06.2024. </w:t>
      </w:r>
    </w:p>
  </w:footnote>
  <w:footnote w:id="1220">
    <w:p w14:paraId="5321D024" w14:textId="63E9879B" w:rsidR="0076001F" w:rsidRDefault="0076001F">
      <w:pPr>
        <w:pStyle w:val="Funotentext"/>
      </w:pPr>
      <w:r>
        <w:rPr>
          <w:rStyle w:val="Funotenzeichen"/>
        </w:rPr>
        <w:footnoteRef/>
      </w:r>
      <w:r>
        <w:t xml:space="preserve"> Siehe BPB Europalexikon Europäisches Parlament, A Maurer: </w:t>
      </w:r>
      <w:hyperlink r:id="rId915" w:history="1">
        <w:r w:rsidRPr="004E7EE4">
          <w:rPr>
            <w:rStyle w:val="Hyperlink"/>
          </w:rPr>
          <w:t>https://www.bpb.de/kurz-knapp/lexika/das-europalexikon/176937/europaeisches-parlament-ep/</w:t>
        </w:r>
      </w:hyperlink>
      <w:r>
        <w:t xml:space="preserve"> - Zugegriffen: 12.07.2024. Die Zahl der Abgeordneten von 720 für das neu gewählte Europaparlament ist entnommen aus dem Artikel von Hendrick Kafsack.</w:t>
      </w:r>
    </w:p>
  </w:footnote>
  <w:footnote w:id="1221">
    <w:p w14:paraId="65E9D67B" w14:textId="77777777" w:rsidR="00112190" w:rsidRDefault="00112190" w:rsidP="00112190">
      <w:pPr>
        <w:pStyle w:val="Funotentext"/>
      </w:pPr>
      <w:r>
        <w:rPr>
          <w:rStyle w:val="Funotenzeichen"/>
        </w:rPr>
        <w:footnoteRef/>
      </w:r>
      <w:r>
        <w:t xml:space="preserve"> </w:t>
      </w:r>
      <w:proofErr w:type="spellStart"/>
      <w:r>
        <w:t>Ochner</w:t>
      </w:r>
      <w:proofErr w:type="spellEnd"/>
      <w:r>
        <w:t xml:space="preserve"> 2022: 104.</w:t>
      </w:r>
    </w:p>
  </w:footnote>
  <w:footnote w:id="1222">
    <w:p w14:paraId="56D6277D" w14:textId="77777777" w:rsidR="00112190" w:rsidRDefault="00112190" w:rsidP="00112190">
      <w:pPr>
        <w:pStyle w:val="Funotentext"/>
      </w:pPr>
      <w:r>
        <w:rPr>
          <w:rStyle w:val="Funotenzeichen"/>
        </w:rPr>
        <w:footnoteRef/>
      </w:r>
      <w:r>
        <w:t xml:space="preserve"> </w:t>
      </w:r>
      <w:proofErr w:type="spellStart"/>
      <w:r>
        <w:t>Ochner</w:t>
      </w:r>
      <w:proofErr w:type="spellEnd"/>
      <w:r>
        <w:t xml:space="preserve"> 2022: 103.</w:t>
      </w:r>
    </w:p>
  </w:footnote>
  <w:footnote w:id="1223">
    <w:p w14:paraId="70B5DB72" w14:textId="77777777" w:rsidR="00112190" w:rsidRPr="001522CA" w:rsidRDefault="00112190" w:rsidP="00112190">
      <w:pPr>
        <w:pStyle w:val="Funotentext"/>
      </w:pPr>
      <w:r>
        <w:rPr>
          <w:rStyle w:val="Funotenzeichen"/>
        </w:rPr>
        <w:footnoteRef/>
      </w:r>
      <w:r w:rsidRPr="001522CA">
        <w:t xml:space="preserve"> Siehe die dazugehörige </w:t>
      </w:r>
      <w:proofErr w:type="gramStart"/>
      <w:r w:rsidRPr="001522CA">
        <w:t>EU W</w:t>
      </w:r>
      <w:r>
        <w:t>ebseite</w:t>
      </w:r>
      <w:proofErr w:type="gramEnd"/>
      <w:r>
        <w:t xml:space="preserve">: </w:t>
      </w:r>
      <w:hyperlink r:id="rId916" w:history="1">
        <w:r w:rsidRPr="008F7D68">
          <w:rPr>
            <w:rStyle w:val="Hyperlink"/>
          </w:rPr>
          <w:t>https://commission.europa.eu/law/application-eu-law_de</w:t>
        </w:r>
      </w:hyperlink>
      <w:r>
        <w:t xml:space="preserve"> </w:t>
      </w:r>
    </w:p>
  </w:footnote>
  <w:footnote w:id="1224">
    <w:p w14:paraId="0BB099FB" w14:textId="77777777" w:rsidR="00112190" w:rsidRPr="00FD5646" w:rsidRDefault="00112190" w:rsidP="00112190">
      <w:pPr>
        <w:pStyle w:val="Funotentext"/>
      </w:pPr>
      <w:r>
        <w:rPr>
          <w:rStyle w:val="Funotenzeichen"/>
        </w:rPr>
        <w:footnoteRef/>
      </w:r>
      <w:r w:rsidRPr="00FD5646">
        <w:t xml:space="preserve"> </w:t>
      </w:r>
      <w:r>
        <w:t xml:space="preserve">Siehe: </w:t>
      </w:r>
      <w:hyperlink r:id="rId917" w:history="1">
        <w:r w:rsidRPr="008F7D68">
          <w:rPr>
            <w:rStyle w:val="Hyperlink"/>
          </w:rPr>
          <w:t>https://commission.europa.eu/law/application-eu-law/implementing-eu-law/infringement-procedure/2022-annual-report-monitoring-application-eu-law_en</w:t>
        </w:r>
      </w:hyperlink>
      <w:r>
        <w:t xml:space="preserve"> - Zugegriffen: 28.12.2023. </w:t>
      </w:r>
    </w:p>
  </w:footnote>
  <w:footnote w:id="1225">
    <w:p w14:paraId="110FE583" w14:textId="77777777" w:rsidR="00112190" w:rsidRDefault="00112190" w:rsidP="00112190">
      <w:pPr>
        <w:pStyle w:val="Funotentext"/>
      </w:pPr>
      <w:r>
        <w:rPr>
          <w:rStyle w:val="Funotenzeichen"/>
        </w:rPr>
        <w:footnoteRef/>
      </w:r>
      <w:r>
        <w:t xml:space="preserve"> Siehe: </w:t>
      </w:r>
      <w:hyperlink r:id="rId918" w:history="1">
        <w:r w:rsidRPr="008F7D68">
          <w:rPr>
            <w:rStyle w:val="Hyperlink"/>
          </w:rPr>
          <w:t>https://commission.europa.eu/law/application-eu-law/implementing-eu-law/infringement-procedure/2022-annual-report-monitoring-application-eu-law/environment-2022_en</w:t>
        </w:r>
      </w:hyperlink>
      <w:r>
        <w:t xml:space="preserve"> - Zugegriffen: 28.12.2023. </w:t>
      </w:r>
    </w:p>
  </w:footnote>
  <w:footnote w:id="1226">
    <w:p w14:paraId="29E49654" w14:textId="77777777" w:rsidR="00112190" w:rsidRPr="00FD5646" w:rsidRDefault="00112190" w:rsidP="00112190">
      <w:pPr>
        <w:pStyle w:val="Funotentext"/>
      </w:pPr>
      <w:r>
        <w:rPr>
          <w:rStyle w:val="Funotenzeichen"/>
        </w:rPr>
        <w:footnoteRef/>
      </w:r>
      <w:r w:rsidRPr="00FD5646">
        <w:t xml:space="preserve"> </w:t>
      </w:r>
      <w:proofErr w:type="spellStart"/>
      <w:r w:rsidRPr="00FD5646">
        <w:t>Ochner</w:t>
      </w:r>
      <w:proofErr w:type="spellEnd"/>
      <w:r>
        <w:t xml:space="preserve"> 2022: 100-107.</w:t>
      </w:r>
    </w:p>
  </w:footnote>
  <w:footnote w:id="1227">
    <w:p w14:paraId="4167CFC9" w14:textId="77777777" w:rsidR="00112190" w:rsidRDefault="00112190" w:rsidP="00112190">
      <w:pPr>
        <w:pStyle w:val="Funotentext"/>
      </w:pPr>
      <w:r>
        <w:rPr>
          <w:rStyle w:val="Funotenzeichen"/>
        </w:rPr>
        <w:footnoteRef/>
      </w:r>
      <w:r>
        <w:t xml:space="preserve"> </w:t>
      </w:r>
      <w:r w:rsidRPr="0044672C">
        <w:t>Sachverständigenrat für Umweltfragen</w:t>
      </w:r>
      <w:r>
        <w:t xml:space="preserve"> 2020: 509-510.</w:t>
      </w:r>
    </w:p>
  </w:footnote>
  <w:footnote w:id="1228">
    <w:p w14:paraId="469B1F7F" w14:textId="77777777" w:rsidR="00112190" w:rsidRDefault="00112190" w:rsidP="00112190">
      <w:pPr>
        <w:pStyle w:val="Funotentext"/>
      </w:pPr>
      <w:r>
        <w:rPr>
          <w:rStyle w:val="Funotenzeichen"/>
        </w:rPr>
        <w:footnoteRef/>
      </w:r>
      <w:r>
        <w:t xml:space="preserve"> Mehrere Vorschläge finden sich in: </w:t>
      </w:r>
      <w:proofErr w:type="spellStart"/>
      <w:r>
        <w:t>Ochner</w:t>
      </w:r>
      <w:proofErr w:type="spellEnd"/>
      <w:r>
        <w:t xml:space="preserve"> 2022: 105; 102-111.</w:t>
      </w:r>
    </w:p>
  </w:footnote>
  <w:footnote w:id="1229">
    <w:p w14:paraId="48141DEF" w14:textId="77777777" w:rsidR="00112190" w:rsidRDefault="00112190" w:rsidP="00112190">
      <w:pPr>
        <w:pStyle w:val="Funotentext"/>
      </w:pPr>
      <w:r>
        <w:rPr>
          <w:rStyle w:val="Funotenzeichen"/>
        </w:rPr>
        <w:footnoteRef/>
      </w:r>
      <w:r>
        <w:t xml:space="preserve"> Siehe zu </w:t>
      </w:r>
      <w:proofErr w:type="spellStart"/>
      <w:r>
        <w:t>Opt</w:t>
      </w:r>
      <w:proofErr w:type="spellEnd"/>
      <w:r>
        <w:t xml:space="preserve">-out bzw. Nichtbeteiligungsklauseln diese Infos mit Beispielen: </w:t>
      </w:r>
      <w:hyperlink r:id="rId919" w:history="1">
        <w:r w:rsidRPr="00716F5F">
          <w:rPr>
            <w:rStyle w:val="Hyperlink"/>
          </w:rPr>
          <w:t>https://eur-lex.europa.eu/legal-content/DE/TXT/?uri=LEGISSUM:opting_out</w:t>
        </w:r>
      </w:hyperlink>
      <w:r>
        <w:t xml:space="preserve"> – Zugegriffen: 29.12.2023. </w:t>
      </w:r>
    </w:p>
  </w:footnote>
  <w:footnote w:id="1230">
    <w:p w14:paraId="46CD28A6" w14:textId="77777777" w:rsidR="00112190" w:rsidRDefault="00112190" w:rsidP="00112190">
      <w:pPr>
        <w:pStyle w:val="Funotentext"/>
      </w:pPr>
      <w:r>
        <w:rPr>
          <w:rStyle w:val="Funotenzeichen"/>
        </w:rPr>
        <w:footnoteRef/>
      </w:r>
      <w:r>
        <w:t xml:space="preserve"> </w:t>
      </w:r>
      <w:proofErr w:type="spellStart"/>
      <w:r>
        <w:t>Ochner</w:t>
      </w:r>
      <w:proofErr w:type="spellEnd"/>
      <w:r>
        <w:t xml:space="preserve"> 2022: 105.</w:t>
      </w:r>
    </w:p>
  </w:footnote>
  <w:footnote w:id="1231">
    <w:p w14:paraId="479D4571" w14:textId="77777777" w:rsidR="00112190" w:rsidRDefault="00112190" w:rsidP="00112190">
      <w:pPr>
        <w:pStyle w:val="Funotentext"/>
      </w:pPr>
      <w:r>
        <w:rPr>
          <w:rStyle w:val="Funotenzeichen"/>
        </w:rPr>
        <w:footnoteRef/>
      </w:r>
      <w:r>
        <w:t xml:space="preserve"> Und im Dezember 2019 hat sich der Europäische Rat damit beschäftigt. Siehe: </w:t>
      </w:r>
      <w:hyperlink r:id="rId920" w:history="1">
        <w:r w:rsidRPr="00DB7530">
          <w:rPr>
            <w:rStyle w:val="Hyperlink"/>
          </w:rPr>
          <w:t>https://www.consilium.europa.eu/de/policies/green-deal/</w:t>
        </w:r>
      </w:hyperlink>
      <w:r>
        <w:t xml:space="preserve"> - Zugegriffen: 31.10.2023. </w:t>
      </w:r>
    </w:p>
  </w:footnote>
  <w:footnote w:id="1232">
    <w:p w14:paraId="777DD16B" w14:textId="77777777" w:rsidR="00112190" w:rsidRDefault="00112190" w:rsidP="00112190">
      <w:pPr>
        <w:pStyle w:val="Funotentext"/>
      </w:pPr>
      <w:r>
        <w:rPr>
          <w:rStyle w:val="Funotenzeichen"/>
        </w:rPr>
        <w:footnoteRef/>
      </w:r>
      <w:r>
        <w:t xml:space="preserve"> Green Deal, das Dokument mit Anhang: </w:t>
      </w:r>
      <w:hyperlink r:id="rId921" w:history="1">
        <w:r w:rsidRPr="00B9590C">
          <w:rPr>
            <w:rStyle w:val="Hyperlink"/>
          </w:rPr>
          <w:t>https://eur-lex.europa.eu/legal-content/DE/TXT/?uri=COM:2019:640:FIN</w:t>
        </w:r>
      </w:hyperlink>
      <w:r>
        <w:t xml:space="preserve"> – Zugegriffen: 28.12.2023. </w:t>
      </w:r>
    </w:p>
  </w:footnote>
  <w:footnote w:id="1233">
    <w:p w14:paraId="30D8001D" w14:textId="77777777" w:rsidR="00112190" w:rsidRDefault="00112190" w:rsidP="00112190">
      <w:pPr>
        <w:pStyle w:val="Funotentext"/>
      </w:pPr>
      <w:r>
        <w:rPr>
          <w:rStyle w:val="Funotenzeichen"/>
        </w:rPr>
        <w:footnoteRef/>
      </w:r>
      <w:r>
        <w:t xml:space="preserve"> Siehe: </w:t>
      </w:r>
      <w:hyperlink r:id="rId922" w:history="1">
        <w:r w:rsidRPr="00DA1D6D">
          <w:rPr>
            <w:rStyle w:val="Hyperlink"/>
          </w:rPr>
          <w:t>https://www.consilium.europa.eu/de/meetings/european-council/2019/12/12-13/</w:t>
        </w:r>
      </w:hyperlink>
      <w:r>
        <w:t xml:space="preserve"> - Zugegriffen: 28.12.2023. Siehe hier die Schlussfolgerungen vom 12. Dezember 2019, kurzes Zitat hieraus: „I. Klimawandel, 1. Angesichts der neuesten wissenschaftlichen Erkenntnisse und der Notwendigkeit, den weltweiten Klimaschutz zu intensivieren, unterstützt der Europäische Rat das Ziel, bis 2050 im Einklang mit den Zielen des Übereinkommens von Paris eine klimaneutrale Union zu erreichen. Ein Mitgliedstaat kann sich zum gegenwärtigen Zeitpunkt nicht verpflichten, dieses Ziel für sich umzusetzen, und der Europäische Rat wird im Juni 2020 darauf zurückkommen. (…) 3. Um Klimaneutralität zu erreichen, müssen jedoch große Herausforderungen überwunden werden. Der Europäische Rat nimmt die Mitteilung der Kommission „Der europäische Grüne Deal“ zur Kenntnis und ersucht den Rat, die Arbeit im Einklang mit Nummer 1 voranzubringen.“ siehe: </w:t>
      </w:r>
      <w:hyperlink r:id="rId923" w:history="1">
        <w:r w:rsidRPr="002D373A">
          <w:rPr>
            <w:rStyle w:val="Hyperlink"/>
          </w:rPr>
          <w:t>https://www.consilium.europa.eu/media/41779/12-euco-final-conclusions-de.pdf</w:t>
        </w:r>
      </w:hyperlink>
      <w:r>
        <w:t xml:space="preserve"> - Zugegriffen: 30.01.2023. Das Problem mit Polen wurde auf den nächsten Rat, Juni 2020, vertagt, siehe dort Punkt 1. </w:t>
      </w:r>
    </w:p>
  </w:footnote>
  <w:footnote w:id="1234">
    <w:p w14:paraId="69893751" w14:textId="77777777" w:rsidR="00112190" w:rsidRDefault="00112190" w:rsidP="00112190">
      <w:pPr>
        <w:pStyle w:val="Funotentext"/>
      </w:pPr>
      <w:r>
        <w:rPr>
          <w:rStyle w:val="Funotenzeichen"/>
        </w:rPr>
        <w:footnoteRef/>
      </w:r>
      <w:r>
        <w:t xml:space="preserve"> Timeline Kommission: </w:t>
      </w:r>
      <w:hyperlink r:id="rId924" w:history="1">
        <w:r w:rsidRPr="00DB6AF3">
          <w:rPr>
            <w:rStyle w:val="Hyperlink"/>
          </w:rPr>
          <w:t>https://commission.europa.eu/strategy-and-policy/priorities-2019-2024/european-green-deal_de</w:t>
        </w:r>
      </w:hyperlink>
      <w:r>
        <w:t xml:space="preserve"> - Zugegriffen: 22.12.2023. </w:t>
      </w:r>
    </w:p>
  </w:footnote>
  <w:footnote w:id="1235">
    <w:p w14:paraId="501C1603" w14:textId="77777777" w:rsidR="00112190" w:rsidRDefault="00112190" w:rsidP="00112190">
      <w:pPr>
        <w:pStyle w:val="Funotentext"/>
      </w:pPr>
      <w:r>
        <w:rPr>
          <w:rStyle w:val="Funotenzeichen"/>
        </w:rPr>
        <w:footnoteRef/>
      </w:r>
      <w:r>
        <w:t xml:space="preserve"> Timeline Rat der Europäischen Union: </w:t>
      </w:r>
      <w:hyperlink r:id="rId925" w:history="1">
        <w:r w:rsidRPr="00DA1D6D">
          <w:rPr>
            <w:rStyle w:val="Hyperlink"/>
          </w:rPr>
          <w:t>https://www.consilium.europa.eu/de/policies/green-deal/timeline-european-green-deal-and-fit-for-55/</w:t>
        </w:r>
      </w:hyperlink>
      <w:r>
        <w:t xml:space="preserve"> - Zugegriffen: 28.12.2023.  </w:t>
      </w:r>
    </w:p>
  </w:footnote>
  <w:footnote w:id="1236">
    <w:p w14:paraId="60854708" w14:textId="77777777" w:rsidR="00112190" w:rsidRDefault="00112190" w:rsidP="00112190">
      <w:pPr>
        <w:pStyle w:val="Funotentext"/>
      </w:pPr>
      <w:r>
        <w:rPr>
          <w:rStyle w:val="Funotenzeichen"/>
        </w:rPr>
        <w:footnoteRef/>
      </w:r>
      <w:r>
        <w:t xml:space="preserve"> Timeline Batterien: </w:t>
      </w:r>
      <w:hyperlink r:id="rId926" w:history="1">
        <w:r w:rsidRPr="00DA1D6D">
          <w:rPr>
            <w:rStyle w:val="Hyperlink"/>
          </w:rPr>
          <w:t>https://environment.ec.europa.eu/topics/waste-and-recycling/batteries_en</w:t>
        </w:r>
      </w:hyperlink>
      <w:r>
        <w:t xml:space="preserve"> - Zugegriffen: 328.12.2023. </w:t>
      </w:r>
    </w:p>
  </w:footnote>
  <w:footnote w:id="1237">
    <w:p w14:paraId="7402E4DB" w14:textId="77777777" w:rsidR="00112190" w:rsidRDefault="00112190" w:rsidP="00112190">
      <w:pPr>
        <w:pStyle w:val="Funotentext"/>
      </w:pPr>
      <w:r>
        <w:rPr>
          <w:rStyle w:val="Funotenzeichen"/>
        </w:rPr>
        <w:footnoteRef/>
      </w:r>
      <w:r>
        <w:t xml:space="preserve"> Siehe: </w:t>
      </w:r>
      <w:hyperlink r:id="rId927" w:history="1">
        <w:r w:rsidRPr="00EE187F">
          <w:rPr>
            <w:rStyle w:val="Hyperlink"/>
          </w:rPr>
          <w:t>https://www.europarl.europa.eu/legislative-train/</w:t>
        </w:r>
      </w:hyperlink>
    </w:p>
  </w:footnote>
  <w:footnote w:id="1238">
    <w:p w14:paraId="2E12956E" w14:textId="77777777" w:rsidR="00112190" w:rsidRDefault="00112190" w:rsidP="00112190">
      <w:pPr>
        <w:pStyle w:val="Funotentext"/>
      </w:pPr>
      <w:r>
        <w:rPr>
          <w:rStyle w:val="Funotenzeichen"/>
        </w:rPr>
        <w:footnoteRef/>
      </w:r>
      <w:r>
        <w:t xml:space="preserve"> </w:t>
      </w:r>
      <w:r w:rsidRPr="00365C2E">
        <w:t xml:space="preserve">  BMWK, Die Energie der Zukunft, 8. Monitoring Bericht zur Energiewende, Berichtsjahre 2018 und 2019, Stand 2021: 24.</w:t>
      </w:r>
      <w:r>
        <w:t xml:space="preserve"> Siehe: </w:t>
      </w:r>
      <w:hyperlink r:id="rId928" w:history="1">
        <w:r w:rsidRPr="000700D9">
          <w:rPr>
            <w:rStyle w:val="Hyperlink"/>
          </w:rPr>
          <w:t>https://www.bmwk.de/Redaktion/DE/Artikel/Energie/monitoring-prozess.html</w:t>
        </w:r>
      </w:hyperlink>
      <w:r>
        <w:t xml:space="preserve"> - Zugegriffen: 29.12.2023.</w:t>
      </w:r>
    </w:p>
  </w:footnote>
  <w:footnote w:id="1239">
    <w:p w14:paraId="19FB57C8" w14:textId="77777777" w:rsidR="00112190" w:rsidRDefault="00112190" w:rsidP="00112190">
      <w:pPr>
        <w:pStyle w:val="Funotentext"/>
      </w:pPr>
      <w:r>
        <w:rPr>
          <w:rStyle w:val="Funotenzeichen"/>
        </w:rPr>
        <w:footnoteRef/>
      </w:r>
      <w:r>
        <w:t xml:space="preserve"> Siehe: </w:t>
      </w:r>
      <w:hyperlink r:id="rId929" w:history="1">
        <w:r w:rsidRPr="00A1629F">
          <w:rPr>
            <w:rStyle w:val="Hyperlink"/>
          </w:rPr>
          <w:t>https://ec.europa.eu/commission/presscorner/detail/en/qanda_20_24</w:t>
        </w:r>
      </w:hyperlink>
      <w:r>
        <w:t xml:space="preserve"> - Zugegriffen: 19.04.2024. </w:t>
      </w:r>
    </w:p>
  </w:footnote>
  <w:footnote w:id="1240">
    <w:p w14:paraId="5A635DAF" w14:textId="77777777" w:rsidR="00112190" w:rsidRPr="00CA37C0" w:rsidRDefault="00112190" w:rsidP="00112190">
      <w:pPr>
        <w:pStyle w:val="Funotentext"/>
      </w:pPr>
      <w:r>
        <w:rPr>
          <w:rStyle w:val="Funotenzeichen"/>
        </w:rPr>
        <w:footnoteRef/>
      </w:r>
      <w:r w:rsidRPr="00951AB0">
        <w:t xml:space="preserve"> COM (2020) 21 final. </w:t>
      </w:r>
      <w:r w:rsidRPr="00CA37C0">
        <w:t xml:space="preserve">Siehe: </w:t>
      </w:r>
      <w:hyperlink r:id="rId930" w:history="1">
        <w:r w:rsidRPr="00716F5F">
          <w:rPr>
            <w:rStyle w:val="Hyperlink"/>
          </w:rPr>
          <w:t>https://eur-lex.europa.eu/legal-content/DE/TXT/PDF/?uri=CELEX:52020DC0021</w:t>
        </w:r>
      </w:hyperlink>
      <w:r>
        <w:t xml:space="preserve"> – Zugegriffen: 28.12.2023.</w:t>
      </w:r>
    </w:p>
  </w:footnote>
  <w:footnote w:id="1241">
    <w:p w14:paraId="310DEE19" w14:textId="77777777" w:rsidR="00112190" w:rsidRDefault="00112190" w:rsidP="00112190">
      <w:pPr>
        <w:pStyle w:val="Funotentext"/>
      </w:pPr>
      <w:r>
        <w:rPr>
          <w:rStyle w:val="Funotenzeichen"/>
        </w:rPr>
        <w:footnoteRef/>
      </w:r>
      <w:r w:rsidRPr="00BA0686">
        <w:t xml:space="preserve"> S. 7, COM (2020) 21 final. </w:t>
      </w:r>
      <w:r w:rsidRPr="00286053">
        <w:t xml:space="preserve">Siehe: </w:t>
      </w:r>
      <w:hyperlink r:id="rId931" w:history="1">
        <w:r w:rsidRPr="00A721CF">
          <w:rPr>
            <w:rStyle w:val="Hyperlink"/>
          </w:rPr>
          <w:t>https://eur-lex.europa.eu/legal-content/DE/TXT/PDF/?uri=CELEX:52020DC0021</w:t>
        </w:r>
      </w:hyperlink>
      <w:r w:rsidRPr="00286053">
        <w:t xml:space="preserve"> – Zugegriffen: 28.12.2023.</w:t>
      </w:r>
    </w:p>
  </w:footnote>
  <w:footnote w:id="1242">
    <w:p w14:paraId="7E7401A8" w14:textId="77777777" w:rsidR="00112190" w:rsidRPr="00631BC5" w:rsidRDefault="00112190" w:rsidP="00112190">
      <w:pPr>
        <w:pStyle w:val="Funotentext"/>
        <w:rPr>
          <w:lang w:val="it-IT"/>
        </w:rPr>
      </w:pPr>
      <w:r>
        <w:rPr>
          <w:rStyle w:val="Funotenzeichen"/>
        </w:rPr>
        <w:footnoteRef/>
      </w:r>
      <w:r w:rsidRPr="00631BC5">
        <w:rPr>
          <w:lang w:val="it-IT"/>
        </w:rPr>
        <w:t xml:space="preserve"> P</w:t>
      </w:r>
      <w:r>
        <w:rPr>
          <w:lang w:val="it-IT"/>
        </w:rPr>
        <w:t xml:space="preserve">isani-Ferry et al. 2023: 9. </w:t>
      </w:r>
    </w:p>
  </w:footnote>
  <w:footnote w:id="1243">
    <w:p w14:paraId="43707C4C" w14:textId="77777777" w:rsidR="00112190" w:rsidRPr="00631BC5" w:rsidRDefault="00112190" w:rsidP="00112190">
      <w:pPr>
        <w:pStyle w:val="Funotentext"/>
        <w:rPr>
          <w:lang w:val="it-IT"/>
        </w:rPr>
      </w:pPr>
      <w:r>
        <w:rPr>
          <w:rStyle w:val="Funotenzeichen"/>
        </w:rPr>
        <w:footnoteRef/>
      </w:r>
      <w:r w:rsidRPr="00631BC5">
        <w:rPr>
          <w:lang w:val="it-IT"/>
        </w:rPr>
        <w:t xml:space="preserve"> Pisani-Ferry et al. 2023: 9.</w:t>
      </w:r>
    </w:p>
  </w:footnote>
  <w:footnote w:id="1244">
    <w:p w14:paraId="4D5D4999" w14:textId="77777777" w:rsidR="00112190" w:rsidRDefault="00112190" w:rsidP="00112190">
      <w:pPr>
        <w:pStyle w:val="Funotentext"/>
      </w:pPr>
      <w:r>
        <w:rPr>
          <w:rStyle w:val="Funotenzeichen"/>
        </w:rPr>
        <w:footnoteRef/>
      </w:r>
      <w:r>
        <w:t xml:space="preserve"> Pisani-Ferry et al. 2023: 12. </w:t>
      </w:r>
    </w:p>
  </w:footnote>
  <w:footnote w:id="1245">
    <w:p w14:paraId="5BA6F2F2" w14:textId="77777777" w:rsidR="00112190" w:rsidRDefault="00112190" w:rsidP="00112190">
      <w:pPr>
        <w:pStyle w:val="Funotentext"/>
      </w:pPr>
      <w:r>
        <w:rPr>
          <w:rStyle w:val="Funotenzeichen"/>
        </w:rPr>
        <w:footnoteRef/>
      </w:r>
      <w:r>
        <w:t xml:space="preserve"> Siehe: </w:t>
      </w:r>
      <w:hyperlink r:id="rId932" w:history="1">
        <w:r w:rsidRPr="00A1629F">
          <w:rPr>
            <w:rStyle w:val="Hyperlink"/>
          </w:rPr>
          <w:t>https://ec.europa.eu/commission/presscorner/detail/en/qanda_20_24</w:t>
        </w:r>
      </w:hyperlink>
      <w:r>
        <w:t xml:space="preserve"> - Zugegriffen: 19.04.2024.</w:t>
      </w:r>
    </w:p>
  </w:footnote>
  <w:footnote w:id="1246">
    <w:p w14:paraId="2EC32341" w14:textId="77777777" w:rsidR="00112190" w:rsidRDefault="00112190" w:rsidP="00112190">
      <w:pPr>
        <w:pStyle w:val="Funotentext"/>
      </w:pPr>
      <w:r>
        <w:rPr>
          <w:rStyle w:val="Funotenzeichen"/>
        </w:rPr>
        <w:footnoteRef/>
      </w:r>
      <w:r>
        <w:t xml:space="preserve"> </w:t>
      </w:r>
      <w:r w:rsidRPr="001745DC">
        <w:t>Siehe BMWK, Die Energie der Zukunft, 8. Monitoring Bericht zur Energiewende, Berichtsjahr 2018 und 2019, Stand 2021: S. 29.</w:t>
      </w:r>
    </w:p>
  </w:footnote>
  <w:footnote w:id="1247">
    <w:p w14:paraId="0F2C3953" w14:textId="77777777" w:rsidR="00112190" w:rsidRDefault="00112190" w:rsidP="00112190">
      <w:pPr>
        <w:pStyle w:val="Funotentext"/>
      </w:pPr>
      <w:r>
        <w:rPr>
          <w:rStyle w:val="Funotenzeichen"/>
        </w:rPr>
        <w:footnoteRef/>
      </w:r>
      <w:r>
        <w:t xml:space="preserve"> </w:t>
      </w:r>
      <w:r w:rsidRPr="00EB7A56">
        <w:t xml:space="preserve">Siehe BMWK, Die Energie der Zukunft, 8. Monitoring Bericht zur Energiewende, Berichtsjahr 2018 und 2019, Stand 2021: S. </w:t>
      </w:r>
      <w:r>
        <w:t>30</w:t>
      </w:r>
      <w:r w:rsidRPr="00EB7A56">
        <w:t>.</w:t>
      </w:r>
    </w:p>
  </w:footnote>
  <w:footnote w:id="1248">
    <w:p w14:paraId="2E9FEE49" w14:textId="77777777" w:rsidR="00112190" w:rsidRDefault="00112190" w:rsidP="00112190">
      <w:pPr>
        <w:pStyle w:val="Funotentext"/>
      </w:pPr>
      <w:r>
        <w:rPr>
          <w:rStyle w:val="Funotenzeichen"/>
        </w:rPr>
        <w:footnoteRef/>
      </w:r>
      <w:r>
        <w:t xml:space="preserve"> S. 4-7, </w:t>
      </w:r>
      <w:r w:rsidRPr="001745DC">
        <w:t xml:space="preserve">COM (2020) 21 final. </w:t>
      </w:r>
      <w:r w:rsidRPr="00CA37C0">
        <w:t xml:space="preserve">Siehe: </w:t>
      </w:r>
      <w:hyperlink r:id="rId933" w:history="1">
        <w:r w:rsidRPr="00716F5F">
          <w:rPr>
            <w:rStyle w:val="Hyperlink"/>
          </w:rPr>
          <w:t>https://eur-lex.europa.eu/legal-content/DE/TXT/PDF/?uri=CELEX:52020DC0021</w:t>
        </w:r>
      </w:hyperlink>
      <w:r>
        <w:t xml:space="preserve"> – Zugegriffen: 28.12.2023.</w:t>
      </w:r>
    </w:p>
  </w:footnote>
  <w:footnote w:id="1249">
    <w:p w14:paraId="488524C9" w14:textId="77777777" w:rsidR="00112190" w:rsidRDefault="00112190" w:rsidP="00112190">
      <w:pPr>
        <w:pStyle w:val="Funotentext"/>
      </w:pPr>
      <w:r>
        <w:rPr>
          <w:rStyle w:val="Funotenzeichen"/>
        </w:rPr>
        <w:footnoteRef/>
      </w:r>
      <w:r>
        <w:t xml:space="preserve"> </w:t>
      </w:r>
      <w:r w:rsidRPr="00813825">
        <w:t>BMWK. Die Energie der Zukunft, 8. Monitoring Bereich zur Energiewende, Berichtsjahre 2018 und 2019, Stand 2021: 30.</w:t>
      </w:r>
    </w:p>
  </w:footnote>
  <w:footnote w:id="1250">
    <w:p w14:paraId="36E10AB0" w14:textId="77777777" w:rsidR="00112190" w:rsidRPr="001745DC" w:rsidRDefault="00112190" w:rsidP="00112190">
      <w:pPr>
        <w:pStyle w:val="Funotentext"/>
      </w:pPr>
      <w:r>
        <w:rPr>
          <w:rStyle w:val="Funotenzeichen"/>
        </w:rPr>
        <w:footnoteRef/>
      </w:r>
      <w:r w:rsidRPr="001745DC">
        <w:t xml:space="preserve"> EIB 2023: 3. </w:t>
      </w:r>
    </w:p>
  </w:footnote>
  <w:footnote w:id="1251">
    <w:p w14:paraId="7263C957" w14:textId="77777777" w:rsidR="00112190" w:rsidRDefault="00112190" w:rsidP="00112190">
      <w:pPr>
        <w:pStyle w:val="Funotentext"/>
      </w:pPr>
      <w:r>
        <w:rPr>
          <w:rStyle w:val="Funotenzeichen"/>
        </w:rPr>
        <w:footnoteRef/>
      </w:r>
      <w:r>
        <w:t xml:space="preserve"> </w:t>
      </w:r>
      <w:proofErr w:type="spellStart"/>
      <w:r>
        <w:t>InvestEU</w:t>
      </w:r>
      <w:proofErr w:type="spellEnd"/>
      <w:r>
        <w:t xml:space="preserve">: </w:t>
      </w:r>
      <w:hyperlink r:id="rId934" w:history="1">
        <w:r w:rsidRPr="00E92795">
          <w:rPr>
            <w:rStyle w:val="Hyperlink"/>
          </w:rPr>
          <w:t>https://investeu.europa.eu/index_en</w:t>
        </w:r>
      </w:hyperlink>
      <w:r>
        <w:t xml:space="preserve"> - Zugegriffen: 22.12.2023.</w:t>
      </w:r>
    </w:p>
  </w:footnote>
  <w:footnote w:id="1252">
    <w:p w14:paraId="793012C7" w14:textId="77777777" w:rsidR="00112190" w:rsidRPr="00BA0686" w:rsidRDefault="00112190" w:rsidP="00112190">
      <w:pPr>
        <w:pStyle w:val="Funotentext"/>
      </w:pPr>
      <w:r>
        <w:rPr>
          <w:rStyle w:val="Funotenzeichen"/>
        </w:rPr>
        <w:footnoteRef/>
      </w:r>
      <w:r w:rsidRPr="00BA0686">
        <w:t xml:space="preserve"> </w:t>
      </w:r>
      <w:proofErr w:type="spellStart"/>
      <w:r w:rsidRPr="00BA0686">
        <w:t>InvestEU</w:t>
      </w:r>
      <w:proofErr w:type="spellEnd"/>
      <w:r w:rsidRPr="00BA0686">
        <w:t xml:space="preserve"> Portal: </w:t>
      </w:r>
      <w:hyperlink r:id="rId935" w:history="1">
        <w:r w:rsidRPr="00BA0686">
          <w:rPr>
            <w:rStyle w:val="Hyperlink"/>
          </w:rPr>
          <w:t>https://ec.europa.eu/investeuportal/desktop/en/index.html</w:t>
        </w:r>
      </w:hyperlink>
      <w:r w:rsidRPr="00BA0686">
        <w:t xml:space="preserve"> </w:t>
      </w:r>
    </w:p>
  </w:footnote>
  <w:footnote w:id="1253">
    <w:p w14:paraId="444D4604" w14:textId="77777777" w:rsidR="00112190" w:rsidRDefault="00112190" w:rsidP="00112190">
      <w:pPr>
        <w:pStyle w:val="Funotentext"/>
      </w:pPr>
      <w:r>
        <w:rPr>
          <w:rStyle w:val="Funotenzeichen"/>
        </w:rPr>
        <w:footnoteRef/>
      </w:r>
      <w:r>
        <w:t xml:space="preserve"> Siehe auch einer weiteren Überblicksseite zur Finanzierung von Klimazielen: </w:t>
      </w:r>
      <w:hyperlink r:id="rId936" w:history="1">
        <w:r w:rsidRPr="00DA1D6D">
          <w:rPr>
            <w:rStyle w:val="Hyperlink"/>
          </w:rPr>
          <w:t>https://finance.ec.europa.eu/publications/strategy-financing-transition-sustainable-economy_en</w:t>
        </w:r>
      </w:hyperlink>
      <w:r>
        <w:t xml:space="preserve"> - Zugegriffen: 28.12.2023. </w:t>
      </w:r>
    </w:p>
  </w:footnote>
  <w:footnote w:id="1254">
    <w:p w14:paraId="6383ECAE" w14:textId="77777777" w:rsidR="00112190" w:rsidRDefault="00112190" w:rsidP="00112190">
      <w:pPr>
        <w:pStyle w:val="Funotentext"/>
      </w:pPr>
      <w:r>
        <w:rPr>
          <w:rStyle w:val="Funotenzeichen"/>
        </w:rPr>
        <w:footnoteRef/>
      </w:r>
      <w:r>
        <w:t xml:space="preserve"> Verordnung (EU) 2020/852, siehe: </w:t>
      </w:r>
      <w:hyperlink r:id="rId937" w:history="1">
        <w:r w:rsidRPr="00716F5F">
          <w:rPr>
            <w:rStyle w:val="Hyperlink"/>
          </w:rPr>
          <w:t>https://eur-lex.europa.eu/legal-content/EN/TXT/?uri=CELEX:32020R0852</w:t>
        </w:r>
      </w:hyperlink>
      <w:r>
        <w:t xml:space="preserve"> – Zugegriffen: 28.12.023. </w:t>
      </w:r>
    </w:p>
  </w:footnote>
  <w:footnote w:id="1255">
    <w:p w14:paraId="571BB842" w14:textId="77777777" w:rsidR="00112190" w:rsidRDefault="00112190" w:rsidP="00112190">
      <w:pPr>
        <w:pStyle w:val="Funotentext"/>
      </w:pPr>
      <w:r>
        <w:rPr>
          <w:rStyle w:val="Funotenzeichen"/>
        </w:rPr>
        <w:footnoteRef/>
      </w:r>
      <w:r>
        <w:t xml:space="preserve"> </w:t>
      </w:r>
      <w:r w:rsidRPr="00573167">
        <w:t xml:space="preserve">S. </w:t>
      </w:r>
      <w:r>
        <w:t>11</w:t>
      </w:r>
      <w:r w:rsidRPr="00573167">
        <w:t xml:space="preserve">, COM (2020) 21 final. Siehe: </w:t>
      </w:r>
      <w:hyperlink r:id="rId938" w:history="1">
        <w:r w:rsidRPr="00A721CF">
          <w:rPr>
            <w:rStyle w:val="Hyperlink"/>
          </w:rPr>
          <w:t>https://eur-lex.europa.eu/legal-content/DE/TXT/PDF/?uri=CELEX:52020DC0021</w:t>
        </w:r>
      </w:hyperlink>
      <w:r w:rsidRPr="00573167">
        <w:t xml:space="preserve"> – Zugegriffen: 28.12.2023.</w:t>
      </w:r>
    </w:p>
  </w:footnote>
  <w:footnote w:id="1256">
    <w:p w14:paraId="5D78AF24" w14:textId="77777777" w:rsidR="00112190" w:rsidRDefault="00112190" w:rsidP="00112190">
      <w:pPr>
        <w:pStyle w:val="Funotentext"/>
      </w:pPr>
      <w:r>
        <w:rPr>
          <w:rStyle w:val="Funotenzeichen"/>
        </w:rPr>
        <w:footnoteRef/>
      </w:r>
      <w:r>
        <w:t xml:space="preserve"> </w:t>
      </w:r>
      <w:r w:rsidRPr="00573167">
        <w:t>S. 1</w:t>
      </w:r>
      <w:r>
        <w:t>5-17</w:t>
      </w:r>
      <w:r w:rsidRPr="00573167">
        <w:t xml:space="preserve">, COM (2020) 21 final. Siehe: </w:t>
      </w:r>
      <w:hyperlink r:id="rId939" w:history="1">
        <w:r w:rsidRPr="00A721CF">
          <w:rPr>
            <w:rStyle w:val="Hyperlink"/>
          </w:rPr>
          <w:t>https://eur-lex.europa.eu/legal-content/DE/TXT/PDF/?uri=CELEX:52020DC0021</w:t>
        </w:r>
      </w:hyperlink>
      <w:r w:rsidRPr="00573167">
        <w:t xml:space="preserve"> – Zugegriffen: 28.12.2023</w:t>
      </w:r>
      <w:r>
        <w:t>.</w:t>
      </w:r>
    </w:p>
  </w:footnote>
  <w:footnote w:id="1257">
    <w:p w14:paraId="79E3D8E2" w14:textId="77777777" w:rsidR="00112190" w:rsidRDefault="00112190" w:rsidP="00112190">
      <w:pPr>
        <w:pStyle w:val="Funotentext"/>
      </w:pPr>
      <w:r>
        <w:rPr>
          <w:rStyle w:val="Funotenzeichen"/>
        </w:rPr>
        <w:footnoteRef/>
      </w:r>
      <w:r>
        <w:t xml:space="preserve"> </w:t>
      </w:r>
      <w:r w:rsidRPr="00EB7A56">
        <w:t xml:space="preserve">BMWK, Die Energie der Zukunft, 8. Monitoring Bericht zur Energiewende, Berichtsjahr 2018 und 2019, Stand 2021: S. </w:t>
      </w:r>
      <w:r>
        <w:t>30</w:t>
      </w:r>
      <w:r w:rsidRPr="00EB7A56">
        <w:t>.</w:t>
      </w:r>
    </w:p>
  </w:footnote>
  <w:footnote w:id="1258">
    <w:p w14:paraId="35044A04" w14:textId="77777777" w:rsidR="00112190" w:rsidRDefault="00112190" w:rsidP="00112190">
      <w:pPr>
        <w:pStyle w:val="Funotentext"/>
      </w:pPr>
      <w:r>
        <w:rPr>
          <w:rStyle w:val="Funotenzeichen"/>
        </w:rPr>
        <w:footnoteRef/>
      </w:r>
      <w:r>
        <w:t xml:space="preserve"> Siehe: </w:t>
      </w:r>
      <w:hyperlink r:id="rId940" w:history="1">
        <w:r w:rsidRPr="00A1629F">
          <w:rPr>
            <w:rStyle w:val="Hyperlink"/>
          </w:rPr>
          <w:t>https://ec.europa.eu/regional_policy/funding/just-transition-fund_en</w:t>
        </w:r>
      </w:hyperlink>
      <w:r>
        <w:t xml:space="preserve"> - Zugegriffen: 19.01.2024. </w:t>
      </w:r>
    </w:p>
  </w:footnote>
  <w:footnote w:id="1259">
    <w:p w14:paraId="0098554C" w14:textId="77777777" w:rsidR="00112190" w:rsidRDefault="00112190" w:rsidP="00112190">
      <w:pPr>
        <w:pStyle w:val="Funotentext"/>
      </w:pPr>
      <w:r>
        <w:rPr>
          <w:rStyle w:val="Funotenzeichen"/>
        </w:rPr>
        <w:footnoteRef/>
      </w:r>
      <w:r>
        <w:t xml:space="preserve"> Siehe: </w:t>
      </w:r>
      <w:hyperlink r:id="rId941" w:history="1">
        <w:r w:rsidRPr="00A1629F">
          <w:rPr>
            <w:rStyle w:val="Hyperlink"/>
          </w:rPr>
          <w:t>https://ec.europa.eu/regional_policy/funding/just-transition-fund/just-transition-platform_en</w:t>
        </w:r>
      </w:hyperlink>
      <w:r>
        <w:t xml:space="preserve"> - Zugegriffen: 19.01.2024. </w:t>
      </w:r>
    </w:p>
  </w:footnote>
  <w:footnote w:id="1260">
    <w:p w14:paraId="6F0CEFEA" w14:textId="77777777" w:rsidR="00112190" w:rsidRDefault="00112190" w:rsidP="00112190">
      <w:pPr>
        <w:pStyle w:val="Funotentext"/>
      </w:pPr>
      <w:r>
        <w:rPr>
          <w:rStyle w:val="Funotenzeichen"/>
        </w:rPr>
        <w:footnoteRef/>
      </w:r>
      <w:r>
        <w:t xml:space="preserve"> Siehe ein Überblick hier: </w:t>
      </w:r>
      <w:hyperlink r:id="rId942" w:history="1">
        <w:r w:rsidRPr="00A1629F">
          <w:rPr>
            <w:rStyle w:val="Hyperlink"/>
          </w:rPr>
          <w:t>https://www.europarl.europa.eu/factsheets/de/sheet/98/europaische-territoriale-zusammenarbeit</w:t>
        </w:r>
      </w:hyperlink>
      <w:r>
        <w:t xml:space="preserve"> - Zugegriffen: 07.01.2024. </w:t>
      </w:r>
    </w:p>
  </w:footnote>
  <w:footnote w:id="1261">
    <w:p w14:paraId="5E5CE3C3" w14:textId="77777777" w:rsidR="00112190" w:rsidRDefault="00112190" w:rsidP="00112190">
      <w:pPr>
        <w:pStyle w:val="Funotentext"/>
      </w:pPr>
      <w:r>
        <w:rPr>
          <w:rStyle w:val="Funotenzeichen"/>
        </w:rPr>
        <w:footnoteRef/>
      </w:r>
      <w:r>
        <w:t xml:space="preserve"> Siehe: </w:t>
      </w:r>
      <w:hyperlink r:id="rId943" w:history="1">
        <w:r w:rsidRPr="00A1629F">
          <w:rPr>
            <w:rStyle w:val="Hyperlink"/>
          </w:rPr>
          <w:t>https://ec.europa.eu/regional_policy/funding/available-budget_en</w:t>
        </w:r>
      </w:hyperlink>
      <w:r>
        <w:t xml:space="preserve"> - Zugegriffen: 19.01.2024.</w:t>
      </w:r>
    </w:p>
  </w:footnote>
  <w:footnote w:id="1262">
    <w:p w14:paraId="3CBF0098" w14:textId="14ACEBD9" w:rsidR="00435052" w:rsidRDefault="00435052">
      <w:pPr>
        <w:pStyle w:val="Funotentext"/>
      </w:pPr>
      <w:r>
        <w:rPr>
          <w:rStyle w:val="Funotenzeichen"/>
        </w:rPr>
        <w:footnoteRef/>
      </w:r>
      <w:r>
        <w:t xml:space="preserve"> Hierzu keine </w:t>
      </w:r>
      <w:proofErr w:type="spellStart"/>
      <w:r>
        <w:t>Fussnote</w:t>
      </w:r>
      <w:proofErr w:type="spellEnd"/>
      <w:r>
        <w:t>, dies ist Talkshow Allgemeinwissen, aktuell hat dies z.B. die Bürgermeisterin von Ludwigshafen erzählt.</w:t>
      </w:r>
    </w:p>
  </w:footnote>
  <w:footnote w:id="1263">
    <w:p w14:paraId="2C9A89AE" w14:textId="77777777" w:rsidR="00112190" w:rsidRDefault="00112190" w:rsidP="00112190">
      <w:pPr>
        <w:pStyle w:val="Funotentext"/>
      </w:pPr>
      <w:r>
        <w:rPr>
          <w:rStyle w:val="Funotenzeichen"/>
        </w:rPr>
        <w:footnoteRef/>
      </w:r>
      <w:r>
        <w:t xml:space="preserve"> Siehe: </w:t>
      </w:r>
      <w:hyperlink r:id="rId944" w:history="1">
        <w:r w:rsidRPr="00A1629F">
          <w:rPr>
            <w:rStyle w:val="Hyperlink"/>
          </w:rPr>
          <w:t>https://www.bmwk.de/Redaktion/DE/Downloads/A/abschlussbericht-kommission-wachstum-strukturwandel-und-beschaeftigung.pdf?__blob=publicationFile&amp;</w:t>
        </w:r>
      </w:hyperlink>
      <w:r>
        <w:t xml:space="preserve"> </w:t>
      </w:r>
    </w:p>
  </w:footnote>
  <w:footnote w:id="1264">
    <w:p w14:paraId="3FA0A9E2" w14:textId="77777777" w:rsidR="00112190" w:rsidRDefault="00112190" w:rsidP="00112190">
      <w:pPr>
        <w:pStyle w:val="Funotentext"/>
      </w:pPr>
      <w:r>
        <w:rPr>
          <w:rStyle w:val="Funotenzeichen"/>
        </w:rPr>
        <w:footnoteRef/>
      </w:r>
      <w:r>
        <w:t xml:space="preserve"> Siehe: </w:t>
      </w:r>
      <w:hyperlink r:id="rId945" w:history="1">
        <w:r w:rsidRPr="00A1629F">
          <w:rPr>
            <w:rStyle w:val="Hyperlink"/>
          </w:rPr>
          <w:t>https://ec.europa.eu/regional_policy/funding/just-transition-fund/just-transition-platform_en</w:t>
        </w:r>
      </w:hyperlink>
      <w:r>
        <w:t xml:space="preserve"> - Zugegriffen: 19.01.2024.</w:t>
      </w:r>
    </w:p>
  </w:footnote>
  <w:footnote w:id="1265">
    <w:p w14:paraId="11A21C7F" w14:textId="77777777" w:rsidR="00112190" w:rsidRDefault="00112190" w:rsidP="00112190">
      <w:pPr>
        <w:pStyle w:val="Funotentext"/>
      </w:pPr>
      <w:r>
        <w:rPr>
          <w:rStyle w:val="Funotenzeichen"/>
        </w:rPr>
        <w:footnoteRef/>
      </w:r>
      <w:r>
        <w:t xml:space="preserve"> Siehe: </w:t>
      </w:r>
      <w:hyperlink r:id="rId946" w:history="1">
        <w:r w:rsidRPr="00A1629F">
          <w:rPr>
            <w:rStyle w:val="Hyperlink"/>
          </w:rPr>
          <w:t>https://www.efre.nrw.de/fileadmin/EFRE_2021-2027/TJTP_Rheinisches_Revier_V3.pdf</w:t>
        </w:r>
      </w:hyperlink>
      <w:r>
        <w:t xml:space="preserve"> - Zugegriffen: 19.01.2024. </w:t>
      </w:r>
    </w:p>
  </w:footnote>
  <w:footnote w:id="1266">
    <w:p w14:paraId="132BDC00" w14:textId="77777777" w:rsidR="00112190" w:rsidRDefault="00112190" w:rsidP="00112190">
      <w:pPr>
        <w:pStyle w:val="Funotentext"/>
      </w:pPr>
      <w:r>
        <w:rPr>
          <w:rStyle w:val="Funotenzeichen"/>
        </w:rPr>
        <w:footnoteRef/>
      </w:r>
      <w:r>
        <w:t xml:space="preserve"> Siehe: </w:t>
      </w:r>
      <w:hyperlink r:id="rId947" w:history="1">
        <w:r w:rsidRPr="00A721CF">
          <w:rPr>
            <w:rStyle w:val="Hyperlink"/>
          </w:rPr>
          <w:t>https://www.efre.nrw.de/</w:t>
        </w:r>
      </w:hyperlink>
    </w:p>
  </w:footnote>
  <w:footnote w:id="1267">
    <w:p w14:paraId="14A3B7C1" w14:textId="77777777" w:rsidR="00112190" w:rsidRDefault="00112190" w:rsidP="00112190">
      <w:pPr>
        <w:pStyle w:val="Funotentext"/>
      </w:pPr>
      <w:r>
        <w:rPr>
          <w:rStyle w:val="Funotenzeichen"/>
        </w:rPr>
        <w:footnoteRef/>
      </w:r>
      <w:r>
        <w:t xml:space="preserve"> Siehe: </w:t>
      </w:r>
      <w:hyperlink r:id="rId948" w:history="1">
        <w:r w:rsidRPr="00A1629F">
          <w:rPr>
            <w:rStyle w:val="Hyperlink"/>
          </w:rPr>
          <w:t>https://ec.europa.eu/regional_policy/funding/just-transition-fund/just-transition-platform/opportunities_en</w:t>
        </w:r>
      </w:hyperlink>
      <w:r>
        <w:t xml:space="preserve"> - Zugegriffen: 19.01.2024. </w:t>
      </w:r>
    </w:p>
  </w:footnote>
  <w:footnote w:id="1268">
    <w:p w14:paraId="67CD3317" w14:textId="77777777" w:rsidR="00112190" w:rsidRDefault="00112190" w:rsidP="00112190">
      <w:pPr>
        <w:pStyle w:val="Funotentext"/>
      </w:pPr>
      <w:r>
        <w:rPr>
          <w:rStyle w:val="Funotenzeichen"/>
        </w:rPr>
        <w:footnoteRef/>
      </w:r>
      <w:r w:rsidRPr="001745DC">
        <w:t xml:space="preserve"> </w:t>
      </w:r>
      <w:bookmarkStart w:id="64" w:name="_Hlk154600389"/>
      <w:bookmarkStart w:id="65" w:name="_Hlk155125660"/>
      <w:r w:rsidRPr="001745DC">
        <w:t xml:space="preserve">BMWK. </w:t>
      </w:r>
      <w:r w:rsidRPr="00813825">
        <w:t>Die Energie der Zukunft, 8. Monitoring Bereich zur Energiewende, Berichtsjahre 2018 und 2019, Stand 2021: 30.</w:t>
      </w:r>
      <w:bookmarkEnd w:id="64"/>
      <w:bookmarkEnd w:id="65"/>
    </w:p>
  </w:footnote>
  <w:footnote w:id="1269">
    <w:p w14:paraId="462DDA3D" w14:textId="77777777" w:rsidR="00112190" w:rsidRDefault="00112190" w:rsidP="00112190">
      <w:pPr>
        <w:pStyle w:val="Funotentext"/>
      </w:pPr>
      <w:r>
        <w:rPr>
          <w:rStyle w:val="Funotenzeichen"/>
        </w:rPr>
        <w:footnoteRef/>
      </w:r>
      <w:r>
        <w:t xml:space="preserve"> Siehe: </w:t>
      </w:r>
      <w:hyperlink r:id="rId949" w:history="1">
        <w:r w:rsidRPr="00A1629F">
          <w:rPr>
            <w:rStyle w:val="Hyperlink"/>
          </w:rPr>
          <w:t>https://ec.europa.eu/regional_policy/funding/just-transition-fund/just-transition-platform/opportunities_en</w:t>
        </w:r>
      </w:hyperlink>
      <w:r>
        <w:t xml:space="preserve"> - Zugegriffen: 19.01.2024. </w:t>
      </w:r>
    </w:p>
  </w:footnote>
  <w:footnote w:id="1270">
    <w:p w14:paraId="681A2AAD" w14:textId="77777777" w:rsidR="00112190" w:rsidRDefault="00112190" w:rsidP="00112190">
      <w:pPr>
        <w:pStyle w:val="Funotentext"/>
      </w:pPr>
      <w:r>
        <w:rPr>
          <w:rStyle w:val="Funotenzeichen"/>
        </w:rPr>
        <w:footnoteRef/>
      </w:r>
      <w:r>
        <w:t xml:space="preserve"> Siehe: </w:t>
      </w:r>
      <w:hyperlink r:id="rId950" w:history="1">
        <w:r w:rsidRPr="00A1629F">
          <w:rPr>
            <w:rStyle w:val="Hyperlink"/>
          </w:rPr>
          <w:t>https://ec.europa.eu/regional_policy/funding/just-transition-fund/just-transition-platform/opportunities_en</w:t>
        </w:r>
      </w:hyperlink>
      <w:r>
        <w:t xml:space="preserve"> - Zugegriffen: 19.01.204. </w:t>
      </w:r>
    </w:p>
  </w:footnote>
  <w:footnote w:id="1271">
    <w:p w14:paraId="4EE42ADA" w14:textId="77777777" w:rsidR="00112190" w:rsidRDefault="00112190" w:rsidP="00112190">
      <w:pPr>
        <w:pStyle w:val="Funotentext"/>
      </w:pPr>
      <w:r>
        <w:rPr>
          <w:rStyle w:val="Funotenzeichen"/>
        </w:rPr>
        <w:footnoteRef/>
      </w:r>
      <w:r>
        <w:t xml:space="preserve"> </w:t>
      </w:r>
      <w:r w:rsidRPr="004A5AD5">
        <w:t xml:space="preserve">S. </w:t>
      </w:r>
      <w:r>
        <w:t>10</w:t>
      </w:r>
      <w:r w:rsidRPr="004A5AD5">
        <w:t xml:space="preserve">, COM (2020) 21 final. Siehe: </w:t>
      </w:r>
      <w:hyperlink r:id="rId951" w:history="1">
        <w:r w:rsidRPr="00EE187F">
          <w:rPr>
            <w:rStyle w:val="Hyperlink"/>
          </w:rPr>
          <w:t>https://eur-lex.europa.eu/legal-content/DE/TXT/PDF/?uri=CELEX:52020DC0021</w:t>
        </w:r>
      </w:hyperlink>
      <w:r w:rsidRPr="004A5AD5">
        <w:t xml:space="preserve"> – Zugegriffen: 28.12.2023.</w:t>
      </w:r>
    </w:p>
  </w:footnote>
  <w:footnote w:id="1272">
    <w:p w14:paraId="36DEB11C" w14:textId="77777777" w:rsidR="00EB123F" w:rsidRDefault="00EB123F" w:rsidP="00EB123F">
      <w:pPr>
        <w:pStyle w:val="Funotentext"/>
      </w:pPr>
      <w:r>
        <w:rPr>
          <w:rStyle w:val="Funotenzeichen"/>
        </w:rPr>
        <w:footnoteRef/>
      </w:r>
      <w:r>
        <w:t xml:space="preserve"> Siehe: </w:t>
      </w:r>
      <w:hyperlink r:id="rId952" w:history="1">
        <w:r w:rsidRPr="00E10A02">
          <w:rPr>
            <w:rStyle w:val="Hyperlink"/>
          </w:rPr>
          <w:t>https://www.eib.org/attachments/lucalli/20240364_eib_group_operational_plan_2025_de.pdf</w:t>
        </w:r>
      </w:hyperlink>
      <w:r>
        <w:t xml:space="preserve"> - Zugegriffen: 13.06.2025. </w:t>
      </w:r>
    </w:p>
  </w:footnote>
  <w:footnote w:id="1273">
    <w:p w14:paraId="412564F3" w14:textId="27A6D3FD" w:rsidR="00EB123F" w:rsidRDefault="00EB123F">
      <w:pPr>
        <w:pStyle w:val="Funotentext"/>
      </w:pPr>
      <w:r>
        <w:rPr>
          <w:rStyle w:val="Funotenzeichen"/>
        </w:rPr>
        <w:footnoteRef/>
      </w:r>
      <w:r>
        <w:t xml:space="preserve"> </w:t>
      </w:r>
      <w:r w:rsidR="00F5015B">
        <w:t xml:space="preserve">Siehe: </w:t>
      </w:r>
      <w:hyperlink r:id="rId953" w:history="1">
        <w:r w:rsidR="00F5015B" w:rsidRPr="00E10A02">
          <w:rPr>
            <w:rStyle w:val="Hyperlink"/>
          </w:rPr>
          <w:t>https://www.ebrd.com/de/home/wer-wir-sind/unsere-geschichte.html</w:t>
        </w:r>
      </w:hyperlink>
      <w:r w:rsidR="00F5015B">
        <w:t xml:space="preserve"> - Zugegriffen: 13.06.2025. </w:t>
      </w:r>
    </w:p>
  </w:footnote>
  <w:footnote w:id="1274">
    <w:p w14:paraId="224CDEA4" w14:textId="77777777" w:rsidR="00112190" w:rsidRDefault="00112190" w:rsidP="00112190">
      <w:pPr>
        <w:pStyle w:val="Funotentext"/>
      </w:pPr>
      <w:r>
        <w:rPr>
          <w:rStyle w:val="Funotenzeichen"/>
        </w:rPr>
        <w:footnoteRef/>
      </w:r>
      <w:r>
        <w:t xml:space="preserve"> Siehe, weiter unten, in: </w:t>
      </w:r>
      <w:hyperlink r:id="rId954" w:history="1">
        <w:r w:rsidRPr="00DA1D6D">
          <w:rPr>
            <w:rStyle w:val="Hyperlink"/>
          </w:rPr>
          <w:t>https://finance.ec.europa.eu/publications/strategy-financing-transition-sustainable-economy_en</w:t>
        </w:r>
      </w:hyperlink>
      <w:r>
        <w:t xml:space="preserve"> - Zugegriffen: 28.12.2023.</w:t>
      </w:r>
    </w:p>
  </w:footnote>
  <w:footnote w:id="1275">
    <w:p w14:paraId="6FE3E093" w14:textId="77777777" w:rsidR="00337C19" w:rsidRDefault="00337C19" w:rsidP="00337C19">
      <w:pPr>
        <w:pStyle w:val="Funotentext"/>
      </w:pPr>
      <w:r>
        <w:rPr>
          <w:rStyle w:val="Funotenzeichen"/>
        </w:rPr>
        <w:footnoteRef/>
      </w:r>
      <w:r>
        <w:t xml:space="preserve"> Siehe: </w:t>
      </w:r>
      <w:hyperlink r:id="rId955" w:history="1">
        <w:r w:rsidRPr="00716F5F">
          <w:rPr>
            <w:rStyle w:val="Hyperlink"/>
          </w:rPr>
          <w:t>https://www.ngfs.net/en/about-us/membership</w:t>
        </w:r>
      </w:hyperlink>
      <w:r>
        <w:t xml:space="preserve"> - Zugegriffen: 28.12.2023. </w:t>
      </w:r>
    </w:p>
  </w:footnote>
  <w:footnote w:id="1276">
    <w:p w14:paraId="5AAAD518" w14:textId="66149E8A" w:rsidR="005B6DF3" w:rsidRDefault="005B6DF3">
      <w:pPr>
        <w:pStyle w:val="Funotentext"/>
      </w:pPr>
      <w:r>
        <w:rPr>
          <w:rStyle w:val="Funotenzeichen"/>
        </w:rPr>
        <w:footnoteRef/>
      </w:r>
      <w:r>
        <w:t xml:space="preserve"> Siehe z.B. die Webseite von KPMG: </w:t>
      </w:r>
      <w:hyperlink r:id="rId956" w:history="1">
        <w:r w:rsidRPr="00A0302A">
          <w:rPr>
            <w:rStyle w:val="Hyperlink"/>
          </w:rPr>
          <w:t>https://kpmg.com/de/de/home/dienstleistungen/branchen-und-maerkte/financial-services/sustainable-finance-und-esg-services-fuer-asset-management.html</w:t>
        </w:r>
      </w:hyperlink>
      <w:r>
        <w:t xml:space="preserve"> - Zugegriffen: 19.07.2024. </w:t>
      </w:r>
    </w:p>
  </w:footnote>
  <w:footnote w:id="1277">
    <w:p w14:paraId="0252A9E6" w14:textId="6C54B6C1" w:rsidR="00C164A9" w:rsidRDefault="00C164A9">
      <w:pPr>
        <w:pStyle w:val="Funotentext"/>
      </w:pPr>
      <w:r>
        <w:rPr>
          <w:rStyle w:val="Funotenzeichen"/>
        </w:rPr>
        <w:footnoteRef/>
      </w:r>
      <w:r>
        <w:t xml:space="preserve"> Siehe: </w:t>
      </w:r>
      <w:hyperlink r:id="rId957" w:history="1">
        <w:r w:rsidRPr="00A0302A">
          <w:rPr>
            <w:rStyle w:val="Hyperlink"/>
          </w:rPr>
          <w:t>https://www.unepfi.org/net-zero-alliance/about/</w:t>
        </w:r>
      </w:hyperlink>
      <w:r>
        <w:t xml:space="preserve"> - Zugegriffen: 19.07.2024. </w:t>
      </w:r>
    </w:p>
  </w:footnote>
  <w:footnote w:id="1278">
    <w:p w14:paraId="31DD9703" w14:textId="2B68448A" w:rsidR="00C406E5" w:rsidRDefault="00C406E5">
      <w:pPr>
        <w:pStyle w:val="Funotentext"/>
      </w:pPr>
      <w:r>
        <w:rPr>
          <w:rStyle w:val="Funotenzeichen"/>
        </w:rPr>
        <w:footnoteRef/>
      </w:r>
      <w:r>
        <w:t xml:space="preserve"> Wie das Interesse an der Nachhaltigkeit nachlässt. FAZ, 26.11.2024. </w:t>
      </w:r>
      <w:r w:rsidR="004A7BDF">
        <w:t xml:space="preserve">Siehe auch Interview mit Prof. Eccles: ‚ESG-Hass ist wie ein Weckruf. FAZ, 05.06.2025. Der Finanzinvestor </w:t>
      </w:r>
      <w:proofErr w:type="spellStart"/>
      <w:r w:rsidR="004A7BDF">
        <w:t>Blackrock</w:t>
      </w:r>
      <w:proofErr w:type="spellEnd"/>
      <w:r w:rsidR="004A7BDF">
        <w:t xml:space="preserve"> hat etwa die Net-Zero Asset Managers Initiative verlassen, siehe dazu: Philipp Krohn, Winand von Petersdorff, Klimaallianzen schrumpfen. FAZ, 11.01.2025.</w:t>
      </w:r>
    </w:p>
  </w:footnote>
  <w:footnote w:id="1279">
    <w:p w14:paraId="5069C380" w14:textId="77777777" w:rsidR="00112190" w:rsidRDefault="00112190" w:rsidP="00112190">
      <w:pPr>
        <w:pStyle w:val="Funotentext"/>
      </w:pPr>
      <w:r>
        <w:rPr>
          <w:rStyle w:val="Funotenzeichen"/>
        </w:rPr>
        <w:footnoteRef/>
      </w:r>
      <w:r>
        <w:t xml:space="preserve"> Erwägungsgründe (2) und (26), Art. 2 und Art. 4. Ein Ziel bis 2040 wird wohl noch festgelegt, siehe Art. 4, Abs. (3). Verordnung (EU) 2021/1119, 30. Juni 2021. ‚Klimagesetz‘ Siehe: </w:t>
      </w:r>
      <w:hyperlink r:id="rId958" w:history="1">
        <w:r w:rsidRPr="008F7D68">
          <w:rPr>
            <w:rStyle w:val="Hyperlink"/>
          </w:rPr>
          <w:t>https://eur-lex.europa.eu/legal-content/DE/TXT/PDF/?uri=CELEX:32021R1119&amp;from=FR</w:t>
        </w:r>
      </w:hyperlink>
      <w:r>
        <w:t xml:space="preserve"> – Zugegriffen: 28.11.2023. </w:t>
      </w:r>
    </w:p>
  </w:footnote>
  <w:footnote w:id="1280">
    <w:p w14:paraId="047DD6A7" w14:textId="77777777" w:rsidR="00112190" w:rsidRDefault="00112190" w:rsidP="00112190">
      <w:pPr>
        <w:pStyle w:val="Funotentext"/>
      </w:pPr>
      <w:r>
        <w:rPr>
          <w:rStyle w:val="Funotenzeichen"/>
        </w:rPr>
        <w:footnoteRef/>
      </w:r>
      <w:r>
        <w:t xml:space="preserve"> Verordnung (EU) 2018/842 des Europäischen Parlaments und des Rates, vom 30. Mai 2018, </w:t>
      </w:r>
      <w:proofErr w:type="spellStart"/>
      <w:r>
        <w:t>ABl.</w:t>
      </w:r>
      <w:proofErr w:type="spellEnd"/>
      <w:r>
        <w:t xml:space="preserve"> L 156/26. Anhang 1. </w:t>
      </w:r>
    </w:p>
  </w:footnote>
  <w:footnote w:id="1281">
    <w:p w14:paraId="6AA06D47" w14:textId="77777777" w:rsidR="00112190" w:rsidRPr="009C0A14" w:rsidRDefault="00112190" w:rsidP="00112190">
      <w:pPr>
        <w:pStyle w:val="Funotentext"/>
      </w:pPr>
      <w:r>
        <w:rPr>
          <w:rStyle w:val="Funotenzeichen"/>
        </w:rPr>
        <w:footnoteRef/>
      </w:r>
      <w:r w:rsidRPr="009C0A14">
        <w:t xml:space="preserve"> </w:t>
      </w:r>
      <w:r>
        <w:t xml:space="preserve">Überblick über verschiedene Maßnahmen der EU: </w:t>
      </w:r>
      <w:hyperlink r:id="rId959" w:history="1">
        <w:r w:rsidRPr="00991375">
          <w:rPr>
            <w:rStyle w:val="Hyperlink"/>
          </w:rPr>
          <w:t>https://www.consilium.europa.eu/de/policies/climate-change/</w:t>
        </w:r>
      </w:hyperlink>
      <w:r>
        <w:t xml:space="preserve"> - zur Verhandlungsgeschichte EU Klimagesetz, siehe: </w:t>
      </w:r>
      <w:hyperlink r:id="rId960" w:history="1">
        <w:r w:rsidRPr="00991375">
          <w:rPr>
            <w:rStyle w:val="Hyperlink"/>
          </w:rPr>
          <w:t>https://www.consilium.europa.eu/de/press/press-releases/2021/05/05/european-climate-law-council-and-parliament-reach-provisional-agreement/</w:t>
        </w:r>
      </w:hyperlink>
      <w:r>
        <w:t xml:space="preserve"> - Europäisches Parlament. Die Antworten der EU auf den Klimawandel, Artikel 17.10.2023. </w:t>
      </w:r>
      <w:r w:rsidRPr="009C0A14">
        <w:t>Sieh</w:t>
      </w:r>
      <w:r>
        <w:t xml:space="preserve">e: </w:t>
      </w:r>
      <w:r w:rsidRPr="009C0A14">
        <w:t xml:space="preserve"> </w:t>
      </w:r>
      <w:hyperlink r:id="rId961" w:history="1">
        <w:r w:rsidRPr="007D5088">
          <w:rPr>
            <w:rStyle w:val="Hyperlink"/>
          </w:rPr>
          <w:t>https://www.europarl.europa.eu/pdfs/news/expert/2018/8/story/20180703STO07129/20180703STO07129_de.pdf</w:t>
        </w:r>
      </w:hyperlink>
      <w:r>
        <w:t xml:space="preserve"> - Zugegriffen: 27.10.2023.</w:t>
      </w:r>
    </w:p>
  </w:footnote>
  <w:footnote w:id="1282">
    <w:p w14:paraId="278D27DE" w14:textId="77777777" w:rsidR="00112190" w:rsidRDefault="00112190" w:rsidP="00112190">
      <w:pPr>
        <w:pStyle w:val="Funotentext"/>
      </w:pPr>
      <w:r>
        <w:rPr>
          <w:rStyle w:val="Funotenzeichen"/>
        </w:rPr>
        <w:footnoteRef/>
      </w:r>
      <w:r>
        <w:t xml:space="preserve"> Siehe BMWK, Die Energie der Zukunft, 8. Monitoring Bericht zur Energiewende, Berichtsjahr 2018 und 2019, Stand 2021: S. 19. Siehe auch die </w:t>
      </w:r>
      <w:proofErr w:type="gramStart"/>
      <w:r>
        <w:t>EU Webseite</w:t>
      </w:r>
      <w:proofErr w:type="gramEnd"/>
      <w:r>
        <w:t xml:space="preserve"> vom 17. September 2020 mit diesem Ziel: </w:t>
      </w:r>
      <w:hyperlink r:id="rId962" w:history="1">
        <w:r w:rsidRPr="00DB6AF3">
          <w:rPr>
            <w:rStyle w:val="Hyperlink"/>
          </w:rPr>
          <w:t>https://ec.europa.eu/commission/presscorner/detail/en/ip_20_1259</w:t>
        </w:r>
      </w:hyperlink>
      <w:r>
        <w:t xml:space="preserve"> - Zugegriffen: 22.12.2023. </w:t>
      </w:r>
    </w:p>
  </w:footnote>
  <w:footnote w:id="1283">
    <w:p w14:paraId="6D3F38C7" w14:textId="77777777" w:rsidR="00112190" w:rsidRDefault="00112190" w:rsidP="00112190">
      <w:pPr>
        <w:pStyle w:val="Funotentext"/>
      </w:pPr>
      <w:r>
        <w:rPr>
          <w:rStyle w:val="Funotenzeichen"/>
        </w:rPr>
        <w:footnoteRef/>
      </w:r>
      <w:r>
        <w:t xml:space="preserve"> </w:t>
      </w:r>
      <w:r w:rsidRPr="00B56D67">
        <w:t xml:space="preserve">Siehe BMWK, Die Energie der Zukunft, 8. Monitoring Bericht zur Energiewende, Berichtsjahr 2018 und 2019, Stand 2021: S. </w:t>
      </w:r>
      <w:r>
        <w:t>28</w:t>
      </w:r>
      <w:r w:rsidRPr="00B56D67">
        <w:t>.</w:t>
      </w:r>
    </w:p>
  </w:footnote>
  <w:footnote w:id="1284">
    <w:p w14:paraId="2D720EEC" w14:textId="77777777" w:rsidR="00112190" w:rsidRDefault="00112190" w:rsidP="00112190">
      <w:pPr>
        <w:pStyle w:val="Funotentext"/>
      </w:pPr>
      <w:r>
        <w:rPr>
          <w:rStyle w:val="Funotenzeichen"/>
        </w:rPr>
        <w:footnoteRef/>
      </w:r>
      <w:r>
        <w:t xml:space="preserve"> Siehe die Timeline: </w:t>
      </w:r>
      <w:hyperlink r:id="rId963" w:history="1">
        <w:r w:rsidRPr="00716F5F">
          <w:rPr>
            <w:rStyle w:val="Hyperlink"/>
          </w:rPr>
          <w:t>https://commission.europa.eu/strategy-and-policy/priorities-2019-2024/european-green-deal_en</w:t>
        </w:r>
      </w:hyperlink>
      <w:r>
        <w:t xml:space="preserve"> - Zugegriffen: 28.12.2023.</w:t>
      </w:r>
    </w:p>
  </w:footnote>
  <w:footnote w:id="1285">
    <w:p w14:paraId="0BB34B7B" w14:textId="77777777" w:rsidR="00112190" w:rsidRDefault="00112190" w:rsidP="00112190">
      <w:pPr>
        <w:pStyle w:val="Funotentext"/>
      </w:pPr>
      <w:r>
        <w:rPr>
          <w:rStyle w:val="Funotenzeichen"/>
        </w:rPr>
        <w:footnoteRef/>
      </w:r>
      <w:r>
        <w:t xml:space="preserve"> </w:t>
      </w:r>
      <w:r w:rsidRPr="007234B1">
        <w:t xml:space="preserve">Verordnung (EU) 2021/1119, 30. Juni 202. ‚Klimagesetz‘ Siehe: </w:t>
      </w:r>
      <w:hyperlink r:id="rId964" w:history="1">
        <w:r w:rsidRPr="00EE187F">
          <w:rPr>
            <w:rStyle w:val="Hyperlink"/>
          </w:rPr>
          <w:t>https://eur-lex.europa.eu/legal-content/DE/TXT/PDF/?uri=CELEX:32021R1119&amp;from=FR</w:t>
        </w:r>
      </w:hyperlink>
      <w:r w:rsidRPr="007234B1">
        <w:t xml:space="preserve"> – Zugegriffen: 28.11.2023.</w:t>
      </w:r>
    </w:p>
  </w:footnote>
  <w:footnote w:id="1286">
    <w:p w14:paraId="786355B1" w14:textId="77777777" w:rsidR="00112190" w:rsidRPr="008043D9" w:rsidRDefault="00112190" w:rsidP="00112190">
      <w:pPr>
        <w:pStyle w:val="Funotentext"/>
      </w:pPr>
      <w:r>
        <w:rPr>
          <w:rStyle w:val="Funotenzeichen"/>
        </w:rPr>
        <w:footnoteRef/>
      </w:r>
      <w:r w:rsidRPr="008043D9">
        <w:t xml:space="preserve"> Siehe Art. 9</w:t>
      </w:r>
      <w:r>
        <w:t xml:space="preserve"> Abs. (1) Die Befugnis zum Erlass delegierter Rechtsakte gemäß Artikel 3 Absatz 1 wird der Kommission unter den in diesem Artikel festgelegten Bedingungen übertragen. … Abs. (4) Vor dem Erlass … konsultiert die Kommission die von den einzelnen Mitgliedstaaten benannten Sachverständigen … Abs. (6) … tritt nur in Kraft, wenn weder das Europäische Parlament noch der Rat innerhalb von einer Frist von zwei Monaten Einwände erhoben haben … </w:t>
      </w:r>
      <w:r w:rsidRPr="008043D9">
        <w:t xml:space="preserve">COM (2020) 80 final: </w:t>
      </w:r>
      <w:hyperlink r:id="rId965" w:history="1">
        <w:r w:rsidRPr="008043D9">
          <w:rPr>
            <w:rStyle w:val="Hyperlink"/>
          </w:rPr>
          <w:t>https://eur-lex.europa.eu/legal-content/DE/TXT/PDF/?uri=CELEX:52020PC0080</w:t>
        </w:r>
      </w:hyperlink>
      <w:r w:rsidRPr="008043D9">
        <w:t xml:space="preserve"> </w:t>
      </w:r>
      <w:r>
        <w:t>–</w:t>
      </w:r>
      <w:r w:rsidRPr="008043D9">
        <w:t xml:space="preserve"> Zu</w:t>
      </w:r>
      <w:r>
        <w:t xml:space="preserve">gegriffen: 28.12.2023. </w:t>
      </w:r>
    </w:p>
  </w:footnote>
  <w:footnote w:id="1287">
    <w:p w14:paraId="15DB675B" w14:textId="77777777" w:rsidR="00112190" w:rsidRDefault="00112190" w:rsidP="00112190">
      <w:pPr>
        <w:pStyle w:val="Funotentext"/>
      </w:pPr>
      <w:r>
        <w:rPr>
          <w:rStyle w:val="Funotenzeichen"/>
        </w:rPr>
        <w:footnoteRef/>
      </w:r>
      <w:r>
        <w:t xml:space="preserve"> Siehe: </w:t>
      </w:r>
      <w:hyperlink r:id="rId966" w:history="1">
        <w:r w:rsidRPr="008F7D68">
          <w:rPr>
            <w:rStyle w:val="Hyperlink"/>
          </w:rPr>
          <w:t>https://eur-lex.europa.eu/DE/legal-content/glossary/delegated-acts.html</w:t>
        </w:r>
      </w:hyperlink>
      <w:r>
        <w:t xml:space="preserve"> - siehe etwas ausführlicher: </w:t>
      </w:r>
      <w:hyperlink r:id="rId967" w:history="1">
        <w:r w:rsidRPr="008F7D68">
          <w:rPr>
            <w:rStyle w:val="Hyperlink"/>
          </w:rPr>
          <w:t>https://www.consilium.europa.eu/de/council-eu/decision-making/implementing-and-delegated-acts/</w:t>
        </w:r>
      </w:hyperlink>
      <w:r>
        <w:t xml:space="preserve"> - Zugegriffen: 28.12.2023. </w:t>
      </w:r>
    </w:p>
  </w:footnote>
  <w:footnote w:id="1288">
    <w:p w14:paraId="1D18D1DF" w14:textId="77777777" w:rsidR="00112190" w:rsidRDefault="00112190" w:rsidP="00112190">
      <w:pPr>
        <w:pStyle w:val="Funotentext"/>
      </w:pPr>
      <w:r>
        <w:rPr>
          <w:rStyle w:val="Funotenzeichen"/>
        </w:rPr>
        <w:footnoteRef/>
      </w:r>
      <w:r>
        <w:t xml:space="preserve"> Siehe Art. 10, Verordnung (EU) 2021/1119, 30. Juni 2021. ‚Europäisches Klimagesetz‘ Siehe: </w:t>
      </w:r>
      <w:hyperlink r:id="rId968" w:history="1">
        <w:r w:rsidRPr="008F7D68">
          <w:rPr>
            <w:rStyle w:val="Hyperlink"/>
          </w:rPr>
          <w:t>https://eur-lex.europa.eu/legal-content/DE/TXT/PDF/?uri=CELEX:32021R1119&amp;from=FR</w:t>
        </w:r>
      </w:hyperlink>
      <w:r>
        <w:t xml:space="preserve"> – Zugegriffen: 28.11.2023. </w:t>
      </w:r>
    </w:p>
  </w:footnote>
  <w:footnote w:id="1289">
    <w:p w14:paraId="5C381A3F" w14:textId="77777777" w:rsidR="00112190" w:rsidRDefault="00112190" w:rsidP="00112190">
      <w:pPr>
        <w:pStyle w:val="Funotentext"/>
      </w:pPr>
      <w:r>
        <w:rPr>
          <w:rStyle w:val="Funotenzeichen"/>
        </w:rPr>
        <w:footnoteRef/>
      </w:r>
      <w:r>
        <w:t xml:space="preserve"> </w:t>
      </w:r>
      <w:r w:rsidRPr="00B12D0D">
        <w:t xml:space="preserve">Siehe Art. </w:t>
      </w:r>
      <w:r>
        <w:t>6-11</w:t>
      </w:r>
      <w:r w:rsidRPr="00B12D0D">
        <w:t>, Verordnung (EU) 2021/1119, 30. Juni 202</w:t>
      </w:r>
      <w:r>
        <w:t>1</w:t>
      </w:r>
      <w:r w:rsidRPr="00B12D0D">
        <w:t>. ‚</w:t>
      </w:r>
      <w:r>
        <w:t xml:space="preserve">Europäisches </w:t>
      </w:r>
      <w:r w:rsidRPr="00B12D0D">
        <w:t xml:space="preserve">Klimagesetz‘ Siehe: </w:t>
      </w:r>
      <w:hyperlink r:id="rId969" w:history="1">
        <w:r w:rsidRPr="00EE187F">
          <w:rPr>
            <w:rStyle w:val="Hyperlink"/>
          </w:rPr>
          <w:t>https://eur-lex.europa.eu/legal-content/DE/TXT/PDF/?uri=CELEX:32021R1119&amp;from=FR</w:t>
        </w:r>
      </w:hyperlink>
      <w:r w:rsidRPr="00B12D0D">
        <w:t xml:space="preserve"> – Zugegriffen: 28.11.2023.</w:t>
      </w:r>
    </w:p>
  </w:footnote>
  <w:footnote w:id="1290">
    <w:p w14:paraId="6F53D29A" w14:textId="77777777" w:rsidR="00112190" w:rsidRDefault="00112190" w:rsidP="00112190">
      <w:pPr>
        <w:pStyle w:val="Funotentext"/>
      </w:pPr>
      <w:r>
        <w:rPr>
          <w:rStyle w:val="Funotenzeichen"/>
        </w:rPr>
        <w:footnoteRef/>
      </w:r>
      <w:r w:rsidRPr="00C11085">
        <w:t xml:space="preserve"> </w:t>
      </w:r>
      <w:r>
        <w:t xml:space="preserve">Ein Leitgesetz </w:t>
      </w:r>
      <w:r w:rsidRPr="00655016">
        <w:t>mit mehr Befugnissen für die Kommission, einer kollegialen Entscheidungsfindung mit aufschiebenden Vetorechten der Kommissare, einer Stärkung des Klimakommissars, einem genauen Monitoring, wie es formuliert wird</w:t>
      </w:r>
      <w:r>
        <w:t>.</w:t>
      </w:r>
      <w:r w:rsidRPr="00655016">
        <w:t xml:space="preserve"> </w:t>
      </w:r>
      <w:r w:rsidRPr="00C11085">
        <w:t xml:space="preserve">Siehe Calliess 2022: 115-117, Paras. </w:t>
      </w:r>
      <w:r>
        <w:t xml:space="preserve">204-208. </w:t>
      </w:r>
    </w:p>
  </w:footnote>
  <w:footnote w:id="1291">
    <w:p w14:paraId="7DC3577A" w14:textId="77777777" w:rsidR="00112190" w:rsidRDefault="00112190" w:rsidP="00112190">
      <w:pPr>
        <w:pStyle w:val="Funotentext"/>
      </w:pPr>
      <w:r>
        <w:rPr>
          <w:rStyle w:val="Funotenzeichen"/>
        </w:rPr>
        <w:footnoteRef/>
      </w:r>
      <w:r>
        <w:t xml:space="preserve"> COM (2021) 350 final, siehe: </w:t>
      </w:r>
      <w:hyperlink r:id="rId970" w:history="1">
        <w:r w:rsidRPr="00716F5F">
          <w:rPr>
            <w:rStyle w:val="Hyperlink"/>
          </w:rPr>
          <w:t>https://eur-lex.europa.eu/legal-content/DE/ALL/?uri=CELEX:52021DC0350</w:t>
        </w:r>
      </w:hyperlink>
      <w:r>
        <w:t xml:space="preserve"> – Zugegriffen: 28.12.2023.</w:t>
      </w:r>
    </w:p>
  </w:footnote>
  <w:footnote w:id="1292">
    <w:p w14:paraId="49FFD523" w14:textId="77777777" w:rsidR="00112190" w:rsidRDefault="00112190" w:rsidP="00112190">
      <w:pPr>
        <w:pStyle w:val="Funotentext"/>
      </w:pPr>
      <w:r>
        <w:rPr>
          <w:rStyle w:val="Funotenzeichen"/>
        </w:rPr>
        <w:footnoteRef/>
      </w:r>
      <w:r>
        <w:t xml:space="preserve"> Siehe: </w:t>
      </w:r>
      <w:hyperlink r:id="rId971" w:history="1">
        <w:r w:rsidRPr="00DB6AF3">
          <w:rPr>
            <w:rStyle w:val="Hyperlink"/>
          </w:rPr>
          <w:t>https://ec.europa.eu/commission/presscorner/detail/en/ip_20_416</w:t>
        </w:r>
      </w:hyperlink>
      <w:r>
        <w:t xml:space="preserve"> - Zugegriffen: 22.12.2023. </w:t>
      </w:r>
    </w:p>
  </w:footnote>
  <w:footnote w:id="1293">
    <w:p w14:paraId="76A07641" w14:textId="77777777" w:rsidR="00112190" w:rsidRDefault="00112190" w:rsidP="00112190">
      <w:pPr>
        <w:pStyle w:val="Funotentext"/>
      </w:pPr>
      <w:r>
        <w:rPr>
          <w:rStyle w:val="Funotenzeichen"/>
        </w:rPr>
        <w:footnoteRef/>
      </w:r>
      <w:r>
        <w:t xml:space="preserve"> COM (2020) 98 final, siehe: </w:t>
      </w:r>
      <w:hyperlink r:id="rId972" w:history="1">
        <w:r w:rsidRPr="00716F5F">
          <w:rPr>
            <w:rStyle w:val="Hyperlink"/>
          </w:rPr>
          <w:t>https://eur-lex.europa.eu/legal-content/DE/TXT/?qid=1583933814386&amp;uri=COM%3A2020%3A98%3AFIN</w:t>
        </w:r>
      </w:hyperlink>
      <w:r>
        <w:t xml:space="preserve"> – Zugegriffen: 28.12.2023.   </w:t>
      </w:r>
    </w:p>
  </w:footnote>
  <w:footnote w:id="1294">
    <w:p w14:paraId="04E593F4" w14:textId="77777777" w:rsidR="00112190" w:rsidRDefault="00112190" w:rsidP="00112190">
      <w:pPr>
        <w:pStyle w:val="Funotentext"/>
      </w:pPr>
      <w:r>
        <w:rPr>
          <w:rStyle w:val="Funotenzeichen"/>
        </w:rPr>
        <w:footnoteRef/>
      </w:r>
      <w:r>
        <w:t xml:space="preserve"> Ebd. COM (2020) 98 final. </w:t>
      </w:r>
    </w:p>
  </w:footnote>
  <w:footnote w:id="1295">
    <w:p w14:paraId="7669A053" w14:textId="77777777" w:rsidR="00112190" w:rsidRDefault="00112190" w:rsidP="00112190">
      <w:pPr>
        <w:pStyle w:val="Funotentext"/>
      </w:pPr>
      <w:r>
        <w:rPr>
          <w:rStyle w:val="Funotenzeichen"/>
        </w:rPr>
        <w:footnoteRef/>
      </w:r>
      <w:r>
        <w:t xml:space="preserve"> Timeline Batterien: </w:t>
      </w:r>
      <w:hyperlink r:id="rId973" w:history="1">
        <w:r w:rsidRPr="00DA1D6D">
          <w:rPr>
            <w:rStyle w:val="Hyperlink"/>
          </w:rPr>
          <w:t>https://environment.ec.europa.eu/topics/waste-and-recycling/batteries_en</w:t>
        </w:r>
      </w:hyperlink>
      <w:r>
        <w:t xml:space="preserve"> - Zugegriffen: 328.12.2023. </w:t>
      </w:r>
    </w:p>
  </w:footnote>
  <w:footnote w:id="1296">
    <w:p w14:paraId="4D388231" w14:textId="77777777" w:rsidR="00112190" w:rsidRDefault="00112190" w:rsidP="00112190">
      <w:pPr>
        <w:pStyle w:val="Funotentext"/>
      </w:pPr>
      <w:r>
        <w:rPr>
          <w:rStyle w:val="Funotenzeichen"/>
        </w:rPr>
        <w:footnoteRef/>
      </w:r>
      <w:r>
        <w:t xml:space="preserve"> COM (2020) 98 final, siehe: </w:t>
      </w:r>
      <w:hyperlink r:id="rId974" w:history="1">
        <w:r w:rsidRPr="00DA1D6D">
          <w:rPr>
            <w:rStyle w:val="Hyperlink"/>
          </w:rPr>
          <w:t>https://eur-lex.europa.eu/legal-content/DE/TXT/PDF/?uri=CELEX:52020DC0098</w:t>
        </w:r>
      </w:hyperlink>
      <w:r>
        <w:t xml:space="preserve"> – Zugegriffen: 28.12.2023. Für Batterien, siehe Verordnung (EU) 2023/1542, 12. Juli 2023, siehe: </w:t>
      </w:r>
      <w:hyperlink r:id="rId975" w:history="1">
        <w:r w:rsidRPr="00DA1D6D">
          <w:rPr>
            <w:rStyle w:val="Hyperlink"/>
          </w:rPr>
          <w:t>https://eur-lex.europa.eu/legal-content/DE/TXT/PDF/?uri=CELEX:32023R1542</w:t>
        </w:r>
      </w:hyperlink>
      <w:r>
        <w:t xml:space="preserve"> – es gibt noch eine Richtlinie: </w:t>
      </w:r>
      <w:hyperlink r:id="rId976" w:history="1">
        <w:r w:rsidRPr="00DA1D6D">
          <w:rPr>
            <w:rStyle w:val="Hyperlink"/>
          </w:rPr>
          <w:t>https://eur-lex.europa.eu/legal-content/DE/TXT/PDF/?uri=CELEX:02006L0066-20180704</w:t>
        </w:r>
      </w:hyperlink>
      <w:r>
        <w:t xml:space="preserve"> – Zugegriffen: 28.12.2023. Siehe allgemein dazu: </w:t>
      </w:r>
      <w:hyperlink r:id="rId977" w:history="1">
        <w:r w:rsidRPr="00A43BFF">
          <w:rPr>
            <w:rStyle w:val="Hyperlink"/>
          </w:rPr>
          <w:t>https://ec.europa.eu/commission/presscorner/detail/en/ip_20_2312</w:t>
        </w:r>
      </w:hyperlink>
      <w:r>
        <w:t xml:space="preserve"> - Zugegriffen: 22.12.2023. Siehe eine Timeline für die Batterieverordnung, die 2025 wieder erneuert werden wird: </w:t>
      </w:r>
      <w:hyperlink r:id="rId978" w:history="1">
        <w:r w:rsidRPr="00E92795">
          <w:rPr>
            <w:rStyle w:val="Hyperlink"/>
          </w:rPr>
          <w:t>https://environment.ec.europa.eu/topics/waste-and-recycling/batteries_en</w:t>
        </w:r>
      </w:hyperlink>
      <w:r>
        <w:t xml:space="preserve"> - Zugegriffen: 22.12.2023.</w:t>
      </w:r>
    </w:p>
  </w:footnote>
  <w:footnote w:id="1297">
    <w:p w14:paraId="0BE77D54" w14:textId="77777777" w:rsidR="00112190" w:rsidRDefault="00112190" w:rsidP="00112190">
      <w:pPr>
        <w:pStyle w:val="Funotentext"/>
      </w:pPr>
      <w:r>
        <w:rPr>
          <w:rStyle w:val="Funotenzeichen"/>
        </w:rPr>
        <w:footnoteRef/>
      </w:r>
      <w:r>
        <w:t xml:space="preserve"> Siehe: </w:t>
      </w:r>
      <w:hyperlink r:id="rId979" w:history="1">
        <w:r w:rsidRPr="00372C9A">
          <w:rPr>
            <w:rStyle w:val="Hyperlink"/>
          </w:rPr>
          <w:t>https://ec.europa.eu/commission/presscorner/detail/en/ip_22_2013</w:t>
        </w:r>
      </w:hyperlink>
      <w:r>
        <w:t xml:space="preserve"> bzw. siehe </w:t>
      </w:r>
      <w:proofErr w:type="spellStart"/>
      <w:r>
        <w:t>Sustainable</w:t>
      </w:r>
      <w:proofErr w:type="spellEnd"/>
      <w:r>
        <w:t xml:space="preserve"> Produkts, COM/2022/140 final: </w:t>
      </w:r>
      <w:hyperlink r:id="rId980" w:history="1">
        <w:r w:rsidRPr="00372C9A">
          <w:rPr>
            <w:rStyle w:val="Hyperlink"/>
          </w:rPr>
          <w:t>https://eur-lex.europa.eu/legal-content/EN/TXT/?uri=CELEX%3A52022DC0140&amp;qid=1649112555090</w:t>
        </w:r>
      </w:hyperlink>
      <w:r>
        <w:t xml:space="preserve"> – Zugegriffen: 22.12.2023. </w:t>
      </w:r>
    </w:p>
  </w:footnote>
  <w:footnote w:id="1298">
    <w:p w14:paraId="1468D46E" w14:textId="77777777" w:rsidR="00435052" w:rsidRDefault="00435052" w:rsidP="00435052">
      <w:pPr>
        <w:pStyle w:val="Funotentext"/>
      </w:pPr>
      <w:r>
        <w:rPr>
          <w:rStyle w:val="Funotenzeichen"/>
        </w:rPr>
        <w:footnoteRef/>
      </w:r>
      <w:r>
        <w:t xml:space="preserve"> Siehe die EU ESPR Übersichtsseite: </w:t>
      </w:r>
      <w:hyperlink r:id="rId981" w:history="1">
        <w:r w:rsidRPr="00C82A68">
          <w:rPr>
            <w:rStyle w:val="Hyperlink"/>
          </w:rPr>
          <w:t>https://commission.europa.eu/energy-climate-change-environment/standards-tools-and-labels/products-labelling-rules-and-requirements/ecodesign-sustainable-products-regulation_en</w:t>
        </w:r>
      </w:hyperlink>
    </w:p>
  </w:footnote>
  <w:footnote w:id="1299">
    <w:p w14:paraId="14AA4E44" w14:textId="77777777" w:rsidR="00435052" w:rsidRDefault="00435052" w:rsidP="00435052">
      <w:pPr>
        <w:pStyle w:val="Funotentext"/>
      </w:pPr>
      <w:r>
        <w:rPr>
          <w:rStyle w:val="Funotenzeichen"/>
        </w:rPr>
        <w:footnoteRef/>
      </w:r>
      <w:r>
        <w:t xml:space="preserve"> Siehe Erwägungsgrund 19 ESPR: </w:t>
      </w:r>
      <w:hyperlink r:id="rId982" w:history="1">
        <w:r w:rsidRPr="00C82A68">
          <w:rPr>
            <w:rStyle w:val="Hyperlink"/>
          </w:rPr>
          <w:t>https://eur-lex.europa.eu/legal-content/EN/TXT/?uri=CELEX:32024R1781</w:t>
        </w:r>
      </w:hyperlink>
      <w:r>
        <w:t xml:space="preserve"> – Zugegriffen: 30.04.2025. </w:t>
      </w:r>
    </w:p>
  </w:footnote>
  <w:footnote w:id="1300">
    <w:p w14:paraId="6489330F" w14:textId="77777777" w:rsidR="00435052" w:rsidRDefault="00435052" w:rsidP="00435052">
      <w:pPr>
        <w:pStyle w:val="Funotentext"/>
      </w:pPr>
      <w:r>
        <w:rPr>
          <w:rStyle w:val="Funotenzeichen"/>
        </w:rPr>
        <w:footnoteRef/>
      </w:r>
      <w:r>
        <w:t xml:space="preserve"> </w:t>
      </w:r>
      <w:proofErr w:type="gramStart"/>
      <w:r>
        <w:t>BMWK Leitmärkte</w:t>
      </w:r>
      <w:proofErr w:type="gramEnd"/>
      <w:r>
        <w:t xml:space="preserve"> für klimafreundliche Grundstoffe 2024: 35. </w:t>
      </w:r>
    </w:p>
  </w:footnote>
  <w:footnote w:id="1301">
    <w:p w14:paraId="7E78B4AA" w14:textId="77777777" w:rsidR="00435052" w:rsidRDefault="00435052" w:rsidP="00435052">
      <w:pPr>
        <w:pStyle w:val="Funotentext"/>
      </w:pPr>
      <w:r>
        <w:rPr>
          <w:rStyle w:val="Funotenzeichen"/>
        </w:rPr>
        <w:footnoteRef/>
      </w:r>
      <w:r>
        <w:t xml:space="preserve"> Siehe die EU ESPR Übersichtsseite: </w:t>
      </w:r>
      <w:hyperlink r:id="rId983" w:history="1">
        <w:r w:rsidRPr="00C82A68">
          <w:rPr>
            <w:rStyle w:val="Hyperlink"/>
          </w:rPr>
          <w:t>https://commission.europa.eu/energy-climate-change-environment/standards-tools-and-labels/products-labelling-rules-and-requirements/ecodesign-sustainable-products-regulation_en</w:t>
        </w:r>
      </w:hyperlink>
      <w:r>
        <w:t xml:space="preserve"> – Zugegriffen: 30.04.2025. </w:t>
      </w:r>
    </w:p>
  </w:footnote>
  <w:footnote w:id="1302">
    <w:p w14:paraId="77B7E560" w14:textId="77777777" w:rsidR="00435052" w:rsidRDefault="00435052" w:rsidP="00435052">
      <w:pPr>
        <w:pStyle w:val="Funotentext"/>
      </w:pPr>
      <w:r>
        <w:rPr>
          <w:rStyle w:val="Funotenzeichen"/>
        </w:rPr>
        <w:footnoteRef/>
      </w:r>
      <w:r>
        <w:t xml:space="preserve"> Siehe Erwägungsgründe 61 und 63, und Art. 3 in ESPR: </w:t>
      </w:r>
      <w:hyperlink r:id="rId984" w:history="1">
        <w:r w:rsidRPr="00C82A68">
          <w:rPr>
            <w:rStyle w:val="Hyperlink"/>
          </w:rPr>
          <w:t>https://eur-lex.europa.eu/legal-content/EN/TXT/?uri=CELEX:32024R1781</w:t>
        </w:r>
      </w:hyperlink>
      <w:r>
        <w:t xml:space="preserve"> – Zugegriffen: 30.04.2025. </w:t>
      </w:r>
    </w:p>
  </w:footnote>
  <w:footnote w:id="1303">
    <w:p w14:paraId="64E78B62" w14:textId="784E98D6" w:rsidR="00435052" w:rsidRDefault="00435052" w:rsidP="00435052">
      <w:pPr>
        <w:pStyle w:val="Funotentext"/>
      </w:pPr>
      <w:r>
        <w:rPr>
          <w:rStyle w:val="Funotenzeichen"/>
        </w:rPr>
        <w:footnoteRef/>
      </w:r>
      <w:r>
        <w:t xml:space="preserve"> </w:t>
      </w:r>
      <w:r w:rsidR="00033EA9">
        <w:t xml:space="preserve">Siehe: </w:t>
      </w:r>
      <w:hyperlink r:id="rId985" w:history="1">
        <w:r w:rsidR="00033EA9" w:rsidRPr="0050727D">
          <w:rPr>
            <w:rStyle w:val="Hyperlink"/>
          </w:rPr>
          <w:t>https://eprel.ec.europa.eu/screen/home</w:t>
        </w:r>
      </w:hyperlink>
      <w:r w:rsidR="00033EA9">
        <w:t xml:space="preserve"> </w:t>
      </w:r>
    </w:p>
  </w:footnote>
  <w:footnote w:id="1304">
    <w:p w14:paraId="3814B26F" w14:textId="77777777" w:rsidR="00033EA9" w:rsidRPr="004F62FA" w:rsidRDefault="00033EA9" w:rsidP="00033EA9">
      <w:pPr>
        <w:pStyle w:val="Funotentext"/>
      </w:pPr>
      <w:r>
        <w:rPr>
          <w:rStyle w:val="Funotenzeichen"/>
        </w:rPr>
        <w:footnoteRef/>
      </w:r>
      <w:r w:rsidRPr="004F62FA">
        <w:t xml:space="preserve"> </w:t>
      </w:r>
      <w:r>
        <w:t xml:space="preserve">Fraunhofer Institut, Kupfer statt Silber: Neuer Schub für die Solarstellenproduktion, 01.09.2022. </w:t>
      </w:r>
      <w:r w:rsidRPr="004F62FA">
        <w:t xml:space="preserve">Siehe: </w:t>
      </w:r>
      <w:hyperlink r:id="rId986" w:history="1">
        <w:r w:rsidRPr="0050727D">
          <w:rPr>
            <w:rStyle w:val="Hyperlink"/>
          </w:rPr>
          <w:t>https://www.fraunhofer.de/de/presse/presseinformationen/2022/september-2022/kupfer-statt-silber-neuer-schub-fuer-solarzellen.html</w:t>
        </w:r>
      </w:hyperlink>
      <w:r>
        <w:t xml:space="preserve"> - Zugegriffen: 09.06.2025. </w:t>
      </w:r>
    </w:p>
  </w:footnote>
  <w:footnote w:id="1305">
    <w:p w14:paraId="4ABFA5BB" w14:textId="77777777" w:rsidR="00112190" w:rsidRDefault="00112190" w:rsidP="00112190">
      <w:pPr>
        <w:pStyle w:val="Funotentext"/>
      </w:pPr>
      <w:r>
        <w:rPr>
          <w:rStyle w:val="Funotenzeichen"/>
        </w:rPr>
        <w:footnoteRef/>
      </w:r>
      <w:r>
        <w:t xml:space="preserve"> Ergebnisse der Dialogplattform: </w:t>
      </w:r>
      <w:hyperlink r:id="rId987" w:history="1">
        <w:r w:rsidRPr="00060626">
          <w:rPr>
            <w:rStyle w:val="Hyperlink"/>
          </w:rPr>
          <w:t>https://www.recyclingrohstoffe-dialog.de/Recyclingrohstoffe/DE/Publikationen/publikationen_node.html</w:t>
        </w:r>
      </w:hyperlink>
      <w:r>
        <w:t xml:space="preserve"> - Zugegriffen: 16.02.2024. </w:t>
      </w:r>
    </w:p>
  </w:footnote>
  <w:footnote w:id="1306">
    <w:p w14:paraId="3545C2D6" w14:textId="77777777" w:rsidR="00112190" w:rsidRDefault="00112190" w:rsidP="00112190">
      <w:pPr>
        <w:pStyle w:val="Funotentext"/>
      </w:pPr>
      <w:r>
        <w:rPr>
          <w:rStyle w:val="Funotenzeichen"/>
        </w:rPr>
        <w:footnoteRef/>
      </w:r>
      <w:r>
        <w:t xml:space="preserve"> DERA Schriftenreihe: </w:t>
      </w:r>
      <w:hyperlink r:id="rId988" w:history="1">
        <w:r w:rsidRPr="00060626">
          <w:rPr>
            <w:rStyle w:val="Hyperlink"/>
          </w:rPr>
          <w:t>https://www.deutsche-rohstoffagentur.de/DERA/DE/Produkte/Schriftenreihe/schriftenreihe_node.html;jsessionid=516A6365323E4B5AEAB07A1EBD250CC6.internet991</w:t>
        </w:r>
      </w:hyperlink>
      <w:r>
        <w:t xml:space="preserve"> – Zugegriffen: 16.02.2024.</w:t>
      </w:r>
    </w:p>
  </w:footnote>
  <w:footnote w:id="1307">
    <w:p w14:paraId="505065A8" w14:textId="77777777" w:rsidR="00112190" w:rsidRDefault="00112190" w:rsidP="00112190">
      <w:pPr>
        <w:pStyle w:val="Funotentext"/>
      </w:pPr>
      <w:r>
        <w:rPr>
          <w:rStyle w:val="Funotenzeichen"/>
        </w:rPr>
        <w:footnoteRef/>
      </w:r>
      <w:r>
        <w:t xml:space="preserve"> Siehe: </w:t>
      </w:r>
      <w:hyperlink r:id="rId989" w:history="1">
        <w:r w:rsidRPr="00A43BFF">
          <w:rPr>
            <w:rStyle w:val="Hyperlink"/>
          </w:rPr>
          <w:t>https://agriculture.ec.europa.eu/farming/organic-farming/organic-action-plan_en</w:t>
        </w:r>
      </w:hyperlink>
      <w:r>
        <w:t xml:space="preserve"> - Zugegriffen: 22.12.2023. </w:t>
      </w:r>
    </w:p>
  </w:footnote>
  <w:footnote w:id="1308">
    <w:p w14:paraId="3758B6AC" w14:textId="77777777" w:rsidR="00112190" w:rsidRDefault="00112190" w:rsidP="00112190">
      <w:pPr>
        <w:pStyle w:val="Funotentext"/>
      </w:pPr>
      <w:r>
        <w:rPr>
          <w:rStyle w:val="Funotenzeichen"/>
        </w:rPr>
        <w:footnoteRef/>
      </w:r>
      <w:r>
        <w:t xml:space="preserve"> Siehe: </w:t>
      </w:r>
      <w:hyperlink r:id="rId990" w:history="1">
        <w:r w:rsidRPr="00DB6AF3">
          <w:rPr>
            <w:rStyle w:val="Hyperlink"/>
          </w:rPr>
          <w:t>https://ec.europa.eu/commission/presscorner/detail/en/ip_20_1259</w:t>
        </w:r>
      </w:hyperlink>
      <w:r>
        <w:t xml:space="preserve"> - Zugegriffen: 22.12.2023. </w:t>
      </w:r>
    </w:p>
  </w:footnote>
  <w:footnote w:id="1309">
    <w:p w14:paraId="46BA2E18" w14:textId="54F42A61" w:rsidR="00982867" w:rsidRDefault="00982867">
      <w:pPr>
        <w:pStyle w:val="Funotentext"/>
      </w:pPr>
      <w:r>
        <w:rPr>
          <w:rStyle w:val="Funotenzeichen"/>
        </w:rPr>
        <w:footnoteRef/>
      </w:r>
      <w:r>
        <w:t xml:space="preserve"> Siehe S. 3 in er </w:t>
      </w:r>
      <w:proofErr w:type="gramStart"/>
      <w:r>
        <w:t>EU Wasserstoffstrategie</w:t>
      </w:r>
      <w:proofErr w:type="gramEnd"/>
      <w:r>
        <w:t xml:space="preserve"> 2020: </w:t>
      </w:r>
      <w:hyperlink r:id="rId991" w:history="1">
        <w:r w:rsidRPr="00011C1B">
          <w:rPr>
            <w:rStyle w:val="Hyperlink"/>
          </w:rPr>
          <w:t>https://eur-lex.europa.eu/legal-content/EN/TXT/?uri=CELEX:52020DC0301</w:t>
        </w:r>
      </w:hyperlink>
      <w:r>
        <w:t xml:space="preserve"> – Zugegriffen: 16.05.2025.</w:t>
      </w:r>
    </w:p>
  </w:footnote>
  <w:footnote w:id="1310">
    <w:p w14:paraId="6164B9C0" w14:textId="77777777" w:rsidR="00112190" w:rsidRDefault="00112190" w:rsidP="00112190">
      <w:pPr>
        <w:pStyle w:val="Funotentext"/>
      </w:pPr>
      <w:r>
        <w:rPr>
          <w:rStyle w:val="Funotenzeichen"/>
        </w:rPr>
        <w:footnoteRef/>
      </w:r>
      <w:r>
        <w:t xml:space="preserve"> Siehe: </w:t>
      </w:r>
      <w:hyperlink r:id="rId992" w:history="1">
        <w:r w:rsidRPr="00C52C50">
          <w:rPr>
            <w:rStyle w:val="Hyperlink"/>
          </w:rPr>
          <w:t>https://single-market-economy.ec.europa.eu/industry/strategy/industrial-alliances/european-clean-hydrogen-alliance_en</w:t>
        </w:r>
      </w:hyperlink>
      <w:r>
        <w:t xml:space="preserve"> - Zugegriffen: 07.12.2023. </w:t>
      </w:r>
    </w:p>
  </w:footnote>
  <w:footnote w:id="1311">
    <w:p w14:paraId="40E4F140" w14:textId="4751237B" w:rsidR="00982867" w:rsidRDefault="00982867">
      <w:pPr>
        <w:pStyle w:val="Funotentext"/>
      </w:pPr>
      <w:r>
        <w:rPr>
          <w:rStyle w:val="Funotenzeichen"/>
        </w:rPr>
        <w:footnoteRef/>
      </w:r>
      <w:r>
        <w:t xml:space="preserve"> Siehe: </w:t>
      </w:r>
      <w:hyperlink r:id="rId993" w:history="1">
        <w:r w:rsidRPr="00011C1B">
          <w:rPr>
            <w:rStyle w:val="Hyperlink"/>
          </w:rPr>
          <w:t>https://energy.ec.europa.eu/topics/eus-energy-system/hydrogen_en</w:t>
        </w:r>
      </w:hyperlink>
      <w:r>
        <w:t xml:space="preserve"> </w:t>
      </w:r>
    </w:p>
  </w:footnote>
  <w:footnote w:id="1312">
    <w:p w14:paraId="39FD4E0C" w14:textId="0EB2EE21" w:rsidR="00982867" w:rsidRDefault="00982867">
      <w:pPr>
        <w:pStyle w:val="Funotentext"/>
      </w:pPr>
      <w:r>
        <w:rPr>
          <w:rStyle w:val="Funotenzeichen"/>
        </w:rPr>
        <w:footnoteRef/>
      </w:r>
      <w:r>
        <w:t xml:space="preserve"> Siehe: </w:t>
      </w:r>
      <w:hyperlink r:id="rId994" w:history="1">
        <w:r w:rsidRPr="00011C1B">
          <w:rPr>
            <w:rStyle w:val="Hyperlink"/>
          </w:rPr>
          <w:t>https://energy.ec.europa.eu/index_en</w:t>
        </w:r>
      </w:hyperlink>
      <w:r>
        <w:t xml:space="preserve"> </w:t>
      </w:r>
    </w:p>
  </w:footnote>
  <w:footnote w:id="1313">
    <w:p w14:paraId="534E1F2E" w14:textId="77777777" w:rsidR="00677F45" w:rsidRDefault="00677F45" w:rsidP="00677F45">
      <w:pPr>
        <w:pStyle w:val="Funotentext"/>
      </w:pPr>
      <w:r>
        <w:rPr>
          <w:rStyle w:val="Funotenzeichen"/>
        </w:rPr>
        <w:footnoteRef/>
      </w:r>
      <w:r>
        <w:t xml:space="preserve"> Siehe Pressemitteilung vom 5 May 2022: </w:t>
      </w:r>
      <w:hyperlink r:id="rId995" w:history="1">
        <w:r w:rsidRPr="00C52C50">
          <w:rPr>
            <w:rStyle w:val="Hyperlink"/>
          </w:rPr>
          <w:t>https://ec.europa.eu/commission/presscorner/detail/en/ip_22_2829</w:t>
        </w:r>
      </w:hyperlink>
      <w:r>
        <w:t xml:space="preserve"> - Zugegriffen: 07.12.2023. </w:t>
      </w:r>
    </w:p>
  </w:footnote>
  <w:footnote w:id="1314">
    <w:p w14:paraId="0A00D8CE" w14:textId="0F251C78" w:rsidR="00677F45" w:rsidRDefault="00677F45">
      <w:pPr>
        <w:pStyle w:val="Funotentext"/>
      </w:pPr>
      <w:r>
        <w:rPr>
          <w:rStyle w:val="Funotenzeichen"/>
        </w:rPr>
        <w:footnoteRef/>
      </w:r>
      <w:r>
        <w:t xml:space="preserve"> Siehe: </w:t>
      </w:r>
      <w:hyperlink r:id="rId996" w:history="1">
        <w:r w:rsidRPr="00011C1B">
          <w:rPr>
            <w:rStyle w:val="Hyperlink"/>
          </w:rPr>
          <w:t>https://eur-lex.europa.eu/legal-content/EN/TXT/?uri=COM:2022:230:FIN</w:t>
        </w:r>
      </w:hyperlink>
      <w:r>
        <w:t xml:space="preserve"> – siehe auch hier: </w:t>
      </w:r>
      <w:hyperlink r:id="rId997" w:history="1">
        <w:r w:rsidRPr="00011C1B">
          <w:rPr>
            <w:rStyle w:val="Hyperlink"/>
          </w:rPr>
          <w:t>https://commission.europa.eu/publications/key-documents-repowereu_en</w:t>
        </w:r>
      </w:hyperlink>
      <w:r>
        <w:t xml:space="preserve"> </w:t>
      </w:r>
    </w:p>
  </w:footnote>
  <w:footnote w:id="1315">
    <w:p w14:paraId="49E54C97" w14:textId="53E30AA7" w:rsidR="00677F45" w:rsidRDefault="00677F45">
      <w:pPr>
        <w:pStyle w:val="Funotentext"/>
      </w:pPr>
      <w:r>
        <w:rPr>
          <w:rStyle w:val="Funotenzeichen"/>
        </w:rPr>
        <w:footnoteRef/>
      </w:r>
      <w:r>
        <w:t xml:space="preserve"> Siehe die </w:t>
      </w:r>
      <w:proofErr w:type="spellStart"/>
      <w:r>
        <w:t>REPowerEU</w:t>
      </w:r>
      <w:proofErr w:type="spellEnd"/>
      <w:r>
        <w:t xml:space="preserve"> Webseite: </w:t>
      </w:r>
      <w:hyperlink r:id="rId998" w:history="1">
        <w:r w:rsidRPr="00011C1B">
          <w:rPr>
            <w:rStyle w:val="Hyperlink"/>
          </w:rPr>
          <w:t>https://commission.europa.eu/topics/energy/repowereu_en</w:t>
        </w:r>
      </w:hyperlink>
      <w:r>
        <w:t xml:space="preserve"> - Zugegriffen: 16.05.2025.</w:t>
      </w:r>
    </w:p>
  </w:footnote>
  <w:footnote w:id="1316">
    <w:p w14:paraId="52F9A821" w14:textId="5F713B54" w:rsidR="00966A02" w:rsidRDefault="00966A02">
      <w:pPr>
        <w:pStyle w:val="Funotentext"/>
      </w:pPr>
      <w:r>
        <w:rPr>
          <w:rStyle w:val="Funotenzeichen"/>
        </w:rPr>
        <w:footnoteRef/>
      </w:r>
      <w:r>
        <w:t xml:space="preserve"> Ebd., </w:t>
      </w:r>
      <w:proofErr w:type="spellStart"/>
      <w:r>
        <w:t>RePowerEU</w:t>
      </w:r>
      <w:proofErr w:type="spellEnd"/>
      <w:r>
        <w:t xml:space="preserve"> Mitteilung, S. 9. Siehe den Act: </w:t>
      </w:r>
      <w:hyperlink r:id="rId999" w:history="1">
        <w:r w:rsidRPr="00011C1B">
          <w:rPr>
            <w:rStyle w:val="Hyperlink"/>
          </w:rPr>
          <w:t>https://eur-lex.europa.eu/legal-content/EN/TXT/?uri=COM:2022:230:FIN</w:t>
        </w:r>
      </w:hyperlink>
      <w:r>
        <w:t xml:space="preserve"> – Zugegriffen: 15.05.2025.  </w:t>
      </w:r>
    </w:p>
  </w:footnote>
  <w:footnote w:id="1317">
    <w:p w14:paraId="313DBE83" w14:textId="408F1EF4" w:rsidR="00966A02" w:rsidRDefault="00966A02">
      <w:pPr>
        <w:pStyle w:val="Funotentext"/>
      </w:pPr>
      <w:r>
        <w:rPr>
          <w:rStyle w:val="Funotenzeichen"/>
        </w:rPr>
        <w:footnoteRef/>
      </w:r>
      <w:r>
        <w:t xml:space="preserve"> Ebd., </w:t>
      </w:r>
      <w:proofErr w:type="spellStart"/>
      <w:r>
        <w:t>RePowerEU</w:t>
      </w:r>
      <w:proofErr w:type="spellEnd"/>
      <w:r>
        <w:t xml:space="preserve"> Mitteilung, S. 7. Siehe den Act: </w:t>
      </w:r>
      <w:hyperlink r:id="rId1000" w:history="1">
        <w:r w:rsidRPr="00011C1B">
          <w:rPr>
            <w:rStyle w:val="Hyperlink"/>
          </w:rPr>
          <w:t>https://eur-lex.europa.eu/legal-content/EN/TXT/?uri=COM:2022:230:FIN</w:t>
        </w:r>
      </w:hyperlink>
      <w:r>
        <w:t xml:space="preserve"> – Zugegriffen: 15.05.2025.  </w:t>
      </w:r>
    </w:p>
  </w:footnote>
  <w:footnote w:id="1318">
    <w:p w14:paraId="2D8E3E85" w14:textId="77777777" w:rsidR="00A52539" w:rsidRDefault="00A52539" w:rsidP="00A52539">
      <w:pPr>
        <w:pStyle w:val="Funotentext"/>
      </w:pPr>
      <w:r>
        <w:rPr>
          <w:rStyle w:val="Funotenzeichen"/>
        </w:rPr>
        <w:footnoteRef/>
      </w:r>
      <w:r>
        <w:t xml:space="preserve"> Siehe: </w:t>
      </w:r>
      <w:hyperlink r:id="rId1001" w:history="1">
        <w:r w:rsidRPr="00E10A02">
          <w:rPr>
            <w:rStyle w:val="Hyperlink"/>
          </w:rPr>
          <w:t>https://competition-policy.ec.europa.eu/state-aid/ipcei/approved-ipceis_en</w:t>
        </w:r>
      </w:hyperlink>
      <w:r>
        <w:t xml:space="preserve"> - Zugegriffen: 13.06.2025. </w:t>
      </w:r>
    </w:p>
  </w:footnote>
  <w:footnote w:id="1319">
    <w:p w14:paraId="41EC7032" w14:textId="47B1AE7D" w:rsidR="002F3784" w:rsidRDefault="002F3784">
      <w:pPr>
        <w:pStyle w:val="Funotentext"/>
      </w:pPr>
      <w:r>
        <w:rPr>
          <w:rStyle w:val="Funotenzeichen"/>
        </w:rPr>
        <w:footnoteRef/>
      </w:r>
      <w:r>
        <w:t xml:space="preserve"> Siehe: </w:t>
      </w:r>
      <w:hyperlink r:id="rId1002" w:history="1">
        <w:r w:rsidRPr="00AA613D">
          <w:rPr>
            <w:rStyle w:val="Hyperlink"/>
          </w:rPr>
          <w:t>https://ec.europa.eu/commission/presscorner/detail/en/SPEECH_22_4549</w:t>
        </w:r>
      </w:hyperlink>
      <w:r>
        <w:t xml:space="preserve"> - Zugegriffen: 26.12.2023.</w:t>
      </w:r>
    </w:p>
  </w:footnote>
  <w:footnote w:id="1320">
    <w:p w14:paraId="069707B7" w14:textId="6759AAD2" w:rsidR="00112190" w:rsidRDefault="00112190" w:rsidP="00112190">
      <w:pPr>
        <w:pStyle w:val="Funotentext"/>
      </w:pPr>
      <w:r>
        <w:rPr>
          <w:rStyle w:val="Funotenzeichen"/>
        </w:rPr>
        <w:footnoteRef/>
      </w:r>
      <w:r>
        <w:t xml:space="preserve"> Siehe: </w:t>
      </w:r>
      <w:hyperlink r:id="rId1003" w:history="1">
        <w:r w:rsidRPr="00372C9A">
          <w:rPr>
            <w:rStyle w:val="Hyperlink"/>
          </w:rPr>
          <w:t>https://ec.europa.eu/commission/presscorner/detail/en/ip_23_594</w:t>
        </w:r>
      </w:hyperlink>
      <w:r>
        <w:t xml:space="preserve"> - Zugegriffen: 26.12.2023. </w:t>
      </w:r>
      <w:r w:rsidR="002F3784">
        <w:t xml:space="preserve">Siehe auch: </w:t>
      </w:r>
      <w:hyperlink r:id="rId1004" w:history="1">
        <w:r w:rsidR="002F3784" w:rsidRPr="00AA613D">
          <w:rPr>
            <w:rStyle w:val="Hyperlink"/>
          </w:rPr>
          <w:t>https://ec.europa.eu/commission/presscorner/detail/en/ip_22_5676</w:t>
        </w:r>
      </w:hyperlink>
      <w:r w:rsidR="002F3784">
        <w:t xml:space="preserve"> - Zugegriffen: 26.12.2023.</w:t>
      </w:r>
    </w:p>
  </w:footnote>
  <w:footnote w:id="1321">
    <w:p w14:paraId="6B0FAEDA" w14:textId="77777777" w:rsidR="00112190" w:rsidRDefault="00112190" w:rsidP="00112190">
      <w:pPr>
        <w:pStyle w:val="Funotentext"/>
      </w:pPr>
      <w:r>
        <w:rPr>
          <w:rStyle w:val="Funotenzeichen"/>
        </w:rPr>
        <w:footnoteRef/>
      </w:r>
      <w:r>
        <w:t xml:space="preserve"> Siehe: </w:t>
      </w:r>
      <w:hyperlink r:id="rId1005" w:history="1">
        <w:r w:rsidRPr="00186891">
          <w:rPr>
            <w:rStyle w:val="Hyperlink"/>
          </w:rPr>
          <w:t>https://ipcei-hydrogen.eu/</w:t>
        </w:r>
      </w:hyperlink>
    </w:p>
  </w:footnote>
  <w:footnote w:id="1322">
    <w:p w14:paraId="53B3C3F3" w14:textId="77777777" w:rsidR="00112190" w:rsidRDefault="00112190" w:rsidP="00112190">
      <w:pPr>
        <w:pStyle w:val="Funotentext"/>
      </w:pPr>
      <w:r>
        <w:rPr>
          <w:rStyle w:val="Funotenzeichen"/>
        </w:rPr>
        <w:footnoteRef/>
      </w:r>
      <w:r>
        <w:t xml:space="preserve"> Siehe: </w:t>
      </w:r>
      <w:hyperlink r:id="rId1006" w:history="1">
        <w:r w:rsidRPr="00060626">
          <w:rPr>
            <w:rStyle w:val="Hyperlink"/>
          </w:rPr>
          <w:t>https://ipcei-hydrogen.eu/news/view/85bb104e-d8ea-4451-bef5-6908168af6dd/commission-approves-up-to-69-billion-of-state-aid-for-ipcei-hy2infra</w:t>
        </w:r>
      </w:hyperlink>
      <w:r>
        <w:t xml:space="preserve"> - Zugegriffen: 16.02.2024.</w:t>
      </w:r>
    </w:p>
  </w:footnote>
  <w:footnote w:id="1323">
    <w:p w14:paraId="745ADF12" w14:textId="625DD6D4" w:rsidR="00E146EC" w:rsidRDefault="00E146EC">
      <w:pPr>
        <w:pStyle w:val="Funotentext"/>
      </w:pPr>
      <w:r>
        <w:rPr>
          <w:rStyle w:val="Funotenzeichen"/>
        </w:rPr>
        <w:footnoteRef/>
      </w:r>
      <w:r>
        <w:t xml:space="preserve"> Siehe: </w:t>
      </w:r>
      <w:hyperlink r:id="rId1007" w:history="1">
        <w:r w:rsidRPr="00E146EC">
          <w:rPr>
            <w:rStyle w:val="Hyperlink"/>
          </w:rPr>
          <w:t>https://www.bmwk.de/Redaktion/DE/FAQ/IPCEI-Wasserstoff/faq-ipcei-wasserstoff.html</w:t>
        </w:r>
      </w:hyperlink>
    </w:p>
  </w:footnote>
  <w:footnote w:id="1324">
    <w:p w14:paraId="32712AB4" w14:textId="77777777" w:rsidR="00112190" w:rsidRDefault="00112190" w:rsidP="00112190">
      <w:pPr>
        <w:pStyle w:val="Funotentext"/>
      </w:pPr>
      <w:r>
        <w:rPr>
          <w:rStyle w:val="Funotenzeichen"/>
        </w:rPr>
        <w:footnoteRef/>
      </w:r>
      <w:r>
        <w:t xml:space="preserve"> Siehe: </w:t>
      </w:r>
      <w:hyperlink r:id="rId1008" w:history="1">
        <w:r w:rsidRPr="00DB5ECB">
          <w:rPr>
            <w:rStyle w:val="Hyperlink"/>
          </w:rPr>
          <w:t>https://competition-policy.ec.europa.eu/document/download/00d45d71-26f3-44e5-b0fc-c36a05fe0538_en?filename=IPCEIs_DG_COMP_code_of_good_practices.pdf</w:t>
        </w:r>
      </w:hyperlink>
      <w:r>
        <w:t xml:space="preserve"> – Zugegriffen: 08.06.2024. </w:t>
      </w:r>
    </w:p>
  </w:footnote>
  <w:footnote w:id="1325">
    <w:p w14:paraId="3A8004AC" w14:textId="77777777" w:rsidR="00112190" w:rsidRDefault="00112190" w:rsidP="00112190">
      <w:pPr>
        <w:pStyle w:val="Funotentext"/>
      </w:pPr>
      <w:r>
        <w:rPr>
          <w:rStyle w:val="Funotenzeichen"/>
        </w:rPr>
        <w:footnoteRef/>
      </w:r>
      <w:r>
        <w:t xml:space="preserve"> Siehe FAZ. Energiewende. Förderung von Wasserstoff, 16.02.2024. Siehe: </w:t>
      </w:r>
      <w:hyperlink r:id="rId1009" w:history="1">
        <w:r w:rsidRPr="008D0F9C">
          <w:rPr>
            <w:rStyle w:val="Hyperlink"/>
          </w:rPr>
          <w:t>https://zeitung.faz.net/wirtschaft/2024-02-16</w:t>
        </w:r>
      </w:hyperlink>
      <w:r>
        <w:t xml:space="preserve"> – Zugegriffen: 16.02.2024.</w:t>
      </w:r>
    </w:p>
  </w:footnote>
  <w:footnote w:id="1326">
    <w:p w14:paraId="5C4006AF" w14:textId="77777777" w:rsidR="00112190" w:rsidRDefault="00112190" w:rsidP="00112190">
      <w:pPr>
        <w:pStyle w:val="Funotentext"/>
      </w:pPr>
      <w:r>
        <w:rPr>
          <w:rStyle w:val="Funotenzeichen"/>
        </w:rPr>
        <w:footnoteRef/>
      </w:r>
      <w:r>
        <w:t xml:space="preserve"> Siehe: </w:t>
      </w:r>
      <w:hyperlink r:id="rId1010" w:history="1">
        <w:r w:rsidRPr="008D0F9C">
          <w:rPr>
            <w:rStyle w:val="Hyperlink"/>
          </w:rPr>
          <w:t>https://www.rwe.com/forschung-und-entwicklung/wasserstoff-projekte/hytech-hafen-rostock/</w:t>
        </w:r>
      </w:hyperlink>
      <w:r>
        <w:t xml:space="preserve"> - Zugegriffen: 24.02.2024.</w:t>
      </w:r>
    </w:p>
  </w:footnote>
  <w:footnote w:id="1327">
    <w:p w14:paraId="1F4D5D5D" w14:textId="77777777" w:rsidR="00112190" w:rsidRPr="001951AC" w:rsidRDefault="00112190" w:rsidP="00112190">
      <w:pPr>
        <w:pStyle w:val="Funotentext"/>
      </w:pPr>
      <w:r>
        <w:rPr>
          <w:rStyle w:val="Funotenzeichen"/>
        </w:rPr>
        <w:footnoteRef/>
      </w:r>
      <w:r w:rsidRPr="001951AC">
        <w:t xml:space="preserve"> </w:t>
      </w:r>
      <w:r>
        <w:t xml:space="preserve">Siehe: </w:t>
      </w:r>
      <w:hyperlink r:id="rId1011" w:history="1">
        <w:r w:rsidRPr="008D0F9C">
          <w:rPr>
            <w:rStyle w:val="Hyperlink"/>
          </w:rPr>
          <w:t>https://www.faz.net/agenturmeldungen/dpa/wasserstoffpaket-genehmigt-gruenes-licht-fuer-foerderung-in-mv-19522907.html</w:t>
        </w:r>
      </w:hyperlink>
      <w:r w:rsidRPr="001951AC">
        <w:t xml:space="preserve"> - Zu</w:t>
      </w:r>
      <w:r>
        <w:t>gegriffen: 24.02.2024.</w:t>
      </w:r>
    </w:p>
  </w:footnote>
  <w:footnote w:id="1328">
    <w:p w14:paraId="760380F0" w14:textId="77777777" w:rsidR="00112190" w:rsidRDefault="00112190" w:rsidP="00112190">
      <w:pPr>
        <w:pStyle w:val="Funotentext"/>
      </w:pPr>
      <w:r>
        <w:rPr>
          <w:rStyle w:val="Funotenzeichen"/>
        </w:rPr>
        <w:footnoteRef/>
      </w:r>
      <w:r>
        <w:t xml:space="preserve"> Siehe: </w:t>
      </w:r>
      <w:hyperlink r:id="rId1012" w:history="1">
        <w:r w:rsidRPr="008D0F9C">
          <w:rPr>
            <w:rStyle w:val="Hyperlink"/>
          </w:rPr>
          <w:t>https://www.faz.net/agenturmeldungen/dpa/milliardenschweres-projekt-auch-niedersachsen-profitiert-19522822.html</w:t>
        </w:r>
      </w:hyperlink>
      <w:r>
        <w:t xml:space="preserve"> - Zugegriffen: 24.02.2024.</w:t>
      </w:r>
    </w:p>
  </w:footnote>
  <w:footnote w:id="1329">
    <w:p w14:paraId="7991D9BE" w14:textId="77777777" w:rsidR="00FA2FF9" w:rsidRDefault="00FA2FF9" w:rsidP="00FA2FF9">
      <w:pPr>
        <w:pStyle w:val="Funotentext"/>
      </w:pPr>
      <w:r>
        <w:rPr>
          <w:rStyle w:val="Funotenzeichen"/>
        </w:rPr>
        <w:footnoteRef/>
      </w:r>
      <w:r>
        <w:t xml:space="preserve"> Siehe: </w:t>
      </w:r>
      <w:hyperlink r:id="rId1013" w:history="1">
        <w:r w:rsidRPr="00A0302A">
          <w:rPr>
            <w:rStyle w:val="Hyperlink"/>
          </w:rPr>
          <w:t>https://www.bmwk.de/Redaktion/DE/Pressemitteilungen/2024/07/20240715-ipcei-wasserstoff-projekte.html</w:t>
        </w:r>
      </w:hyperlink>
      <w:r>
        <w:t xml:space="preserve"> - Zugegriffen: 19.07.2024. </w:t>
      </w:r>
    </w:p>
  </w:footnote>
  <w:footnote w:id="1330">
    <w:p w14:paraId="6B5B3679" w14:textId="77777777" w:rsidR="00FA2FF9" w:rsidRDefault="00FA2FF9" w:rsidP="00FA2FF9">
      <w:pPr>
        <w:pStyle w:val="Funotentext"/>
      </w:pPr>
      <w:r>
        <w:rPr>
          <w:rStyle w:val="Funotenzeichen"/>
        </w:rPr>
        <w:footnoteRef/>
      </w:r>
      <w:r>
        <w:t xml:space="preserve"> Siehe: </w:t>
      </w:r>
      <w:hyperlink r:id="rId1014" w:history="1">
        <w:r w:rsidRPr="00A0302A">
          <w:rPr>
            <w:rStyle w:val="Hyperlink"/>
          </w:rPr>
          <w:t>https://www.bmwk.de/Redaktion/DE/Downloads/I/ipcei-deutsche-hy2infra-projekte.pdf?__blob=publicationFile&amp;v=7</w:t>
        </w:r>
      </w:hyperlink>
      <w:r>
        <w:t xml:space="preserve"> – Zugegriffen: 19.07.2024. </w:t>
      </w:r>
    </w:p>
  </w:footnote>
  <w:footnote w:id="1331">
    <w:p w14:paraId="7F767450" w14:textId="77777777" w:rsidR="00112190" w:rsidRDefault="00112190" w:rsidP="00112190">
      <w:pPr>
        <w:pStyle w:val="Funotentext"/>
      </w:pPr>
      <w:r>
        <w:rPr>
          <w:rStyle w:val="Funotenzeichen"/>
        </w:rPr>
        <w:footnoteRef/>
      </w:r>
      <w:r>
        <w:t xml:space="preserve"> Siehe: </w:t>
      </w:r>
      <w:hyperlink r:id="rId1015" w:history="1">
        <w:r w:rsidRPr="00DB5ECB">
          <w:rPr>
            <w:rStyle w:val="Hyperlink"/>
          </w:rPr>
          <w:t>https://ec.europa.eu/commission/presscorner/detail/en/ip_24_2851</w:t>
        </w:r>
      </w:hyperlink>
      <w:r>
        <w:t xml:space="preserve"> - Zugegriffen: 08.06.2024. </w:t>
      </w:r>
    </w:p>
  </w:footnote>
  <w:footnote w:id="1332">
    <w:p w14:paraId="7E592E73" w14:textId="77777777" w:rsidR="00112190" w:rsidRPr="00F252B5" w:rsidRDefault="00112190" w:rsidP="00112190">
      <w:pPr>
        <w:pStyle w:val="Funotentext"/>
      </w:pPr>
      <w:r>
        <w:rPr>
          <w:rStyle w:val="Funotenzeichen"/>
        </w:rPr>
        <w:footnoteRef/>
      </w:r>
      <w:r w:rsidRPr="00BB76AC">
        <w:t xml:space="preserve"> Hanna Decker, Niklas Zaboji. </w:t>
      </w:r>
      <w:r w:rsidRPr="00F252B5">
        <w:t>Kabinett treibt Ausbau von W</w:t>
      </w:r>
      <w:r>
        <w:t xml:space="preserve">asserstoff-Projekten voran. FAZ, 31.05.2024. </w:t>
      </w:r>
    </w:p>
  </w:footnote>
  <w:footnote w:id="1333">
    <w:p w14:paraId="3E57E8B0" w14:textId="77777777" w:rsidR="00112190" w:rsidRDefault="00112190" w:rsidP="00112190">
      <w:pPr>
        <w:pStyle w:val="Funotentext"/>
      </w:pPr>
      <w:r>
        <w:rPr>
          <w:rStyle w:val="Funotenzeichen"/>
        </w:rPr>
        <w:footnoteRef/>
      </w:r>
      <w:r>
        <w:t xml:space="preserve"> Siehe: </w:t>
      </w:r>
      <w:hyperlink r:id="rId1016" w:history="1">
        <w:r w:rsidRPr="008D0F9C">
          <w:rPr>
            <w:rStyle w:val="Hyperlink"/>
          </w:rPr>
          <w:t>https://www.faz.net/aktuell/wirtschaft/wissing-entlaesst-abteilungsleiter-wegen-vetternwirtschaftsvorwurf-19522143.html</w:t>
        </w:r>
      </w:hyperlink>
      <w:r>
        <w:t xml:space="preserve"> - Zugegriffen: 24.02.2024. </w:t>
      </w:r>
    </w:p>
  </w:footnote>
  <w:footnote w:id="1334">
    <w:p w14:paraId="1776D3ED" w14:textId="77777777" w:rsidR="009B2022" w:rsidRDefault="009B2022" w:rsidP="009B2022">
      <w:pPr>
        <w:pStyle w:val="Funotentext"/>
      </w:pPr>
      <w:r>
        <w:rPr>
          <w:rStyle w:val="Funotenzeichen"/>
        </w:rPr>
        <w:footnoteRef/>
      </w:r>
      <w:r>
        <w:t xml:space="preserve"> Europäischer Rechnungshof, Sonderbericht 11. Die Industriepolitik der EU im Bereich Wasserstoff. 2024. Siehe: </w:t>
      </w:r>
      <w:hyperlink r:id="rId1017" w:history="1">
        <w:r w:rsidRPr="00AA613D">
          <w:rPr>
            <w:rStyle w:val="Hyperlink"/>
          </w:rPr>
          <w:t>https://www.eca.europa.eu/de/publications/SR-2024-11</w:t>
        </w:r>
      </w:hyperlink>
      <w:r>
        <w:t xml:space="preserve"> - Zugegriffen: 21.07.2024.  </w:t>
      </w:r>
    </w:p>
  </w:footnote>
  <w:footnote w:id="1335">
    <w:p w14:paraId="44ACD8A7" w14:textId="77777777" w:rsidR="009B2022" w:rsidRDefault="009B2022" w:rsidP="009B2022">
      <w:pPr>
        <w:pStyle w:val="Funotentext"/>
      </w:pPr>
      <w:r>
        <w:rPr>
          <w:rStyle w:val="Funotenzeichen"/>
        </w:rPr>
        <w:footnoteRef/>
      </w:r>
      <w:r>
        <w:t xml:space="preserve"> S. 27 in Europäischer Rechnungshof, Sonderbericht 11. Die Industriepolitik der EU im Bereich Wasserstoff. 2024. Siehe: </w:t>
      </w:r>
      <w:hyperlink r:id="rId1018" w:history="1">
        <w:r w:rsidRPr="00AA613D">
          <w:rPr>
            <w:rStyle w:val="Hyperlink"/>
          </w:rPr>
          <w:t>https://www.eca.europa.eu/de/publications/SR-2024-11</w:t>
        </w:r>
      </w:hyperlink>
      <w:r>
        <w:t xml:space="preserve"> - Zugegriffen: 21.07.2024.  </w:t>
      </w:r>
    </w:p>
  </w:footnote>
  <w:footnote w:id="1336">
    <w:p w14:paraId="3600694B" w14:textId="77777777" w:rsidR="009B2022" w:rsidRDefault="009B2022" w:rsidP="009B2022">
      <w:pPr>
        <w:pStyle w:val="Funotentext"/>
      </w:pPr>
      <w:r>
        <w:rPr>
          <w:rStyle w:val="Funotenzeichen"/>
        </w:rPr>
        <w:footnoteRef/>
      </w:r>
      <w:r>
        <w:t xml:space="preserve"> Zitiert von S. 38, Europäischer Rechnungshof, Sonderbericht 11. Die Industriepolitik der EU im Bereich Wasserstoff. 2024. Siehe: </w:t>
      </w:r>
      <w:hyperlink r:id="rId1019" w:history="1">
        <w:r w:rsidRPr="00AA613D">
          <w:rPr>
            <w:rStyle w:val="Hyperlink"/>
          </w:rPr>
          <w:t>https://www.eca.europa.eu/de/publications/SR-2024-11</w:t>
        </w:r>
      </w:hyperlink>
      <w:r>
        <w:t xml:space="preserve"> - Zugegriffen: 21.07.2024.  </w:t>
      </w:r>
    </w:p>
  </w:footnote>
  <w:footnote w:id="1337">
    <w:p w14:paraId="48D427EE" w14:textId="77777777" w:rsidR="009B2022" w:rsidRDefault="009B2022" w:rsidP="009B2022">
      <w:pPr>
        <w:pStyle w:val="Funotentext"/>
      </w:pPr>
      <w:r>
        <w:rPr>
          <w:rStyle w:val="Funotenzeichen"/>
        </w:rPr>
        <w:footnoteRef/>
      </w:r>
      <w:r>
        <w:t xml:space="preserve"> Siehe konsolidierte Fassung: </w:t>
      </w:r>
      <w:hyperlink r:id="rId1020" w:history="1">
        <w:r w:rsidRPr="00E93A6A">
          <w:rPr>
            <w:rStyle w:val="Hyperlink"/>
          </w:rPr>
          <w:t>https://eur-lex.europa.eu/legal-content/EN/TXT/?uri=CELEX:02018L2001-20240716</w:t>
        </w:r>
      </w:hyperlink>
      <w:r>
        <w:t xml:space="preserve"> – Zugegriffen: 30.09.2024. </w:t>
      </w:r>
    </w:p>
  </w:footnote>
  <w:footnote w:id="1338">
    <w:p w14:paraId="0E0CAC75" w14:textId="77777777" w:rsidR="009B2022" w:rsidRDefault="009B2022" w:rsidP="009B2022">
      <w:pPr>
        <w:pStyle w:val="Funotentext"/>
      </w:pPr>
      <w:r>
        <w:rPr>
          <w:rStyle w:val="Funotenzeichen"/>
        </w:rPr>
        <w:footnoteRef/>
      </w:r>
      <w:r>
        <w:t xml:space="preserve"> Siehe konsolidierte Fassung: </w:t>
      </w:r>
      <w:hyperlink r:id="rId1021" w:history="1">
        <w:r w:rsidRPr="00E93A6A">
          <w:rPr>
            <w:rStyle w:val="Hyperlink"/>
          </w:rPr>
          <w:t>https://eur-lex.europa.eu/legal-content/EN/TXT/?uri=CELEX:02023R1184-20240610</w:t>
        </w:r>
      </w:hyperlink>
      <w:r>
        <w:t xml:space="preserve"> – Zugegriffen: 30.09.2024.</w:t>
      </w:r>
    </w:p>
  </w:footnote>
  <w:footnote w:id="1339">
    <w:p w14:paraId="1740B390" w14:textId="77777777" w:rsidR="009B2022" w:rsidRDefault="009B2022" w:rsidP="009B2022">
      <w:pPr>
        <w:pStyle w:val="Funotentext"/>
      </w:pPr>
      <w:r>
        <w:rPr>
          <w:rStyle w:val="Funotenzeichen"/>
        </w:rPr>
        <w:footnoteRef/>
      </w:r>
      <w:r>
        <w:t xml:space="preserve"> Siehe: </w:t>
      </w:r>
      <w:hyperlink r:id="rId1022" w:history="1">
        <w:r w:rsidRPr="00E93A6A">
          <w:rPr>
            <w:rStyle w:val="Hyperlink"/>
          </w:rPr>
          <w:t>https://eur-lex.europa.eu/legal-content/DE/TXT/?uri=CELEX:32023R1185</w:t>
        </w:r>
      </w:hyperlink>
      <w:r>
        <w:t xml:space="preserve"> – Zugegriffen: 30.09.2024.</w:t>
      </w:r>
    </w:p>
  </w:footnote>
  <w:footnote w:id="1340">
    <w:p w14:paraId="2835517D" w14:textId="77777777" w:rsidR="009B2022" w:rsidRDefault="009B2022" w:rsidP="009B2022">
      <w:pPr>
        <w:pStyle w:val="Funotentext"/>
      </w:pPr>
      <w:r>
        <w:rPr>
          <w:rStyle w:val="Funotenzeichen"/>
        </w:rPr>
        <w:footnoteRef/>
      </w:r>
      <w:r>
        <w:t xml:space="preserve"> S. 36-38, S. 27, Europäischer Rechnungshof, Sonderbericht 11. Die Industriepolitik der EU im Bereich Wasserstoff. 2024. Siehe: </w:t>
      </w:r>
      <w:hyperlink r:id="rId1023" w:history="1">
        <w:r w:rsidRPr="00AA613D">
          <w:rPr>
            <w:rStyle w:val="Hyperlink"/>
          </w:rPr>
          <w:t>https://www.eca.europa.eu/de/publications/SR-2024-11</w:t>
        </w:r>
      </w:hyperlink>
      <w:r>
        <w:t xml:space="preserve"> - Zugegriffen: 21.07.2024.  </w:t>
      </w:r>
    </w:p>
  </w:footnote>
  <w:footnote w:id="1341">
    <w:p w14:paraId="2083E867" w14:textId="77777777" w:rsidR="009B2022" w:rsidRDefault="009B2022" w:rsidP="009B2022">
      <w:pPr>
        <w:pStyle w:val="Funotentext"/>
      </w:pPr>
      <w:r>
        <w:rPr>
          <w:rStyle w:val="Funotenzeichen"/>
        </w:rPr>
        <w:footnoteRef/>
      </w:r>
      <w:r>
        <w:t xml:space="preserve"> S. 40, Europäischer Rechnungshof, Sonderbericht 11. Die Industriepolitik der EU im Bereich Wasserstoff. 2024. Siehe: </w:t>
      </w:r>
      <w:hyperlink r:id="rId1024" w:history="1">
        <w:r w:rsidRPr="00AA613D">
          <w:rPr>
            <w:rStyle w:val="Hyperlink"/>
          </w:rPr>
          <w:t>https://www.eca.europa.eu/de/publications/SR-2024-11</w:t>
        </w:r>
      </w:hyperlink>
      <w:r>
        <w:t xml:space="preserve"> - Zugegriffen: 21.07.2024.  </w:t>
      </w:r>
    </w:p>
  </w:footnote>
  <w:footnote w:id="1342">
    <w:p w14:paraId="7F776F89" w14:textId="77777777" w:rsidR="009B2022" w:rsidRDefault="009B2022" w:rsidP="009B2022">
      <w:pPr>
        <w:pStyle w:val="Funotentext"/>
      </w:pPr>
      <w:r>
        <w:rPr>
          <w:rStyle w:val="Funotenzeichen"/>
        </w:rPr>
        <w:footnoteRef/>
      </w:r>
      <w:r>
        <w:t xml:space="preserve"> Siehe Interinstitutionelles Dossier 2021/0218(COD): </w:t>
      </w:r>
      <w:hyperlink r:id="rId1025" w:history="1">
        <w:r w:rsidRPr="00AA613D">
          <w:rPr>
            <w:rStyle w:val="Hyperlink"/>
          </w:rPr>
          <w:t>https://data.consilium.europa.eu/doc/document/ST-13188-2023-ADD-1-REV-3/de/pdf</w:t>
        </w:r>
      </w:hyperlink>
      <w:r>
        <w:t xml:space="preserve"> - Zugegriffen: 21.07.2024.</w:t>
      </w:r>
    </w:p>
  </w:footnote>
  <w:footnote w:id="1343">
    <w:p w14:paraId="23FEDCD9" w14:textId="77777777" w:rsidR="009B2022" w:rsidRDefault="009B2022" w:rsidP="009B2022">
      <w:pPr>
        <w:pStyle w:val="Funotentext"/>
      </w:pPr>
      <w:r>
        <w:rPr>
          <w:rStyle w:val="Funotenzeichen"/>
        </w:rPr>
        <w:footnoteRef/>
      </w:r>
      <w:r>
        <w:t xml:space="preserve"> Siehe Interinstitutionelles Dossier 2021/0218(COD): </w:t>
      </w:r>
      <w:hyperlink r:id="rId1026" w:history="1">
        <w:r w:rsidRPr="00AA613D">
          <w:rPr>
            <w:rStyle w:val="Hyperlink"/>
          </w:rPr>
          <w:t>https://data.consilium.europa.eu/doc/document/ST-13188-2023-ADD-1-REV-3/de/pdf</w:t>
        </w:r>
      </w:hyperlink>
      <w:r>
        <w:t xml:space="preserve"> - Zugegriffen: 21.07.2024.</w:t>
      </w:r>
    </w:p>
  </w:footnote>
  <w:footnote w:id="1344">
    <w:p w14:paraId="28116823" w14:textId="77777777" w:rsidR="009B2022" w:rsidRDefault="009B2022" w:rsidP="009B2022">
      <w:pPr>
        <w:pStyle w:val="Funotentext"/>
      </w:pPr>
      <w:r>
        <w:rPr>
          <w:rStyle w:val="Funotenzeichen"/>
        </w:rPr>
        <w:footnoteRef/>
      </w:r>
      <w:r>
        <w:t xml:space="preserve"> Siehe: </w:t>
      </w:r>
      <w:hyperlink r:id="rId1027" w:history="1">
        <w:r w:rsidRPr="009555F3">
          <w:rPr>
            <w:rStyle w:val="Hyperlink"/>
          </w:rPr>
          <w:t>https://eur-lex.europa.eu/legal-content/DE/ALL/?uri=PI_COM:C(2023)7930</w:t>
        </w:r>
      </w:hyperlink>
      <w:r>
        <w:t xml:space="preserve"> – Zugegriffen: 20.06.2025.</w:t>
      </w:r>
    </w:p>
  </w:footnote>
  <w:footnote w:id="1345">
    <w:p w14:paraId="3ED4D8FD" w14:textId="77777777" w:rsidR="009B2022" w:rsidRDefault="009B2022" w:rsidP="009B2022">
      <w:pPr>
        <w:pStyle w:val="Funotentext"/>
      </w:pPr>
      <w:r>
        <w:rPr>
          <w:rStyle w:val="Funotenzeichen"/>
        </w:rPr>
        <w:footnoteRef/>
      </w:r>
      <w:r>
        <w:t xml:space="preserve"> S. 38, Europäischer Rechnungshof, Sonderbericht 11. Die Industriepolitik der EU im Bereich Wasserstoff. 2024. Siehe: </w:t>
      </w:r>
      <w:hyperlink r:id="rId1028" w:history="1">
        <w:r w:rsidRPr="00AA613D">
          <w:rPr>
            <w:rStyle w:val="Hyperlink"/>
          </w:rPr>
          <w:t>https://www.eca.europa.eu/de/publications/SR-2024-11</w:t>
        </w:r>
      </w:hyperlink>
      <w:r>
        <w:t xml:space="preserve"> - Zugegriffen: 21.07.2024.</w:t>
      </w:r>
    </w:p>
  </w:footnote>
  <w:footnote w:id="1346">
    <w:p w14:paraId="06952653" w14:textId="77777777" w:rsidR="009B2022" w:rsidRDefault="009B2022" w:rsidP="009B2022">
      <w:pPr>
        <w:pStyle w:val="Funotentext"/>
      </w:pPr>
      <w:r>
        <w:rPr>
          <w:rStyle w:val="Funotenzeichen"/>
        </w:rPr>
        <w:footnoteRef/>
      </w:r>
      <w:r>
        <w:t xml:space="preserve"> S. 37, Europäischer Rechnungshof, Sonderbericht 11. Die Industriepolitik der EU im Bereich Wasserstoff. 2024. Siehe: </w:t>
      </w:r>
      <w:hyperlink r:id="rId1029" w:history="1">
        <w:r w:rsidRPr="00AA613D">
          <w:rPr>
            <w:rStyle w:val="Hyperlink"/>
          </w:rPr>
          <w:t>https://www.eca.europa.eu/de/publications/SR-2024-11</w:t>
        </w:r>
      </w:hyperlink>
      <w:r>
        <w:t xml:space="preserve"> - Zugegriffen: 21.07.2024.</w:t>
      </w:r>
    </w:p>
  </w:footnote>
  <w:footnote w:id="1347">
    <w:p w14:paraId="22EBEB69" w14:textId="77777777" w:rsidR="009B2022" w:rsidRDefault="009B2022" w:rsidP="009B2022">
      <w:pPr>
        <w:pStyle w:val="Funotentext"/>
      </w:pPr>
      <w:r>
        <w:rPr>
          <w:rStyle w:val="Funotenzeichen"/>
        </w:rPr>
        <w:footnoteRef/>
      </w:r>
      <w:r>
        <w:t xml:space="preserve"> Siehe TEN-E Verordnung: </w:t>
      </w:r>
      <w:hyperlink r:id="rId1030" w:history="1">
        <w:r w:rsidRPr="009555F3">
          <w:rPr>
            <w:rStyle w:val="Hyperlink"/>
          </w:rPr>
          <w:t>https://eur-lex.europa.eu/legal-content/DE/TXT/?uri=uriserv:OJ.L_.2022.152.01.0045.01.DEU</w:t>
        </w:r>
      </w:hyperlink>
      <w:r>
        <w:t xml:space="preserve"> – Zugegriffen: 22.06.2025. </w:t>
      </w:r>
    </w:p>
  </w:footnote>
  <w:footnote w:id="1348">
    <w:p w14:paraId="4FB2E9E5" w14:textId="77777777" w:rsidR="009B2022" w:rsidRDefault="009B2022" w:rsidP="009B2022">
      <w:pPr>
        <w:pStyle w:val="Funotentext"/>
      </w:pPr>
      <w:r>
        <w:rPr>
          <w:rStyle w:val="Funotenzeichen"/>
        </w:rPr>
        <w:footnoteRef/>
      </w:r>
      <w:r>
        <w:t xml:space="preserve"> Siehe: </w:t>
      </w:r>
      <w:hyperlink r:id="rId1031" w:history="1">
        <w:r w:rsidRPr="009555F3">
          <w:rPr>
            <w:rStyle w:val="Hyperlink"/>
          </w:rPr>
          <w:t>https://www.entsog.eu/sites/default/files/2024-02/entsog_roadmap_2050_A4_web_200219.pdf</w:t>
        </w:r>
      </w:hyperlink>
      <w:r>
        <w:t xml:space="preserve"> - Zugegriffen: 22.06.2025. </w:t>
      </w:r>
    </w:p>
  </w:footnote>
  <w:footnote w:id="1349">
    <w:p w14:paraId="4D868BF7" w14:textId="77777777" w:rsidR="00112190" w:rsidRDefault="00112190" w:rsidP="00112190">
      <w:pPr>
        <w:pStyle w:val="Funotentext"/>
      </w:pPr>
      <w:r>
        <w:rPr>
          <w:rStyle w:val="Funotenzeichen"/>
        </w:rPr>
        <w:footnoteRef/>
      </w:r>
      <w:r>
        <w:t xml:space="preserve"> Mitteilung der Kommission. Kriterien für die Würdigung der Vereinbarkeit von staatlichen Beihilfen zur Förderung wichtiger Vorhaben von gemeinsamem europäischem Interesse mit dem Binnenmarkt (2021/C 528/02), 30.12.2021. Link: </w:t>
      </w:r>
      <w:hyperlink r:id="rId1032" w:history="1">
        <w:r w:rsidRPr="008D0F9C">
          <w:rPr>
            <w:rStyle w:val="Hyperlink"/>
          </w:rPr>
          <w:t>https://eur-lex.europa.eu/legal-content/DE/TXT/PDF/?uri=CELEX:52021XC1230(02)</w:t>
        </w:r>
      </w:hyperlink>
      <w:r>
        <w:t xml:space="preserve"> – Zugegriffen: 24.02.2024. </w:t>
      </w:r>
    </w:p>
  </w:footnote>
  <w:footnote w:id="1350">
    <w:p w14:paraId="3DB46F61" w14:textId="77777777" w:rsidR="00112190" w:rsidRDefault="00112190" w:rsidP="00112190">
      <w:pPr>
        <w:pStyle w:val="Funotentext"/>
      </w:pPr>
      <w:r>
        <w:rPr>
          <w:rStyle w:val="Funotenzeichen"/>
        </w:rPr>
        <w:footnoteRef/>
      </w:r>
      <w:r>
        <w:t xml:space="preserve"> Siehe: </w:t>
      </w:r>
      <w:hyperlink r:id="rId1033" w:history="1">
        <w:r w:rsidRPr="008D0F9C">
          <w:rPr>
            <w:rStyle w:val="Hyperlink"/>
          </w:rPr>
          <w:t>https://eur-lex.europa.eu/legal-content/DE/TXT/PDF/?uri=CELEX:52021XC1230(02)</w:t>
        </w:r>
      </w:hyperlink>
      <w:r>
        <w:t xml:space="preserve"> – Zugegriffen: 24.02.2024. </w:t>
      </w:r>
    </w:p>
  </w:footnote>
  <w:footnote w:id="1351">
    <w:p w14:paraId="4E219E40" w14:textId="77777777" w:rsidR="00112190" w:rsidRDefault="00112190" w:rsidP="00112190">
      <w:pPr>
        <w:pStyle w:val="Funotentext"/>
      </w:pPr>
      <w:r>
        <w:rPr>
          <w:rStyle w:val="Funotenzeichen"/>
        </w:rPr>
        <w:footnoteRef/>
      </w:r>
      <w:r>
        <w:t xml:space="preserve"> Siehe: </w:t>
      </w:r>
      <w:hyperlink r:id="rId1034" w:history="1">
        <w:r w:rsidRPr="008D0F9C">
          <w:rPr>
            <w:rStyle w:val="Hyperlink"/>
          </w:rPr>
          <w:t>https://eur-lex.europa.eu/legal-content/DE/TXT/PDF/?uri=CELEX:32020R0852</w:t>
        </w:r>
      </w:hyperlink>
      <w:r>
        <w:t xml:space="preserve"> – Zugegriffen: 24.02.2024.</w:t>
      </w:r>
    </w:p>
  </w:footnote>
  <w:footnote w:id="1352">
    <w:p w14:paraId="7AC0D80F" w14:textId="77777777" w:rsidR="00112190" w:rsidRPr="00667D01" w:rsidRDefault="00112190" w:rsidP="00112190">
      <w:pPr>
        <w:pStyle w:val="Funotentext"/>
      </w:pPr>
      <w:r>
        <w:rPr>
          <w:rStyle w:val="Funotenzeichen"/>
        </w:rPr>
        <w:footnoteRef/>
      </w:r>
      <w:r w:rsidRPr="00667D01">
        <w:t xml:space="preserve"> DG Competition, State-Aid, Generaldirektion Wettbewerb, Beihilferecht: </w:t>
      </w:r>
      <w:hyperlink r:id="rId1035" w:history="1">
        <w:r w:rsidRPr="00964118">
          <w:rPr>
            <w:rStyle w:val="Hyperlink"/>
          </w:rPr>
          <w:t>https://competition-policy.ec.europa.eu/state-aid/ipcei_en</w:t>
        </w:r>
      </w:hyperlink>
    </w:p>
  </w:footnote>
  <w:footnote w:id="1353">
    <w:p w14:paraId="532DBD58" w14:textId="77777777" w:rsidR="00112190" w:rsidRDefault="00112190" w:rsidP="00112190">
      <w:pPr>
        <w:pStyle w:val="Funotentext"/>
      </w:pPr>
      <w:r>
        <w:rPr>
          <w:rStyle w:val="Funotenzeichen"/>
        </w:rPr>
        <w:footnoteRef/>
      </w:r>
      <w:r>
        <w:t xml:space="preserve"> </w:t>
      </w:r>
      <w:r w:rsidRPr="00C918D4">
        <w:t xml:space="preserve">S. </w:t>
      </w:r>
      <w:r>
        <w:t>34</w:t>
      </w:r>
      <w:r w:rsidRPr="00C918D4">
        <w:t xml:space="preserve">, Arbeitsunterlage der Kommissionsdienststellen. Begleitunterlage zum Bericht der Kommission Bericht über die Wettbewerbspolitik 2022, COM (2023) 184 final. Siehe: </w:t>
      </w:r>
      <w:hyperlink r:id="rId1036" w:history="1">
        <w:r w:rsidRPr="00C918D4">
          <w:rPr>
            <w:rStyle w:val="Hyperlink"/>
          </w:rPr>
          <w:t>https://competition-policy.ec.europa.eu/publications/annual-reports_en</w:t>
        </w:r>
      </w:hyperlink>
      <w:r w:rsidRPr="00C918D4">
        <w:t xml:space="preserve"> – Zugegriffen: 24.02.2024.</w:t>
      </w:r>
    </w:p>
  </w:footnote>
  <w:footnote w:id="1354">
    <w:p w14:paraId="1CC5C997" w14:textId="77777777" w:rsidR="00112190" w:rsidRDefault="00112190" w:rsidP="00112190">
      <w:pPr>
        <w:pStyle w:val="Funotentext"/>
      </w:pPr>
      <w:r>
        <w:rPr>
          <w:rStyle w:val="Funotenzeichen"/>
        </w:rPr>
        <w:footnoteRef/>
      </w:r>
      <w:r>
        <w:t xml:space="preserve"> Siehe: </w:t>
      </w:r>
      <w:hyperlink r:id="rId1037" w:history="1">
        <w:r w:rsidRPr="00CD2CA9">
          <w:rPr>
            <w:rStyle w:val="Hyperlink"/>
          </w:rPr>
          <w:t>https://competition-policy.ec.europa.eu/state-aid/ipcei/approved-ipceis_en</w:t>
        </w:r>
      </w:hyperlink>
    </w:p>
  </w:footnote>
  <w:footnote w:id="1355">
    <w:p w14:paraId="03457215" w14:textId="5748A0FC" w:rsidR="00B3590A" w:rsidRDefault="00B3590A">
      <w:pPr>
        <w:pStyle w:val="Funotentext"/>
      </w:pPr>
      <w:r>
        <w:rPr>
          <w:rStyle w:val="Funotenzeichen"/>
        </w:rPr>
        <w:footnoteRef/>
      </w:r>
      <w:r>
        <w:t xml:space="preserve"> Siehe: </w:t>
      </w:r>
      <w:r w:rsidRPr="00B3590A">
        <w:t>https://www.ipcei-batteries.eu/</w:t>
      </w:r>
      <w:r>
        <w:t xml:space="preserve"> - dort finden sich Projekte hier: </w:t>
      </w:r>
    </w:p>
  </w:footnote>
  <w:footnote w:id="1356">
    <w:p w14:paraId="6AD3598E" w14:textId="77777777" w:rsidR="00112190" w:rsidRPr="005C4DA3" w:rsidRDefault="00112190" w:rsidP="00112190">
      <w:pPr>
        <w:pStyle w:val="Funotentext"/>
      </w:pPr>
      <w:r>
        <w:rPr>
          <w:rStyle w:val="Funotenzeichen"/>
        </w:rPr>
        <w:footnoteRef/>
      </w:r>
      <w:r w:rsidRPr="005C4DA3">
        <w:t xml:space="preserve"> </w:t>
      </w:r>
      <w:r>
        <w:t xml:space="preserve">S. 3, </w:t>
      </w:r>
      <w:r w:rsidRPr="005C4DA3">
        <w:t xml:space="preserve">Competition Policy Brief, </w:t>
      </w:r>
      <w:r>
        <w:t xml:space="preserve">September </w:t>
      </w:r>
      <w:r w:rsidRPr="005C4DA3">
        <w:t xml:space="preserve">2021, siehe: </w:t>
      </w:r>
      <w:hyperlink r:id="rId1038" w:history="1">
        <w:r w:rsidRPr="005C4DA3">
          <w:rPr>
            <w:rStyle w:val="Hyperlink"/>
          </w:rPr>
          <w:t>https://op.europa.eu/en/publication-detail/-/publication/63c4944f-1698-11ec-b4fe-01aa75ed71a1/language-en</w:t>
        </w:r>
      </w:hyperlink>
      <w:r w:rsidRPr="005C4DA3">
        <w:t xml:space="preserve"> - Zu</w:t>
      </w:r>
      <w:r>
        <w:t>gegriffen: 23.02.2024.</w:t>
      </w:r>
    </w:p>
  </w:footnote>
  <w:footnote w:id="1357">
    <w:p w14:paraId="491F832A" w14:textId="77777777" w:rsidR="00112190" w:rsidRDefault="00112190" w:rsidP="00112190">
      <w:pPr>
        <w:pStyle w:val="Funotentext"/>
      </w:pPr>
      <w:r>
        <w:rPr>
          <w:rStyle w:val="Funotenzeichen"/>
        </w:rPr>
        <w:footnoteRef/>
      </w:r>
      <w:r>
        <w:t xml:space="preserve"> Sofern bestimmte Kriterien erfüllt sind, siehe S. 29, Arbeitsunterlage der Kommissionsdienststellen. Begleitunterlage zum Bericht der Kommission Bericht über die Wettbewerbspolitik 2022, COM (2023) 184 final. Siehe: </w:t>
      </w:r>
      <w:hyperlink r:id="rId1039" w:history="1">
        <w:r w:rsidRPr="005F54BA">
          <w:rPr>
            <w:rStyle w:val="Hyperlink"/>
          </w:rPr>
          <w:t>https://competition-policy.ec.europa.eu/publications/annual-reports_en</w:t>
        </w:r>
      </w:hyperlink>
      <w:r>
        <w:t xml:space="preserve"> – Zugegriffen: 24.02.2024.</w:t>
      </w:r>
    </w:p>
  </w:footnote>
  <w:footnote w:id="1358">
    <w:p w14:paraId="58F7AF5C" w14:textId="77777777" w:rsidR="00112190" w:rsidRDefault="00112190" w:rsidP="00112190">
      <w:pPr>
        <w:pStyle w:val="Funotentext"/>
      </w:pPr>
      <w:r>
        <w:rPr>
          <w:rStyle w:val="Funotenzeichen"/>
        </w:rPr>
        <w:footnoteRef/>
      </w:r>
      <w:r>
        <w:t xml:space="preserve"> S. 34, </w:t>
      </w:r>
      <w:r w:rsidRPr="00C918D4">
        <w:t xml:space="preserve">S. 34, Arbeitsunterlage der Kommissionsdienststellen. Begleitunterlage zum Bericht der Kommission Bericht über die Wettbewerbspolitik 2022, COM (2023) 184 final. Siehe: </w:t>
      </w:r>
      <w:hyperlink r:id="rId1040" w:history="1">
        <w:r w:rsidRPr="00C918D4">
          <w:rPr>
            <w:rStyle w:val="Hyperlink"/>
          </w:rPr>
          <w:t>https://competition-policy.ec.europa.eu/publications/annual-reports_en</w:t>
        </w:r>
      </w:hyperlink>
      <w:r w:rsidRPr="00C918D4">
        <w:t xml:space="preserve"> – Zugegriffen: 24.02.2024.</w:t>
      </w:r>
    </w:p>
  </w:footnote>
  <w:footnote w:id="1359">
    <w:p w14:paraId="310F32BE" w14:textId="77777777" w:rsidR="00112190" w:rsidRDefault="00112190" w:rsidP="00112190">
      <w:pPr>
        <w:pStyle w:val="Funotentext"/>
      </w:pPr>
      <w:r>
        <w:rPr>
          <w:rStyle w:val="Funotenzeichen"/>
        </w:rPr>
        <w:footnoteRef/>
      </w:r>
      <w:r>
        <w:t xml:space="preserve"> Z.B. französische Beihilfen für Fährschiffe nach Korsika. Siehe: </w:t>
      </w:r>
      <w:hyperlink r:id="rId1041" w:history="1">
        <w:r w:rsidRPr="008D0F9C">
          <w:rPr>
            <w:rStyle w:val="Hyperlink"/>
          </w:rPr>
          <w:t>https://ec.europa.eu/commission/presscorner/detail/en/ip_24_1007</w:t>
        </w:r>
      </w:hyperlink>
      <w:r>
        <w:t xml:space="preserve"> - Zugegriffen: 24.02.2024. </w:t>
      </w:r>
    </w:p>
  </w:footnote>
  <w:footnote w:id="1360">
    <w:p w14:paraId="0C55DBDC" w14:textId="2D09F87B" w:rsidR="00A95927" w:rsidRDefault="00A95927" w:rsidP="00A95927">
      <w:pPr>
        <w:pStyle w:val="Funotentext"/>
      </w:pPr>
      <w:r>
        <w:rPr>
          <w:rStyle w:val="Funotenzeichen"/>
        </w:rPr>
        <w:footnoteRef/>
      </w:r>
      <w:r>
        <w:t xml:space="preserve"> Artikel 107 Abs</w:t>
      </w:r>
      <w:r w:rsidR="009F6EEB">
        <w:t>.</w:t>
      </w:r>
      <w:r>
        <w:t xml:space="preserve"> 1 AEUV: „Soweit in den Verträgen nicht etwas anderes bestimmt ist, sind staatliche oder aus staatlichen Mitteln gewährte Beihilfen gleich welcher Art, die durch die Begünstigung bestimmter</w:t>
      </w:r>
    </w:p>
    <w:p w14:paraId="54E045A3" w14:textId="77777777" w:rsidR="00A95927" w:rsidRDefault="00A95927" w:rsidP="00A95927">
      <w:pPr>
        <w:pStyle w:val="Funotentext"/>
      </w:pPr>
      <w:r>
        <w:t>Unternehmen oder Produktionszweige den Wettbewerb verfälschen oder zu verfälschen</w:t>
      </w:r>
    </w:p>
    <w:p w14:paraId="3ADC5954" w14:textId="77777777" w:rsidR="00A95927" w:rsidRDefault="00A95927" w:rsidP="00A95927">
      <w:pPr>
        <w:pStyle w:val="Funotentext"/>
      </w:pPr>
      <w:r>
        <w:t>drohen, mit dem Binnenmarkt unvereinbar, soweit sie den Handel zwischen Mitgliedstaaten</w:t>
      </w:r>
    </w:p>
    <w:p w14:paraId="02FE66DF" w14:textId="2A8CC785" w:rsidR="00A95927" w:rsidRDefault="00A95927" w:rsidP="00A95927">
      <w:pPr>
        <w:pStyle w:val="Funotentext"/>
      </w:pPr>
      <w:r>
        <w:t>beeinträchtigen.“</w:t>
      </w:r>
      <w:r w:rsidR="009F6EEB">
        <w:t xml:space="preserve"> Siehe: </w:t>
      </w:r>
      <w:hyperlink r:id="rId1042" w:history="1">
        <w:r w:rsidR="009F6EEB" w:rsidRPr="004804C4">
          <w:rPr>
            <w:rStyle w:val="Hyperlink"/>
          </w:rPr>
          <w:t>https://dejure.org/gesetze/AEUV/107.html</w:t>
        </w:r>
      </w:hyperlink>
      <w:r w:rsidR="009F6EEB">
        <w:t xml:space="preserve"> </w:t>
      </w:r>
    </w:p>
  </w:footnote>
  <w:footnote w:id="1361">
    <w:p w14:paraId="3F302228" w14:textId="5AA9ED2F" w:rsidR="00A95927" w:rsidRDefault="00A95927">
      <w:pPr>
        <w:pStyle w:val="Funotentext"/>
      </w:pPr>
      <w:r>
        <w:rPr>
          <w:rStyle w:val="Funotenzeichen"/>
        </w:rPr>
        <w:footnoteRef/>
      </w:r>
      <w:r>
        <w:t xml:space="preserve"> Siehe: </w:t>
      </w:r>
      <w:hyperlink r:id="rId1043" w:history="1">
        <w:r w:rsidRPr="007B7E97">
          <w:rPr>
            <w:rStyle w:val="Hyperlink"/>
          </w:rPr>
          <w:t>https://eur-lex.europa.eu/legal-content/DE/TXT/PDF/?uri=CELEX:52016XC0719(05)</w:t>
        </w:r>
      </w:hyperlink>
      <w:r>
        <w:t xml:space="preserve"> – Zugegriffen: 30.12.2024. </w:t>
      </w:r>
    </w:p>
  </w:footnote>
  <w:footnote w:id="1362">
    <w:p w14:paraId="1C4AF3AA" w14:textId="2B9896DF" w:rsidR="00A95927" w:rsidRDefault="00A95927">
      <w:pPr>
        <w:pStyle w:val="Funotentext"/>
      </w:pPr>
      <w:r>
        <w:rPr>
          <w:rStyle w:val="Funotenzeichen"/>
        </w:rPr>
        <w:footnoteRef/>
      </w:r>
      <w:r>
        <w:t xml:space="preserve"> Eine gute Zusammenfassung dazu bietet die Investitionsbank des Landes Brandenburg: </w:t>
      </w:r>
      <w:hyperlink r:id="rId1044" w:history="1">
        <w:r w:rsidRPr="007B7E97">
          <w:rPr>
            <w:rStyle w:val="Hyperlink"/>
          </w:rPr>
          <w:t>https://www.ilb.de/media/dokumente/dokumente-fuer-programme/programmuebergreifende-dokumente/pruefung-des-begriffs-staatliche-beihilfe.pdf</w:t>
        </w:r>
      </w:hyperlink>
      <w:r>
        <w:t xml:space="preserve"> - Zugegriffen: 30.12.2024. </w:t>
      </w:r>
    </w:p>
  </w:footnote>
  <w:footnote w:id="1363">
    <w:p w14:paraId="18C23430" w14:textId="55DAC2D5" w:rsidR="009F6EEB" w:rsidRDefault="009F6EEB">
      <w:pPr>
        <w:pStyle w:val="Funotentext"/>
      </w:pPr>
      <w:r>
        <w:rPr>
          <w:rStyle w:val="Funotenzeichen"/>
        </w:rPr>
        <w:footnoteRef/>
      </w:r>
      <w:r>
        <w:t xml:space="preserve"> Z.B. Artikel 107 Abs. 3 AEUV, Buchstabe c) „</w:t>
      </w:r>
      <w:r w:rsidRPr="009F6EEB">
        <w:t>Beihilfen zur Förderung der Entwicklung gewisser Wirtschaftszweige oder Wirtschaftsgebiete, soweit sie die Handelsbedingungen nicht in einer Weise verändern, die dem gemeinsamen Interesse zuwiderläuft;</w:t>
      </w:r>
      <w:r>
        <w:t xml:space="preserve">“ Siehe: </w:t>
      </w:r>
      <w:hyperlink r:id="rId1045" w:history="1">
        <w:r w:rsidRPr="004804C4">
          <w:rPr>
            <w:rStyle w:val="Hyperlink"/>
          </w:rPr>
          <w:t>https://dejure.org/gesetze/AEUV/107.html</w:t>
        </w:r>
      </w:hyperlink>
      <w:r>
        <w:t xml:space="preserve"> </w:t>
      </w:r>
    </w:p>
  </w:footnote>
  <w:footnote w:id="1364">
    <w:p w14:paraId="79A8557F" w14:textId="5CCA3A6E" w:rsidR="00F61586" w:rsidRDefault="00F61586">
      <w:pPr>
        <w:pStyle w:val="Funotentext"/>
      </w:pPr>
      <w:r>
        <w:rPr>
          <w:rStyle w:val="Funotenzeichen"/>
        </w:rPr>
        <w:footnoteRef/>
      </w:r>
      <w:r>
        <w:t xml:space="preserve"> </w:t>
      </w:r>
      <w:r w:rsidRPr="00F61586">
        <w:t xml:space="preserve">Kamm/Kahles 2022: 5. Kamm, Johanna, Kahles, Markus. Wege zur Beschleunigung des Ausbaus erneuerbarer Energien im </w:t>
      </w:r>
      <w:proofErr w:type="gramStart"/>
      <w:r w:rsidRPr="00F61586">
        <w:t>EU Beihilferecht</w:t>
      </w:r>
      <w:proofErr w:type="gramEnd"/>
      <w:r w:rsidRPr="00F61586">
        <w:t xml:space="preserve">. Stiftung Umweltenergierecht, 54, 26.04.2022. URL: </w:t>
      </w:r>
      <w:hyperlink r:id="rId1046" w:history="1">
        <w:r w:rsidRPr="00F61586">
          <w:rPr>
            <w:rStyle w:val="Hyperlink"/>
          </w:rPr>
          <w:t>https://stiftung-umweltenergierecht.de/wp-content/uploads/2022/04/Stiftung_Umweltenergierecht_WueBerichte_54_Energiekrise-und-Beihilfenrecht.pdf</w:t>
        </w:r>
      </w:hyperlink>
      <w:r w:rsidRPr="00F61586">
        <w:t xml:space="preserve"> - Zugegriffen: 30.12.2024.</w:t>
      </w:r>
    </w:p>
  </w:footnote>
  <w:footnote w:id="1365">
    <w:p w14:paraId="27832B72" w14:textId="77777777" w:rsidR="005E24E7" w:rsidRDefault="005E24E7" w:rsidP="005E24E7">
      <w:pPr>
        <w:pStyle w:val="Funotentext"/>
      </w:pPr>
      <w:r>
        <w:rPr>
          <w:rStyle w:val="Funotenzeichen"/>
        </w:rPr>
        <w:footnoteRef/>
      </w:r>
      <w:r>
        <w:t xml:space="preserve"> Siehe: </w:t>
      </w:r>
      <w:hyperlink r:id="rId1047" w:history="1">
        <w:r w:rsidRPr="004D34B9">
          <w:rPr>
            <w:rStyle w:val="Hyperlink"/>
          </w:rPr>
          <w:t>https://single-market-economy.ec.europa.eu/document/download/7807ca8b-10ce-4ee2-9c11-357afe163190_en?filename=Communication%20-%20Steel%20and%20Metals%20Action%20Plan.pdf</w:t>
        </w:r>
      </w:hyperlink>
      <w:r>
        <w:t xml:space="preserve"> – Zugegriffen: 24.02.2024. </w:t>
      </w:r>
    </w:p>
  </w:footnote>
  <w:footnote w:id="1366">
    <w:p w14:paraId="6E2686E8" w14:textId="77777777" w:rsidR="005E24E7" w:rsidRDefault="005E24E7" w:rsidP="005E24E7">
      <w:pPr>
        <w:pStyle w:val="Funotentext"/>
      </w:pPr>
      <w:r>
        <w:rPr>
          <w:rStyle w:val="Funotenzeichen"/>
        </w:rPr>
        <w:footnoteRef/>
      </w:r>
      <w:r>
        <w:t xml:space="preserve"> Siehe: </w:t>
      </w:r>
      <w:hyperlink r:id="rId1048" w:history="1">
        <w:r w:rsidRPr="004D34B9">
          <w:rPr>
            <w:rStyle w:val="Hyperlink"/>
          </w:rPr>
          <w:t>https://eur-lex.europa.eu/legal-content/EN/ALL/?uri=CELEX:52012XC0605(01)</w:t>
        </w:r>
      </w:hyperlink>
      <w:r>
        <w:t xml:space="preserve"> – Zugegriffen: 24.02.2024.</w:t>
      </w:r>
    </w:p>
  </w:footnote>
  <w:footnote w:id="1367">
    <w:p w14:paraId="282969D7" w14:textId="1E45F570" w:rsidR="004825A8" w:rsidRDefault="004825A8">
      <w:pPr>
        <w:pStyle w:val="Funotentext"/>
      </w:pPr>
      <w:r>
        <w:rPr>
          <w:rStyle w:val="Funotenzeichen"/>
        </w:rPr>
        <w:footnoteRef/>
      </w:r>
      <w:r>
        <w:t xml:space="preserve"> Siehe: </w:t>
      </w:r>
      <w:hyperlink r:id="rId1049" w:history="1">
        <w:r w:rsidRPr="004804C4">
          <w:rPr>
            <w:rStyle w:val="Hyperlink"/>
          </w:rPr>
          <w:t>https://www.cep.eu/de/eu-themen/details/reform-der-strompreiskompensation.html</w:t>
        </w:r>
      </w:hyperlink>
      <w:r>
        <w:t xml:space="preserve"> - Zugegriffen: 18.05.2025. </w:t>
      </w:r>
    </w:p>
  </w:footnote>
  <w:footnote w:id="1368">
    <w:p w14:paraId="2F1A6017" w14:textId="77777777" w:rsidR="00112190" w:rsidRDefault="00112190" w:rsidP="00112190">
      <w:pPr>
        <w:pStyle w:val="Funotentext"/>
      </w:pPr>
      <w:r>
        <w:rPr>
          <w:rStyle w:val="Funotenzeichen"/>
        </w:rPr>
        <w:footnoteRef/>
      </w:r>
      <w:r>
        <w:t xml:space="preserve"> Siehe: </w:t>
      </w:r>
      <w:hyperlink r:id="rId1050" w:history="1">
        <w:r w:rsidRPr="008D0F9C">
          <w:rPr>
            <w:rStyle w:val="Hyperlink"/>
          </w:rPr>
          <w:t>https://competition-policy.ec.europa.eu/state-aid/coronavirus/temporary-framework_en</w:t>
        </w:r>
      </w:hyperlink>
      <w:r>
        <w:t xml:space="preserve"> - Zugegriffen: 23.02.2024. Siehe für eine Beschreibung der Maßnahmen: </w:t>
      </w:r>
      <w:hyperlink r:id="rId1051" w:history="1">
        <w:r w:rsidRPr="008D0F9C">
          <w:rPr>
            <w:rStyle w:val="Hyperlink"/>
          </w:rPr>
          <w:t>https://op.europa.eu/en/publication-detail/-/publication/ecfdc6fc-6191-11ed-92ed-01aa75ed71a1/language-en/format-PDF/source-search</w:t>
        </w:r>
      </w:hyperlink>
      <w:r>
        <w:t xml:space="preserve"> - Zugegriffen: 23.02.2024. </w:t>
      </w:r>
    </w:p>
  </w:footnote>
  <w:footnote w:id="1369">
    <w:p w14:paraId="21E52D9F" w14:textId="77777777" w:rsidR="00112190" w:rsidRDefault="00112190" w:rsidP="00112190">
      <w:pPr>
        <w:pStyle w:val="Funotentext"/>
      </w:pPr>
      <w:r>
        <w:rPr>
          <w:rStyle w:val="Funotenzeichen"/>
        </w:rPr>
        <w:footnoteRef/>
      </w:r>
      <w:r>
        <w:t xml:space="preserve"> Siehe für eine genauere Beschreibung der Zwischenschritte: </w:t>
      </w:r>
      <w:hyperlink r:id="rId1052" w:history="1">
        <w:r w:rsidRPr="008D0F9C">
          <w:rPr>
            <w:rStyle w:val="Hyperlink"/>
          </w:rPr>
          <w:t>https://competition-policy.ec.europa.eu/state-aid/temporary-crisis-and-transition-framework_en</w:t>
        </w:r>
      </w:hyperlink>
      <w:r>
        <w:t xml:space="preserve"> - Zugegriffen: 23.02.2024. </w:t>
      </w:r>
    </w:p>
  </w:footnote>
  <w:footnote w:id="1370">
    <w:p w14:paraId="7013E960" w14:textId="759E4D49" w:rsidR="00112190" w:rsidRDefault="00112190" w:rsidP="00112190">
      <w:pPr>
        <w:pStyle w:val="Funotentext"/>
      </w:pPr>
      <w:r>
        <w:rPr>
          <w:rStyle w:val="Funotenzeichen"/>
        </w:rPr>
        <w:footnoteRef/>
      </w:r>
      <w:r>
        <w:t xml:space="preserve"> Siehe die </w:t>
      </w:r>
      <w:proofErr w:type="gramStart"/>
      <w:r>
        <w:t>TCTF Seite</w:t>
      </w:r>
      <w:proofErr w:type="gramEnd"/>
      <w:r>
        <w:t xml:space="preserve"> der DG Competition bzw. der Generaldirektion Wettbewerb: </w:t>
      </w:r>
      <w:hyperlink r:id="rId1053" w:history="1">
        <w:r w:rsidRPr="000B5E66">
          <w:rPr>
            <w:rStyle w:val="Hyperlink"/>
          </w:rPr>
          <w:t>https://competition-policy.ec.europa.eu/state-aid/temporary-crisis-and-transition-framework_en</w:t>
        </w:r>
      </w:hyperlink>
      <w:r>
        <w:t xml:space="preserve"> - Zugegriffen: 30.01.20</w:t>
      </w:r>
      <w:r w:rsidR="00A25509">
        <w:t>2</w:t>
      </w:r>
      <w:r>
        <w:t xml:space="preserve">4. </w:t>
      </w:r>
      <w:r w:rsidR="00A25509">
        <w:t xml:space="preserve">Siehe hier: </w:t>
      </w:r>
      <w:hyperlink r:id="rId1054" w:history="1">
        <w:r w:rsidR="00A25509" w:rsidRPr="007B7E97">
          <w:rPr>
            <w:rStyle w:val="Hyperlink"/>
          </w:rPr>
          <w:t>https://eur-lex.europa.eu/legal-content/EN/TXT/?uri=celex:52022DC0108</w:t>
        </w:r>
      </w:hyperlink>
      <w:r w:rsidR="00A25509">
        <w:t xml:space="preserve"> – Zugegriffen: 30.01.2024.</w:t>
      </w:r>
    </w:p>
  </w:footnote>
  <w:footnote w:id="1371">
    <w:p w14:paraId="46ED060E" w14:textId="77777777" w:rsidR="00112190" w:rsidRDefault="00112190" w:rsidP="00112190">
      <w:pPr>
        <w:pStyle w:val="Funotentext"/>
      </w:pPr>
      <w:r>
        <w:rPr>
          <w:rStyle w:val="Funotenzeichen"/>
        </w:rPr>
        <w:footnoteRef/>
      </w:r>
      <w:r>
        <w:t xml:space="preserve"> Im normalen Gebiet, 15 % und pro Firma höchstens 150 Millionen Euro. Im Fördergebiet C 20 % und pro Firma höchstens 200 Millionen Euro. Im A Fördergebiet 35 % und höchstens 350 Millionen Euro pro Firma. Kleine Unternehmen können noch 20 % mehr bekommen, mittlere Unternehmen 10 % mehr, also 45 % der Investitionen bzw. beihilfefähigen Kosten. Siehe: konsolidierte Version des TCTF, 2.8, (85), Link in der nächsten Fußnote. </w:t>
      </w:r>
    </w:p>
  </w:footnote>
  <w:footnote w:id="1372">
    <w:p w14:paraId="4DF5CE42" w14:textId="77777777" w:rsidR="00F61586" w:rsidRDefault="00F61586" w:rsidP="00F61586">
      <w:pPr>
        <w:pStyle w:val="Funotentext"/>
      </w:pPr>
      <w:r>
        <w:rPr>
          <w:rStyle w:val="Funotenzeichen"/>
        </w:rPr>
        <w:footnoteRef/>
      </w:r>
      <w:r>
        <w:t xml:space="preserve"> Siehe die konsolidierte Version des TCTF: </w:t>
      </w:r>
      <w:hyperlink r:id="rId1055" w:history="1">
        <w:r w:rsidRPr="000B5E66">
          <w:rPr>
            <w:rStyle w:val="Hyperlink"/>
          </w:rPr>
          <w:t>https://eur-lex.europa.eu/legal-content/EN/TXT/?uri=CELEX:02023XC0317(01)-20231121</w:t>
        </w:r>
      </w:hyperlink>
      <w:r>
        <w:t xml:space="preserve"> – Zugegriffen: 30.01.2024. </w:t>
      </w:r>
    </w:p>
  </w:footnote>
  <w:footnote w:id="1373">
    <w:p w14:paraId="7DA9AA95" w14:textId="0D5E8459" w:rsidR="0015131F" w:rsidRPr="0015131F" w:rsidRDefault="0015131F">
      <w:pPr>
        <w:pStyle w:val="Funotentext"/>
      </w:pPr>
      <w:r>
        <w:rPr>
          <w:rStyle w:val="Funotenzeichen"/>
        </w:rPr>
        <w:footnoteRef/>
      </w:r>
      <w:r w:rsidRPr="0015131F">
        <w:t xml:space="preserve"> Siehe: </w:t>
      </w:r>
      <w:hyperlink r:id="rId1056" w:history="1">
        <w:r w:rsidRPr="007B7E97">
          <w:rPr>
            <w:rStyle w:val="Hyperlink"/>
          </w:rPr>
          <w:t>https://competition-policy.ec.europa.eu/document/download/ddb5f752-659a-41dc-9c39-fa01cc5eb880_en?filename=overview_of_TCTF_section_2.8_schemes.pdf</w:t>
        </w:r>
      </w:hyperlink>
      <w:r>
        <w:t xml:space="preserve"> – Zugegriffen: 30.12.2024.</w:t>
      </w:r>
    </w:p>
  </w:footnote>
  <w:footnote w:id="1374">
    <w:p w14:paraId="0B508D0B" w14:textId="2C83E8F6" w:rsidR="002E5469" w:rsidRPr="006F2E0A" w:rsidRDefault="002E5469">
      <w:pPr>
        <w:pStyle w:val="Funotentext"/>
      </w:pPr>
      <w:r>
        <w:rPr>
          <w:rStyle w:val="Funotenzeichen"/>
        </w:rPr>
        <w:footnoteRef/>
      </w:r>
      <w:r w:rsidRPr="006F2E0A">
        <w:t xml:space="preserve"> </w:t>
      </w:r>
      <w:r w:rsidR="006F2E0A">
        <w:t xml:space="preserve">Siehe die konsolidierte Version des TCTF: </w:t>
      </w:r>
      <w:hyperlink r:id="rId1057" w:history="1">
        <w:r w:rsidR="006F2E0A" w:rsidRPr="000B5E66">
          <w:rPr>
            <w:rStyle w:val="Hyperlink"/>
          </w:rPr>
          <w:t>https://eur-lex.europa.eu/legal-content/EN/TXT/?uri=CELEX:02023XC0317(01)-20231121</w:t>
        </w:r>
      </w:hyperlink>
      <w:r w:rsidR="006F2E0A">
        <w:t xml:space="preserve"> – Zugegriffen: 30.01.2024. </w:t>
      </w:r>
    </w:p>
  </w:footnote>
  <w:footnote w:id="1375">
    <w:p w14:paraId="07D887D0" w14:textId="02D8852E" w:rsidR="006F2E0A" w:rsidRPr="00555BA7" w:rsidRDefault="006F2E0A">
      <w:pPr>
        <w:pStyle w:val="Funotentext"/>
      </w:pPr>
      <w:r>
        <w:rPr>
          <w:rStyle w:val="Funotenzeichen"/>
        </w:rPr>
        <w:footnoteRef/>
      </w:r>
      <w:r w:rsidRPr="00555BA7">
        <w:t xml:space="preserve"> </w:t>
      </w:r>
      <w:r w:rsidR="00555BA7" w:rsidRPr="00555BA7">
        <w:t>Siehe</w:t>
      </w:r>
      <w:r w:rsidR="00555BA7">
        <w:t xml:space="preserve">: </w:t>
      </w:r>
      <w:r w:rsidR="00555BA7" w:rsidRPr="00555BA7">
        <w:t>Ein Industrieplan zum Grünen Deal für das klimaneutrale Zeitalter</w:t>
      </w:r>
      <w:r w:rsidR="00555BA7">
        <w:t>, COM (2023) 62, endgültig</w:t>
      </w:r>
      <w:r w:rsidR="00555BA7" w:rsidRPr="00555BA7">
        <w:t xml:space="preserve">: </w:t>
      </w:r>
      <w:hyperlink r:id="rId1058" w:history="1">
        <w:r w:rsidR="00555BA7" w:rsidRPr="004D34B9">
          <w:rPr>
            <w:rStyle w:val="Hyperlink"/>
          </w:rPr>
          <w:t>https://eur-lex.europa.eu/legal-content/EN/TXT/?uri=CELEX:52023DC0062</w:t>
        </w:r>
      </w:hyperlink>
      <w:r w:rsidR="00555BA7">
        <w:t xml:space="preserve"> – Zugegriffen: 30.12.2024.</w:t>
      </w:r>
    </w:p>
  </w:footnote>
  <w:footnote w:id="1376">
    <w:p w14:paraId="0E0E1C6F" w14:textId="77777777" w:rsidR="00112190" w:rsidRPr="009C4E75" w:rsidRDefault="00112190" w:rsidP="00112190">
      <w:pPr>
        <w:pStyle w:val="Funotentext"/>
      </w:pPr>
      <w:r>
        <w:rPr>
          <w:rStyle w:val="Funotenzeichen"/>
        </w:rPr>
        <w:footnoteRef/>
      </w:r>
      <w:r w:rsidRPr="009C4E75">
        <w:rPr>
          <w:lang w:val="en-GB"/>
        </w:rPr>
        <w:t xml:space="preserve"> List of Member State m</w:t>
      </w:r>
      <w:r>
        <w:rPr>
          <w:lang w:val="en-GB"/>
        </w:rPr>
        <w:t xml:space="preserve">easures approved under Temporary Crisis Transition Framework, 20. </w:t>
      </w:r>
      <w:proofErr w:type="spellStart"/>
      <w:r w:rsidRPr="009C4E75">
        <w:t>January</w:t>
      </w:r>
      <w:proofErr w:type="spellEnd"/>
      <w:r w:rsidRPr="009C4E75">
        <w:t xml:space="preserve"> 2024: </w:t>
      </w:r>
      <w:hyperlink r:id="rId1059" w:history="1">
        <w:r w:rsidRPr="009C4E75">
          <w:rPr>
            <w:rStyle w:val="Hyperlink"/>
          </w:rPr>
          <w:t>https://competition-policy.ec.europa.eu/system/files/2023-12/State_aid_TCTF_decisions.pdf</w:t>
        </w:r>
      </w:hyperlink>
      <w:r w:rsidRPr="009C4E75">
        <w:t xml:space="preserve"> - Zu</w:t>
      </w:r>
      <w:r>
        <w:t xml:space="preserve">gegriffen: 30.01.2024. Die deutschen Wasserstoff Subventionen finden sich unter ‚Transition </w:t>
      </w:r>
      <w:proofErr w:type="spellStart"/>
      <w:r>
        <w:t>Measure</w:t>
      </w:r>
      <w:proofErr w:type="spellEnd"/>
      <w:r>
        <w:t xml:space="preserve">‘, 2023, 18. Dezember. Ein weiterer Link zu dieser Liste: </w:t>
      </w:r>
      <w:hyperlink r:id="rId1060" w:history="1">
        <w:r w:rsidRPr="008D0F9C">
          <w:rPr>
            <w:rStyle w:val="Hyperlink"/>
          </w:rPr>
          <w:t>https://competition-policy.ec.europa.eu/document/download/1b687754-5eab-4447-bcbb-da0eb9ae61b9_en?filename=State_aid_TCTF_decisions.pdf</w:t>
        </w:r>
      </w:hyperlink>
      <w:r>
        <w:t xml:space="preserve"> – Zugegriffen: 24.02.2024. </w:t>
      </w:r>
    </w:p>
  </w:footnote>
  <w:footnote w:id="1377">
    <w:p w14:paraId="268D8E85" w14:textId="77777777" w:rsidR="00112190" w:rsidRDefault="00112190" w:rsidP="00112190">
      <w:pPr>
        <w:pStyle w:val="Funotentext"/>
      </w:pPr>
      <w:r>
        <w:rPr>
          <w:rStyle w:val="Funotenzeichen"/>
        </w:rPr>
        <w:footnoteRef/>
      </w:r>
      <w:r>
        <w:t xml:space="preserve"> Siehe zu diesem Abschnitt und auch zum Zitat im Satz davor, der nicht aus einer Verordnung zitiert, die folgende Webseite zum Thema Solarindustrie: </w:t>
      </w:r>
      <w:hyperlink r:id="rId1061" w:history="1">
        <w:r w:rsidRPr="002D373A">
          <w:rPr>
            <w:rStyle w:val="Hyperlink"/>
          </w:rPr>
          <w:t>https://germany.representation.ec.europa.eu/news/eu-initiativen-zur-starkung-der-solarindustrie-2024-01-18_de</w:t>
        </w:r>
      </w:hyperlink>
      <w:r>
        <w:t xml:space="preserve"> - Zugegriffen: 04.02.2024.</w:t>
      </w:r>
    </w:p>
  </w:footnote>
  <w:footnote w:id="1378">
    <w:p w14:paraId="5137B0C4" w14:textId="1DEC2F94" w:rsidR="00584121" w:rsidRDefault="00584121">
      <w:pPr>
        <w:pStyle w:val="Funotentext"/>
      </w:pPr>
      <w:r>
        <w:rPr>
          <w:rStyle w:val="Funotenzeichen"/>
        </w:rPr>
        <w:footnoteRef/>
      </w:r>
      <w:r>
        <w:t xml:space="preserve"> Siehe: </w:t>
      </w:r>
      <w:hyperlink r:id="rId1062" w:history="1">
        <w:r w:rsidRPr="00011C1B">
          <w:rPr>
            <w:rStyle w:val="Hyperlink"/>
          </w:rPr>
          <w:t>https://www.ndr.de/nachrichten/schleswig-holstein/Insolvenz-von-Northvolt-Was-plant-der-Konkursverwalter,northvolt590.html</w:t>
        </w:r>
      </w:hyperlink>
      <w:r>
        <w:t xml:space="preserve"> – Zugegriffen: 16.05.2025. </w:t>
      </w:r>
    </w:p>
  </w:footnote>
  <w:footnote w:id="1379">
    <w:p w14:paraId="1FA13C11" w14:textId="77777777" w:rsidR="00112190" w:rsidRDefault="00112190" w:rsidP="00112190">
      <w:pPr>
        <w:pStyle w:val="Funotentext"/>
      </w:pPr>
      <w:r>
        <w:rPr>
          <w:rStyle w:val="Funotenzeichen"/>
        </w:rPr>
        <w:footnoteRef/>
      </w:r>
      <w:r>
        <w:t xml:space="preserve"> Siehe: </w:t>
      </w:r>
      <w:hyperlink r:id="rId1063" w:history="1">
        <w:r w:rsidRPr="008D0F9C">
          <w:rPr>
            <w:rStyle w:val="Hyperlink"/>
          </w:rPr>
          <w:t>https://eur-lex.europa.eu/legal-content/DE/TXT/PDF/?uri=CELEX:52022XC0218(03)</w:t>
        </w:r>
      </w:hyperlink>
      <w:r>
        <w:t xml:space="preserve"> - Zugegriffen: 24.02.2024.</w:t>
      </w:r>
    </w:p>
  </w:footnote>
  <w:footnote w:id="1380">
    <w:p w14:paraId="16784E99" w14:textId="77777777" w:rsidR="00A97F7A" w:rsidRDefault="00A97F7A" w:rsidP="00A97F7A">
      <w:pPr>
        <w:pStyle w:val="Funotentext"/>
      </w:pPr>
      <w:r>
        <w:rPr>
          <w:rStyle w:val="Funotenzeichen"/>
        </w:rPr>
        <w:footnoteRef/>
      </w:r>
      <w:r>
        <w:t xml:space="preserve"> S. 30, siehe u.a. die Fußnote, siehe: </w:t>
      </w:r>
      <w:hyperlink r:id="rId1064" w:history="1">
        <w:r w:rsidRPr="008D0F9C">
          <w:rPr>
            <w:rStyle w:val="Hyperlink"/>
          </w:rPr>
          <w:t>https://eur-lex.europa.eu/legal-content/DE/TXT/PDF/?uri=CELEX:52022XC0218(03)</w:t>
        </w:r>
      </w:hyperlink>
      <w:r>
        <w:t xml:space="preserve"> - Zugegriffen: 24.02.2024.</w:t>
      </w:r>
    </w:p>
  </w:footnote>
  <w:footnote w:id="1381">
    <w:p w14:paraId="514CCF90" w14:textId="38C0CF35" w:rsidR="000F0A67" w:rsidRDefault="000F0A67">
      <w:pPr>
        <w:pStyle w:val="Funotentext"/>
      </w:pPr>
      <w:r>
        <w:rPr>
          <w:rStyle w:val="Funotenzeichen"/>
        </w:rPr>
        <w:footnoteRef/>
      </w:r>
      <w:r>
        <w:t xml:space="preserve"> Abs. 16, S. 10. Siehe: </w:t>
      </w:r>
      <w:hyperlink r:id="rId1065" w:history="1">
        <w:r w:rsidRPr="008D0F9C">
          <w:rPr>
            <w:rStyle w:val="Hyperlink"/>
          </w:rPr>
          <w:t>https://eur-lex.europa.eu/legal-content/DE/TXT/PDF/?uri=CELEX:52022XC0218(03)</w:t>
        </w:r>
      </w:hyperlink>
      <w:r>
        <w:t xml:space="preserve"> - Zugegriffen: 24.02.2024.</w:t>
      </w:r>
    </w:p>
  </w:footnote>
  <w:footnote w:id="1382">
    <w:p w14:paraId="5127E339" w14:textId="1F140AE6" w:rsidR="003A0BBB" w:rsidRDefault="003A0BBB">
      <w:pPr>
        <w:pStyle w:val="Funotentext"/>
      </w:pPr>
      <w:r>
        <w:rPr>
          <w:rStyle w:val="Funotenzeichen"/>
        </w:rPr>
        <w:footnoteRef/>
      </w:r>
      <w:r>
        <w:t xml:space="preserve"> </w:t>
      </w:r>
      <w:r w:rsidRPr="003A0BBB">
        <w:t xml:space="preserve">Abs. </w:t>
      </w:r>
      <w:r>
        <w:t>13</w:t>
      </w:r>
      <w:r w:rsidRPr="003A0BBB">
        <w:t xml:space="preserve">, S. </w:t>
      </w:r>
      <w:r>
        <w:t>9</w:t>
      </w:r>
      <w:r w:rsidRPr="003A0BBB">
        <w:t xml:space="preserve">. Siehe: </w:t>
      </w:r>
      <w:hyperlink r:id="rId1066" w:history="1">
        <w:r w:rsidRPr="0065666F">
          <w:rPr>
            <w:rStyle w:val="Hyperlink"/>
          </w:rPr>
          <w:t>https://eur-lex.europa.eu/legal-content/DE/TXT/PDF/?uri=CELEX:52022XC0218(03)</w:t>
        </w:r>
      </w:hyperlink>
      <w:r w:rsidRPr="003A0BBB">
        <w:t xml:space="preserve"> - Zugegriffen: 24.02.2024.</w:t>
      </w:r>
    </w:p>
  </w:footnote>
  <w:footnote w:id="1383">
    <w:p w14:paraId="7BC5C45A" w14:textId="56FD9F07" w:rsidR="00E21FC8" w:rsidRDefault="00E21FC8">
      <w:pPr>
        <w:pStyle w:val="Funotentext"/>
      </w:pPr>
      <w:r>
        <w:rPr>
          <w:rStyle w:val="Funotenzeichen"/>
        </w:rPr>
        <w:footnoteRef/>
      </w:r>
      <w:r>
        <w:t xml:space="preserve"> </w:t>
      </w:r>
      <w:r w:rsidR="00A97F7A">
        <w:t xml:space="preserve">Abs. 34, S. 23. Siehe: </w:t>
      </w:r>
      <w:hyperlink r:id="rId1067" w:history="1">
        <w:r w:rsidR="00A97F7A" w:rsidRPr="008D0F9C">
          <w:rPr>
            <w:rStyle w:val="Hyperlink"/>
          </w:rPr>
          <w:t>https://eur-lex.europa.eu/legal-content/DE/TXT/PDF/?uri=CELEX:52022XC0218(03)</w:t>
        </w:r>
      </w:hyperlink>
      <w:r w:rsidR="00A97F7A">
        <w:t xml:space="preserve"> - Zugegriffen: 24.02.2024.</w:t>
      </w:r>
    </w:p>
  </w:footnote>
  <w:footnote w:id="1384">
    <w:p w14:paraId="0875A0BC" w14:textId="77777777" w:rsidR="00A97F7A" w:rsidRDefault="00A97F7A" w:rsidP="00A97F7A">
      <w:pPr>
        <w:pStyle w:val="Funotentext"/>
      </w:pPr>
      <w:r>
        <w:rPr>
          <w:rStyle w:val="Funotenzeichen"/>
        </w:rPr>
        <w:footnoteRef/>
      </w:r>
      <w:r>
        <w:t xml:space="preserve"> Abs. 34, S. 23. Siehe: </w:t>
      </w:r>
      <w:hyperlink r:id="rId1068" w:history="1">
        <w:r w:rsidRPr="008D0F9C">
          <w:rPr>
            <w:rStyle w:val="Hyperlink"/>
          </w:rPr>
          <w:t>https://eur-lex.europa.eu/legal-content/DE/TXT/PDF/?uri=CELEX:52022XC0218(03)</w:t>
        </w:r>
      </w:hyperlink>
      <w:r>
        <w:t xml:space="preserve"> - Zugegriffen: 24.02.2024.</w:t>
      </w:r>
    </w:p>
  </w:footnote>
  <w:footnote w:id="1385">
    <w:p w14:paraId="41E9C1A9" w14:textId="3EDC0D6E" w:rsidR="00A97F7A" w:rsidRDefault="00A97F7A" w:rsidP="00A97F7A">
      <w:pPr>
        <w:pStyle w:val="Funotentext"/>
      </w:pPr>
      <w:r>
        <w:rPr>
          <w:rStyle w:val="Funotenzeichen"/>
        </w:rPr>
        <w:footnoteRef/>
      </w:r>
      <w:r>
        <w:t xml:space="preserve"> Abs. 44, S. 25. Siehe: </w:t>
      </w:r>
      <w:hyperlink r:id="rId1069" w:history="1">
        <w:r w:rsidRPr="008D0F9C">
          <w:rPr>
            <w:rStyle w:val="Hyperlink"/>
          </w:rPr>
          <w:t>https://eur-lex.europa.eu/legal-content/DE/TXT/PDF/?uri=CELEX:52022XC0218(03)</w:t>
        </w:r>
      </w:hyperlink>
      <w:r>
        <w:t xml:space="preserve"> - Zugegriffen: 24.02.2024.</w:t>
      </w:r>
    </w:p>
  </w:footnote>
  <w:footnote w:id="1386">
    <w:p w14:paraId="7540361F" w14:textId="2BBD7B70" w:rsidR="00A97F7A" w:rsidRDefault="00A97F7A" w:rsidP="00A97F7A">
      <w:pPr>
        <w:pStyle w:val="Funotentext"/>
      </w:pPr>
      <w:r>
        <w:rPr>
          <w:rStyle w:val="Funotenzeichen"/>
        </w:rPr>
        <w:footnoteRef/>
      </w:r>
      <w:r>
        <w:t xml:space="preserve"> Abs. 45, S. 25. Siehe: </w:t>
      </w:r>
      <w:hyperlink r:id="rId1070" w:history="1">
        <w:r w:rsidRPr="008D0F9C">
          <w:rPr>
            <w:rStyle w:val="Hyperlink"/>
          </w:rPr>
          <w:t>https://eur-lex.europa.eu/legal-content/DE/TXT/PDF/?uri=CELEX:52022XC0218(03)</w:t>
        </w:r>
      </w:hyperlink>
      <w:r>
        <w:t xml:space="preserve"> - Zugegriffen: 24.02.2024.</w:t>
      </w:r>
    </w:p>
  </w:footnote>
  <w:footnote w:id="1387">
    <w:p w14:paraId="3113B928" w14:textId="16E1CAA0" w:rsidR="004F5DB8" w:rsidRDefault="004F5DB8">
      <w:pPr>
        <w:pStyle w:val="Funotentext"/>
      </w:pPr>
      <w:r>
        <w:rPr>
          <w:rStyle w:val="Funotenzeichen"/>
        </w:rPr>
        <w:footnoteRef/>
      </w:r>
      <w:r>
        <w:t xml:space="preserve"> Abs. 93, S. 32. Siehe: </w:t>
      </w:r>
      <w:hyperlink r:id="rId1071" w:history="1">
        <w:r w:rsidRPr="008D0F9C">
          <w:rPr>
            <w:rStyle w:val="Hyperlink"/>
          </w:rPr>
          <w:t>https://eur-lex.europa.eu/legal-content/DE/TXT/PDF/?uri=CELEX:52022XC0218(03)</w:t>
        </w:r>
      </w:hyperlink>
      <w:r>
        <w:t xml:space="preserve"> - Zugegriffen: 24.02.2024.</w:t>
      </w:r>
    </w:p>
  </w:footnote>
  <w:footnote w:id="1388">
    <w:p w14:paraId="49CD2972" w14:textId="2CA705A1" w:rsidR="003A7E64" w:rsidRDefault="003A7E64" w:rsidP="003A7E64">
      <w:pPr>
        <w:pStyle w:val="Funotentext"/>
      </w:pPr>
      <w:r>
        <w:rPr>
          <w:rStyle w:val="Funotenzeichen"/>
        </w:rPr>
        <w:footnoteRef/>
      </w:r>
      <w:r>
        <w:t xml:space="preserve"> Abs. 51, S. 26. Siehe: </w:t>
      </w:r>
      <w:hyperlink r:id="rId1072" w:history="1">
        <w:r w:rsidRPr="008D0F9C">
          <w:rPr>
            <w:rStyle w:val="Hyperlink"/>
          </w:rPr>
          <w:t>https://eur-lex.europa.eu/legal-content/DE/TXT/PDF/?uri=CELEX:52022XC0218(03)</w:t>
        </w:r>
      </w:hyperlink>
      <w:r>
        <w:t xml:space="preserve"> - Zugegriffen: 24.02.2024.</w:t>
      </w:r>
    </w:p>
  </w:footnote>
  <w:footnote w:id="1389">
    <w:p w14:paraId="12F9A241" w14:textId="1C40B4F3" w:rsidR="001B2B5C" w:rsidRPr="00F769C8" w:rsidRDefault="001B2B5C">
      <w:pPr>
        <w:pStyle w:val="Funotentext"/>
      </w:pPr>
      <w:r>
        <w:rPr>
          <w:rStyle w:val="Funotenzeichen"/>
        </w:rPr>
        <w:footnoteRef/>
      </w:r>
      <w:r w:rsidRPr="001B2B5C">
        <w:rPr>
          <w:lang w:val="en-GB"/>
        </w:rPr>
        <w:t xml:space="preserve"> EU Commission, Competition, State Aid </w:t>
      </w:r>
      <w:proofErr w:type="spellStart"/>
      <w:r w:rsidRPr="001B2B5C">
        <w:rPr>
          <w:lang w:val="en-GB"/>
        </w:rPr>
        <w:t>Transparence</w:t>
      </w:r>
      <w:proofErr w:type="spellEnd"/>
      <w:r w:rsidRPr="001B2B5C">
        <w:rPr>
          <w:lang w:val="en-GB"/>
        </w:rPr>
        <w:t xml:space="preserve"> Public Search. </w:t>
      </w:r>
      <w:r w:rsidRPr="00F769C8">
        <w:t xml:space="preserve">Siehe: </w:t>
      </w:r>
      <w:hyperlink r:id="rId1073" w:history="1">
        <w:r w:rsidRPr="00F769C8">
          <w:rPr>
            <w:rStyle w:val="Hyperlink"/>
          </w:rPr>
          <w:t>https://webgate.ec.europa.eu/competition/transparency/public?lang=en</w:t>
        </w:r>
      </w:hyperlink>
    </w:p>
  </w:footnote>
  <w:footnote w:id="1390">
    <w:p w14:paraId="471D4CCA" w14:textId="34E2CB9E" w:rsidR="003A7E64" w:rsidRDefault="003A7E64" w:rsidP="003A7E64">
      <w:pPr>
        <w:pStyle w:val="Funotentext"/>
      </w:pPr>
      <w:r>
        <w:rPr>
          <w:rStyle w:val="Funotenzeichen"/>
        </w:rPr>
        <w:footnoteRef/>
      </w:r>
      <w:r>
        <w:t xml:space="preserve"> Abs. </w:t>
      </w:r>
      <w:r w:rsidR="001B2B5C">
        <w:t>66 und 68</w:t>
      </w:r>
      <w:r>
        <w:t>, S. 2</w:t>
      </w:r>
      <w:r w:rsidR="001B2B5C">
        <w:t>9</w:t>
      </w:r>
      <w:r>
        <w:t xml:space="preserve">. Siehe: </w:t>
      </w:r>
      <w:hyperlink r:id="rId1074" w:history="1">
        <w:r w:rsidRPr="008D0F9C">
          <w:rPr>
            <w:rStyle w:val="Hyperlink"/>
          </w:rPr>
          <w:t>https://eur-lex.europa.eu/legal-content/DE/TXT/PDF/?uri=CELEX:52022XC0218(03)</w:t>
        </w:r>
      </w:hyperlink>
      <w:r>
        <w:t xml:space="preserve"> - Zugegriffen: 24.02.2024.</w:t>
      </w:r>
    </w:p>
  </w:footnote>
  <w:footnote w:id="1391">
    <w:p w14:paraId="6E269DA1" w14:textId="6B2D7826" w:rsidR="004F5DB8" w:rsidRDefault="004F5DB8" w:rsidP="004F5DB8">
      <w:pPr>
        <w:pStyle w:val="Funotentext"/>
      </w:pPr>
      <w:r>
        <w:rPr>
          <w:rStyle w:val="Funotenzeichen"/>
        </w:rPr>
        <w:footnoteRef/>
      </w:r>
      <w:r>
        <w:t xml:space="preserve"> Abs. 96 d, S. 33. Siehe: </w:t>
      </w:r>
      <w:hyperlink r:id="rId1075" w:history="1">
        <w:r w:rsidRPr="008D0F9C">
          <w:rPr>
            <w:rStyle w:val="Hyperlink"/>
          </w:rPr>
          <w:t>https://eur-lex.europa.eu/legal-content/DE/TXT/PDF/?uri=CELEX:52022XC0218(03)</w:t>
        </w:r>
      </w:hyperlink>
      <w:r>
        <w:t xml:space="preserve"> - Zugegriffen: 24.02.2024.</w:t>
      </w:r>
    </w:p>
  </w:footnote>
  <w:footnote w:id="1392">
    <w:p w14:paraId="0E4D8AAA" w14:textId="6A9171F1" w:rsidR="003A7E64" w:rsidRDefault="003A7E64" w:rsidP="003A7E64">
      <w:pPr>
        <w:pStyle w:val="Funotentext"/>
      </w:pPr>
      <w:r>
        <w:rPr>
          <w:rStyle w:val="Funotenzeichen"/>
        </w:rPr>
        <w:footnoteRef/>
      </w:r>
      <w:r>
        <w:t xml:space="preserve"> Abs. </w:t>
      </w:r>
      <w:r w:rsidR="008F02E2">
        <w:t>71-76</w:t>
      </w:r>
      <w:r>
        <w:t>, S. 2</w:t>
      </w:r>
      <w:r w:rsidR="008F02E2">
        <w:t>9-30</w:t>
      </w:r>
      <w:r>
        <w:t xml:space="preserve">. Siehe: </w:t>
      </w:r>
      <w:hyperlink r:id="rId1076" w:history="1">
        <w:r w:rsidRPr="008D0F9C">
          <w:rPr>
            <w:rStyle w:val="Hyperlink"/>
          </w:rPr>
          <w:t>https://eur-lex.europa.eu/legal-content/DE/TXT/PDF/?uri=CELEX:52022XC0218(03)</w:t>
        </w:r>
      </w:hyperlink>
      <w:r>
        <w:t xml:space="preserve"> - Zugegriffen: 24.02.2024.</w:t>
      </w:r>
    </w:p>
  </w:footnote>
  <w:footnote w:id="1393">
    <w:p w14:paraId="452D2449" w14:textId="7A5581E8" w:rsidR="00375ED8" w:rsidRPr="00EB1D02" w:rsidRDefault="00375ED8" w:rsidP="00375ED8">
      <w:pPr>
        <w:pStyle w:val="Funotentext"/>
        <w:rPr>
          <w:lang w:val="en-GB"/>
        </w:rPr>
      </w:pPr>
      <w:r>
        <w:rPr>
          <w:rStyle w:val="Funotenzeichen"/>
        </w:rPr>
        <w:footnoteRef/>
      </w:r>
      <w:r w:rsidRPr="00EB1D02">
        <w:rPr>
          <w:lang w:val="en-GB"/>
        </w:rPr>
        <w:t xml:space="preserve"> S. 16, A European Steel and Metal Action Plan, 19.03.2025: </w:t>
      </w:r>
      <w:hyperlink r:id="rId1077" w:history="1">
        <w:r w:rsidRPr="00EB1D02">
          <w:rPr>
            <w:rStyle w:val="Hyperlink"/>
            <w:lang w:val="en-GB"/>
          </w:rPr>
          <w:t>https://ec.europa.eu/commission/presscorner/detail/en/ip_25_805</w:t>
        </w:r>
      </w:hyperlink>
      <w:r w:rsidRPr="00EB1D02">
        <w:rPr>
          <w:lang w:val="en-GB"/>
        </w:rPr>
        <w:t xml:space="preserve"> - </w:t>
      </w:r>
      <w:proofErr w:type="spellStart"/>
      <w:r w:rsidRPr="00EB1D02">
        <w:rPr>
          <w:lang w:val="en-GB"/>
        </w:rPr>
        <w:t>Zugegriffen</w:t>
      </w:r>
      <w:proofErr w:type="spellEnd"/>
      <w:r w:rsidRPr="00EB1D02">
        <w:rPr>
          <w:lang w:val="en-GB"/>
        </w:rPr>
        <w:t>: 18.05.2025.</w:t>
      </w:r>
    </w:p>
  </w:footnote>
  <w:footnote w:id="1394">
    <w:p w14:paraId="06F00EC4" w14:textId="77777777" w:rsidR="0080606F" w:rsidRPr="00EB1D02" w:rsidRDefault="0080606F" w:rsidP="0080606F">
      <w:pPr>
        <w:pStyle w:val="Funotentext"/>
      </w:pPr>
      <w:r>
        <w:rPr>
          <w:rStyle w:val="Funotenzeichen"/>
        </w:rPr>
        <w:footnoteRef/>
      </w:r>
      <w:r w:rsidRPr="001B2B5C">
        <w:rPr>
          <w:lang w:val="en-GB"/>
        </w:rPr>
        <w:t xml:space="preserve"> EU Commission, Competition, State Aid </w:t>
      </w:r>
      <w:proofErr w:type="spellStart"/>
      <w:r w:rsidRPr="001B2B5C">
        <w:rPr>
          <w:lang w:val="en-GB"/>
        </w:rPr>
        <w:t>Transparence</w:t>
      </w:r>
      <w:proofErr w:type="spellEnd"/>
      <w:r w:rsidRPr="001B2B5C">
        <w:rPr>
          <w:lang w:val="en-GB"/>
        </w:rPr>
        <w:t xml:space="preserve"> Public Search. </w:t>
      </w:r>
      <w:r w:rsidRPr="00EB1D02">
        <w:t xml:space="preserve">Siehe: </w:t>
      </w:r>
      <w:hyperlink r:id="rId1078" w:history="1">
        <w:r w:rsidRPr="00EB1D02">
          <w:rPr>
            <w:rStyle w:val="Hyperlink"/>
          </w:rPr>
          <w:t>https://webgate.ec.europa.eu/competition/transparency/public?lang=en</w:t>
        </w:r>
      </w:hyperlink>
    </w:p>
  </w:footnote>
  <w:footnote w:id="1395">
    <w:p w14:paraId="116CD812" w14:textId="4948B046" w:rsidR="0080606F" w:rsidRPr="0080606F" w:rsidRDefault="0080606F">
      <w:pPr>
        <w:pStyle w:val="Funotentext"/>
      </w:pPr>
      <w:r>
        <w:rPr>
          <w:rStyle w:val="Funotenzeichen"/>
        </w:rPr>
        <w:footnoteRef/>
      </w:r>
      <w:r w:rsidRPr="0080606F">
        <w:t xml:space="preserve"> Siehe: </w:t>
      </w:r>
      <w:hyperlink r:id="rId1079" w:history="1">
        <w:r w:rsidRPr="00083B1E">
          <w:rPr>
            <w:rStyle w:val="Hyperlink"/>
          </w:rPr>
          <w:t>https://competition-cases.ec.europa.eu/cases/SA.105244</w:t>
        </w:r>
      </w:hyperlink>
      <w:r>
        <w:t xml:space="preserve"> - Zugegriffen: 18.05.2025. </w:t>
      </w:r>
    </w:p>
  </w:footnote>
  <w:footnote w:id="1396">
    <w:p w14:paraId="703827B8" w14:textId="4C2C7F76" w:rsidR="00DC7FB2" w:rsidRPr="004D36D2" w:rsidRDefault="00DC7FB2" w:rsidP="00DC7FB2">
      <w:pPr>
        <w:pStyle w:val="Funotentext"/>
      </w:pPr>
      <w:r>
        <w:rPr>
          <w:rStyle w:val="Funotenzeichen"/>
        </w:rPr>
        <w:footnoteRef/>
      </w:r>
      <w:r>
        <w:t xml:space="preserve"> Kamm/Kahles 2022: 5. </w:t>
      </w:r>
    </w:p>
  </w:footnote>
  <w:footnote w:id="1397">
    <w:p w14:paraId="2785925B" w14:textId="53E9D210" w:rsidR="00DC7FB2" w:rsidRDefault="00DC7FB2">
      <w:pPr>
        <w:pStyle w:val="Funotentext"/>
      </w:pPr>
      <w:r>
        <w:rPr>
          <w:rStyle w:val="Funotenzeichen"/>
        </w:rPr>
        <w:footnoteRef/>
      </w:r>
      <w:r>
        <w:t xml:space="preserve"> Kamm/Kahles</w:t>
      </w:r>
      <w:r w:rsidR="00A67BF7">
        <w:t xml:space="preserve"> 2022</w:t>
      </w:r>
      <w:r>
        <w:t>:</w:t>
      </w:r>
      <w:r w:rsidR="00A67BF7">
        <w:t xml:space="preserve"> 15-16.</w:t>
      </w:r>
      <w:r>
        <w:t xml:space="preserve"> </w:t>
      </w:r>
    </w:p>
  </w:footnote>
  <w:footnote w:id="1398">
    <w:p w14:paraId="164443D8" w14:textId="77777777" w:rsidR="000F444F" w:rsidRPr="00C97F3D" w:rsidRDefault="000F444F" w:rsidP="000F444F">
      <w:pPr>
        <w:pStyle w:val="Funotentext"/>
      </w:pPr>
      <w:r>
        <w:rPr>
          <w:rStyle w:val="Funotenzeichen"/>
        </w:rPr>
        <w:footnoteRef/>
      </w:r>
      <w:r w:rsidRPr="00C97F3D">
        <w:t xml:space="preserve"> Christian Geinitz. Ampel plant Strompreis-</w:t>
      </w:r>
      <w:r>
        <w:t xml:space="preserve">Aufschlag. FAZ, 09.07.2024. </w:t>
      </w:r>
    </w:p>
  </w:footnote>
  <w:footnote w:id="1399">
    <w:p w14:paraId="53EB7D66" w14:textId="77777777" w:rsidR="000F444F" w:rsidRDefault="000F444F" w:rsidP="000F444F">
      <w:pPr>
        <w:pStyle w:val="Funotentext"/>
      </w:pPr>
      <w:r>
        <w:rPr>
          <w:rStyle w:val="Funotenzeichen"/>
        </w:rPr>
        <w:footnoteRef/>
      </w:r>
      <w:r>
        <w:t xml:space="preserve"> Mitteilung der Kommission Leitlinien für staatliche Klima-, Umweltschutz- und Energiebeihilfen 2022, </w:t>
      </w:r>
    </w:p>
    <w:p w14:paraId="0C369A49" w14:textId="77777777" w:rsidR="000F444F" w:rsidRDefault="000F444F" w:rsidP="000F444F">
      <w:pPr>
        <w:pStyle w:val="Funotentext"/>
      </w:pPr>
      <w:r>
        <w:t xml:space="preserve">C/2022/481, siehe: </w:t>
      </w:r>
      <w:hyperlink r:id="rId1080" w:history="1">
        <w:r w:rsidRPr="00D2007E">
          <w:rPr>
            <w:rStyle w:val="Hyperlink"/>
          </w:rPr>
          <w:t>https://eur-lex.europa.eu/legal-content/DE/TXT/?uri=celex:52022XC0218(03)</w:t>
        </w:r>
      </w:hyperlink>
      <w:r>
        <w:t xml:space="preserve"> – Zugegriffen: 11.07.2024.</w:t>
      </w:r>
    </w:p>
  </w:footnote>
  <w:footnote w:id="1400">
    <w:p w14:paraId="25C98909" w14:textId="77777777" w:rsidR="000F444F" w:rsidRDefault="000F444F" w:rsidP="000F444F">
      <w:pPr>
        <w:pStyle w:val="Funotentext"/>
      </w:pPr>
      <w:r>
        <w:rPr>
          <w:rStyle w:val="Funotenzeichen"/>
        </w:rPr>
        <w:footnoteRef/>
      </w:r>
      <w:r>
        <w:t xml:space="preserve"> Siehe: </w:t>
      </w:r>
      <w:hyperlink r:id="rId1081" w:history="1">
        <w:r w:rsidRPr="00D2007E">
          <w:rPr>
            <w:rStyle w:val="Hyperlink"/>
          </w:rPr>
          <w:t>https://eur-lex.europa.eu/DE/legal-content/summary/2022-guidelines-on-state-aid-for-climate-environmental-protection-and-energy.html</w:t>
        </w:r>
      </w:hyperlink>
      <w:r>
        <w:t xml:space="preserve"> - Zugegriffen: 11.07.2024. </w:t>
      </w:r>
    </w:p>
  </w:footnote>
  <w:footnote w:id="1401">
    <w:p w14:paraId="6D961433" w14:textId="469CEDEB" w:rsidR="009139D7" w:rsidRDefault="00A67BF7" w:rsidP="009139D7">
      <w:pPr>
        <w:pStyle w:val="Funotentext"/>
      </w:pPr>
      <w:r>
        <w:rPr>
          <w:rStyle w:val="Funotenzeichen"/>
        </w:rPr>
        <w:footnoteRef/>
      </w:r>
      <w:r>
        <w:t xml:space="preserve"> </w:t>
      </w:r>
      <w:r w:rsidR="009139D7">
        <w:t>Leitlinien für staatliche Beihilfen zur Rettung und Umstrukturierung nichtfinanzieller</w:t>
      </w:r>
    </w:p>
    <w:p w14:paraId="33E63384" w14:textId="5C91209C" w:rsidR="00A67BF7" w:rsidRDefault="009139D7" w:rsidP="009139D7">
      <w:pPr>
        <w:pStyle w:val="Funotentext"/>
      </w:pPr>
      <w:r>
        <w:t xml:space="preserve">Unternehmen in Schwierigkeiten, C 249/1, 31.07.2014. </w:t>
      </w:r>
      <w:r w:rsidR="00A67BF7">
        <w:t xml:space="preserve">Siehe hier: </w:t>
      </w:r>
      <w:hyperlink r:id="rId1082" w:history="1">
        <w:r w:rsidR="00A67BF7" w:rsidRPr="007B7E97">
          <w:rPr>
            <w:rStyle w:val="Hyperlink"/>
          </w:rPr>
          <w:t>https://eur-lex.europa.eu/legal-content/DE/TXT/PDF/?uri=CELEX:52014XC0731(01)</w:t>
        </w:r>
      </w:hyperlink>
      <w:r w:rsidR="00A67BF7">
        <w:t xml:space="preserve"> – Zugegriffen: 30.12.2024.</w:t>
      </w:r>
    </w:p>
  </w:footnote>
  <w:footnote w:id="1402">
    <w:p w14:paraId="29ED68D6" w14:textId="1C441FA6" w:rsidR="00A67BF7" w:rsidRDefault="00A67BF7" w:rsidP="00A67BF7">
      <w:pPr>
        <w:pStyle w:val="Funotentext"/>
      </w:pPr>
      <w:r>
        <w:rPr>
          <w:rStyle w:val="Funotenzeichen"/>
        </w:rPr>
        <w:footnoteRef/>
      </w:r>
      <w:r>
        <w:t xml:space="preserve"> Abs. 10, S. 10. Siehe: </w:t>
      </w:r>
      <w:hyperlink r:id="rId1083" w:history="1">
        <w:r w:rsidRPr="008D0F9C">
          <w:rPr>
            <w:rStyle w:val="Hyperlink"/>
          </w:rPr>
          <w:t>https://eur-lex.europa.eu/legal-content/DE/TXT/PDF/?uri=CELEX:52022XC0218(03)</w:t>
        </w:r>
      </w:hyperlink>
      <w:r>
        <w:t xml:space="preserve"> - Zugegriffen: 24.02.2024.</w:t>
      </w:r>
    </w:p>
  </w:footnote>
  <w:footnote w:id="1403">
    <w:p w14:paraId="206C656B" w14:textId="77777777" w:rsidR="00552C79" w:rsidRDefault="00552C79" w:rsidP="00552C79">
      <w:pPr>
        <w:pStyle w:val="Funotentext"/>
      </w:pPr>
      <w:r>
        <w:rPr>
          <w:rStyle w:val="Funotenzeichen"/>
        </w:rPr>
        <w:footnoteRef/>
      </w:r>
      <w:r>
        <w:t xml:space="preserve"> Abs. 30-21, S. 22-23. Siehe: </w:t>
      </w:r>
      <w:hyperlink r:id="rId1084" w:history="1">
        <w:r w:rsidRPr="008D0F9C">
          <w:rPr>
            <w:rStyle w:val="Hyperlink"/>
          </w:rPr>
          <w:t>https://eur-lex.europa.eu/legal-content/DE/TXT/PDF/?uri=CELEX:52022XC0218(03)</w:t>
        </w:r>
      </w:hyperlink>
      <w:r>
        <w:t xml:space="preserve"> - Zugegriffen: 24.02.2024.</w:t>
      </w:r>
    </w:p>
  </w:footnote>
  <w:footnote w:id="1404">
    <w:p w14:paraId="226CC0B9" w14:textId="6057319C" w:rsidR="009139D7" w:rsidRDefault="009139D7" w:rsidP="00466CD7">
      <w:pPr>
        <w:pStyle w:val="Funotentext"/>
      </w:pPr>
      <w:r>
        <w:rPr>
          <w:rStyle w:val="Funotenzeichen"/>
        </w:rPr>
        <w:footnoteRef/>
      </w:r>
      <w:r>
        <w:t xml:space="preserve"> </w:t>
      </w:r>
      <w:r w:rsidR="00466CD7">
        <w:t xml:space="preserve">Siehe hier Punkt 3.1.2, hier heißt es unter anderem: „Der Umstrukturierungsplan muss die Wiederherstellung der langfristigen Rentabilität des begünstigten Unternehmens innerhalb einer angemessenen Frist auf der Grundlage realistischer Annahmen hinsichtlich seiner künftigen Betriebsbedingungen erlauben (…)„ </w:t>
      </w:r>
      <w:r w:rsidRPr="009139D7">
        <w:t xml:space="preserve">Siehe hier: </w:t>
      </w:r>
      <w:hyperlink r:id="rId1085" w:history="1">
        <w:r w:rsidRPr="00466CD7">
          <w:rPr>
            <w:rStyle w:val="Hyperlink"/>
          </w:rPr>
          <w:t>https://eur-lex.europa.eu/legal-content/DE/TXT/PDF/?uri=CELEX:52014XC0731(01)</w:t>
        </w:r>
      </w:hyperlink>
      <w:r w:rsidRPr="009139D7">
        <w:t xml:space="preserve"> – Zugegriffen: 30.12.2024.</w:t>
      </w:r>
    </w:p>
  </w:footnote>
  <w:footnote w:id="1405">
    <w:p w14:paraId="31157C76" w14:textId="77777777" w:rsidR="00112190" w:rsidRPr="00287D79" w:rsidRDefault="00112190" w:rsidP="00112190">
      <w:pPr>
        <w:pStyle w:val="Funotentext"/>
      </w:pPr>
      <w:r>
        <w:rPr>
          <w:rStyle w:val="Funotenzeichen"/>
        </w:rPr>
        <w:footnoteRef/>
      </w:r>
      <w:r w:rsidRPr="00287D79">
        <w:t xml:space="preserve"> </w:t>
      </w:r>
      <w:r>
        <w:t>Grande Region Hydrogen, s</w:t>
      </w:r>
      <w:r w:rsidRPr="00287D79">
        <w:t xml:space="preserve">iehe: </w:t>
      </w:r>
      <w:hyperlink r:id="rId1086" w:history="1">
        <w:r w:rsidRPr="00287D79">
          <w:rPr>
            <w:rStyle w:val="Hyperlink"/>
          </w:rPr>
          <w:t>https://grande-region-hydrogen.eu/</w:t>
        </w:r>
      </w:hyperlink>
    </w:p>
  </w:footnote>
  <w:footnote w:id="1406">
    <w:p w14:paraId="2054959C" w14:textId="77777777" w:rsidR="00112190" w:rsidRPr="00DD3033" w:rsidRDefault="00112190" w:rsidP="00112190">
      <w:pPr>
        <w:pStyle w:val="Funotentext"/>
      </w:pPr>
      <w:r>
        <w:rPr>
          <w:rStyle w:val="Funotenzeichen"/>
        </w:rPr>
        <w:footnoteRef/>
      </w:r>
      <w:r w:rsidRPr="00DD3033">
        <w:t xml:space="preserve"> </w:t>
      </w:r>
      <w:r>
        <w:t>GET H2, s</w:t>
      </w:r>
      <w:r w:rsidRPr="00DD3033">
        <w:t xml:space="preserve">iehe: </w:t>
      </w:r>
      <w:hyperlink r:id="rId1087" w:history="1">
        <w:r w:rsidRPr="00DD3033">
          <w:rPr>
            <w:rStyle w:val="Hyperlink"/>
          </w:rPr>
          <w:t>https://www.get-h2.de/</w:t>
        </w:r>
      </w:hyperlink>
    </w:p>
  </w:footnote>
  <w:footnote w:id="1407">
    <w:p w14:paraId="67FC33DF" w14:textId="77777777" w:rsidR="00112190" w:rsidRDefault="00112190" w:rsidP="00112190">
      <w:pPr>
        <w:pStyle w:val="Funotentext"/>
      </w:pPr>
      <w:r>
        <w:rPr>
          <w:rStyle w:val="Funotenzeichen"/>
        </w:rPr>
        <w:footnoteRef/>
      </w:r>
      <w:r>
        <w:t xml:space="preserve"> Norddeutsche Wasserstoffstrategie, siehe: </w:t>
      </w:r>
      <w:hyperlink r:id="rId1088" w:history="1">
        <w:r w:rsidRPr="00321716">
          <w:rPr>
            <w:rStyle w:val="Hyperlink"/>
          </w:rPr>
          <w:t>https://norddeutschewasserstoffstrategie.de/</w:t>
        </w:r>
      </w:hyperlink>
    </w:p>
  </w:footnote>
  <w:footnote w:id="1408">
    <w:p w14:paraId="515EE6AD" w14:textId="77777777" w:rsidR="00112190" w:rsidRDefault="00112190" w:rsidP="00112190">
      <w:pPr>
        <w:pStyle w:val="Funotentext"/>
      </w:pPr>
      <w:r>
        <w:rPr>
          <w:rStyle w:val="Funotenzeichen"/>
        </w:rPr>
        <w:footnoteRef/>
      </w:r>
      <w:r>
        <w:t xml:space="preserve"> Siehe: </w:t>
      </w:r>
      <w:hyperlink r:id="rId1089" w:history="1">
        <w:r w:rsidRPr="00060626">
          <w:rPr>
            <w:rStyle w:val="Hyperlink"/>
          </w:rPr>
          <w:t>https://competition-policy.ec.europa.eu/state-aid/ipcei/approved-ipceis/hydrogen-value-chain_en</w:t>
        </w:r>
      </w:hyperlink>
      <w:r>
        <w:t xml:space="preserve"> - Zugegriffen: 16.02.2024. </w:t>
      </w:r>
    </w:p>
  </w:footnote>
  <w:footnote w:id="1409">
    <w:p w14:paraId="40C44D92" w14:textId="77777777" w:rsidR="00112190" w:rsidRDefault="00112190" w:rsidP="00112190">
      <w:pPr>
        <w:pStyle w:val="Funotentext"/>
      </w:pPr>
      <w:r>
        <w:rPr>
          <w:rStyle w:val="Funotenzeichen"/>
        </w:rPr>
        <w:footnoteRef/>
      </w:r>
      <w:r>
        <w:t xml:space="preserve"> Siehe: </w:t>
      </w:r>
      <w:hyperlink r:id="rId1090" w:history="1">
        <w:r w:rsidRPr="00372C9A">
          <w:rPr>
            <w:rStyle w:val="Hyperlink"/>
          </w:rPr>
          <w:t>https://ec.europa.eu/commission/presscorner/detail/en/ip_23_594</w:t>
        </w:r>
      </w:hyperlink>
      <w:r>
        <w:t xml:space="preserve"> - Zugegriffen: 26.12.2023.</w:t>
      </w:r>
    </w:p>
  </w:footnote>
  <w:footnote w:id="1410">
    <w:p w14:paraId="2219A2DE" w14:textId="134D8083" w:rsidR="00923E49" w:rsidRDefault="00923E49">
      <w:pPr>
        <w:pStyle w:val="Funotentext"/>
      </w:pPr>
      <w:r>
        <w:rPr>
          <w:rStyle w:val="Funotenzeichen"/>
        </w:rPr>
        <w:footnoteRef/>
      </w:r>
      <w:r>
        <w:t xml:space="preserve"> Siehe: </w:t>
      </w:r>
      <w:hyperlink r:id="rId1091" w:history="1">
        <w:r w:rsidRPr="00AA613D">
          <w:rPr>
            <w:rStyle w:val="Hyperlink"/>
          </w:rPr>
          <w:t>https://www.frontier-economics.com/media/wcmieebg/analyse-red-ii-kritieren.pdf</w:t>
        </w:r>
      </w:hyperlink>
      <w:r>
        <w:t xml:space="preserve"> - Zugegriffen: 21.07.2024. </w:t>
      </w:r>
    </w:p>
  </w:footnote>
  <w:footnote w:id="1411">
    <w:p w14:paraId="45E0A1E5" w14:textId="77777777" w:rsidR="00112190" w:rsidRDefault="00112190" w:rsidP="00112190">
      <w:pPr>
        <w:pStyle w:val="Funotentext"/>
      </w:pPr>
      <w:r>
        <w:rPr>
          <w:rStyle w:val="Funotenzeichen"/>
        </w:rPr>
        <w:footnoteRef/>
      </w:r>
      <w:r>
        <w:t xml:space="preserve"> Siehe: </w:t>
      </w:r>
      <w:hyperlink r:id="rId1092" w:history="1">
        <w:r w:rsidRPr="00E92795">
          <w:rPr>
            <w:rStyle w:val="Hyperlink"/>
          </w:rPr>
          <w:t>https://commission.europa.eu/strategy-and-policy/priorities-2019-2024/european-green-deal/green-deal-industrial-plan/net-zero-industry-act_de</w:t>
        </w:r>
      </w:hyperlink>
      <w:r>
        <w:t xml:space="preserve"> - Zugegriffen: 22.12.2023. </w:t>
      </w:r>
    </w:p>
  </w:footnote>
  <w:footnote w:id="1412">
    <w:p w14:paraId="55AFAF73" w14:textId="77777777" w:rsidR="00112190" w:rsidRDefault="00112190" w:rsidP="00112190">
      <w:pPr>
        <w:pStyle w:val="Funotentext"/>
      </w:pPr>
      <w:r>
        <w:rPr>
          <w:rStyle w:val="Funotenzeichen"/>
        </w:rPr>
        <w:footnoteRef/>
      </w:r>
      <w:r>
        <w:t xml:space="preserve"> Siehe: </w:t>
      </w:r>
      <w:hyperlink r:id="rId1093" w:history="1">
        <w:r w:rsidRPr="00E92795">
          <w:rPr>
            <w:rStyle w:val="Hyperlink"/>
          </w:rPr>
          <w:t>https://www.euractiv.de/section/energie-und-umwelt/news/europas-wasserstoffbank-legt-los-800-millionen-euro-sollen-den-markt-anheizen/</w:t>
        </w:r>
      </w:hyperlink>
      <w:r>
        <w:t xml:space="preserve"> - Zugegriffen: 27.12.2023. </w:t>
      </w:r>
    </w:p>
  </w:footnote>
  <w:footnote w:id="1413">
    <w:p w14:paraId="4D476C8B" w14:textId="617AC318" w:rsidR="0000459C" w:rsidRPr="0000459C" w:rsidRDefault="0000459C">
      <w:pPr>
        <w:pStyle w:val="Funotentext"/>
      </w:pPr>
      <w:r>
        <w:rPr>
          <w:rStyle w:val="Funotenzeichen"/>
        </w:rPr>
        <w:footnoteRef/>
      </w:r>
      <w:r w:rsidRPr="0000459C">
        <w:rPr>
          <w:lang w:val="en-GB"/>
        </w:rPr>
        <w:t xml:space="preserve"> </w:t>
      </w:r>
      <w:r w:rsidR="00F3477B">
        <w:rPr>
          <w:lang w:val="en-GB"/>
        </w:rPr>
        <w:t xml:space="preserve">S. 109, </w:t>
      </w:r>
      <w:proofErr w:type="spellStart"/>
      <w:r w:rsidR="00F3477B">
        <w:rPr>
          <w:lang w:val="en-GB"/>
        </w:rPr>
        <w:t>s</w:t>
      </w:r>
      <w:r w:rsidRPr="00AC5312">
        <w:rPr>
          <w:lang w:val="en-GB"/>
        </w:rPr>
        <w:t>iehe</w:t>
      </w:r>
      <w:proofErr w:type="spellEnd"/>
      <w:r>
        <w:rPr>
          <w:lang w:val="en-GB"/>
        </w:rPr>
        <w:t>:</w:t>
      </w:r>
      <w:r w:rsidRPr="00AC5312">
        <w:rPr>
          <w:lang w:val="en-GB"/>
        </w:rPr>
        <w:t xml:space="preserve"> The future of European co</w:t>
      </w:r>
      <w:r>
        <w:rPr>
          <w:lang w:val="en-GB"/>
        </w:rPr>
        <w:t xml:space="preserve">mpetitiveness, Part B In-dept analysis and recommendations. </w:t>
      </w:r>
      <w:r w:rsidRPr="0000459C">
        <w:t xml:space="preserve">September 2024: </w:t>
      </w:r>
      <w:hyperlink r:id="rId1094" w:history="1">
        <w:r w:rsidRPr="0000459C">
          <w:rPr>
            <w:rStyle w:val="Hyperlink"/>
          </w:rPr>
          <w:t>https://commission.europa.eu/topics/eu-competitiveness/draghi-report_en</w:t>
        </w:r>
      </w:hyperlink>
      <w:r w:rsidRPr="0000459C">
        <w:t xml:space="preserve"> - Zugegriffen: 15.05.2025.</w:t>
      </w:r>
    </w:p>
  </w:footnote>
  <w:footnote w:id="1414">
    <w:p w14:paraId="403E3986" w14:textId="0A323866" w:rsidR="006457FE" w:rsidRDefault="006457FE">
      <w:pPr>
        <w:pStyle w:val="Funotentext"/>
      </w:pPr>
      <w:r>
        <w:rPr>
          <w:rStyle w:val="Funotenzeichen"/>
        </w:rPr>
        <w:footnoteRef/>
      </w:r>
      <w:r>
        <w:t xml:space="preserve"> Siehe: </w:t>
      </w:r>
      <w:hyperlink r:id="rId1095" w:history="1">
        <w:r w:rsidRPr="003E7CA8">
          <w:rPr>
            <w:rStyle w:val="Hyperlink"/>
          </w:rPr>
          <w:t>https://energy.ec.europa.eu/topics/eus-energy-system/hydrogen/european-hydrogen-bank/mechanism-support-market-development-hydrogen_en</w:t>
        </w:r>
      </w:hyperlink>
      <w:r>
        <w:t xml:space="preserve"> - Zugegriffen: 28.06.2025. </w:t>
      </w:r>
    </w:p>
  </w:footnote>
  <w:footnote w:id="1415">
    <w:p w14:paraId="6AFA890E" w14:textId="77777777" w:rsidR="00E20373" w:rsidRDefault="00E20373" w:rsidP="00E20373">
      <w:pPr>
        <w:pStyle w:val="Funotentext"/>
      </w:pPr>
      <w:r>
        <w:rPr>
          <w:rStyle w:val="Funotenzeichen"/>
        </w:rPr>
        <w:footnoteRef/>
      </w:r>
      <w:r>
        <w:t xml:space="preserve"> Siehe: </w:t>
      </w:r>
      <w:r w:rsidRPr="00E20373">
        <w:t>Deutschlands Chance: Wasserstoff-Technik "Made in Germany" - Prof. Markus Hölzle &amp; Dr. David Wenger</w:t>
      </w:r>
      <w:r>
        <w:t xml:space="preserve">, Geladen Batteriepodcast, 29.06.2025: </w:t>
      </w:r>
      <w:hyperlink r:id="rId1096" w:history="1">
        <w:r w:rsidRPr="009C6F34">
          <w:rPr>
            <w:rStyle w:val="Hyperlink"/>
          </w:rPr>
          <w:t>https://www.youtube.com/watch?v=YGVlD7PAaIY&amp;list=PLgT6DO8XUkP5oGh1ed710Lw5YvTpesX0U</w:t>
        </w:r>
      </w:hyperlink>
      <w:r>
        <w:t xml:space="preserve"> – Zugegriffen: 29.06.2025. </w:t>
      </w:r>
    </w:p>
  </w:footnote>
  <w:footnote w:id="1416">
    <w:p w14:paraId="1AD902E6" w14:textId="4F776AEC" w:rsidR="00CD7673" w:rsidRDefault="00CD7673">
      <w:pPr>
        <w:pStyle w:val="Funotentext"/>
      </w:pPr>
      <w:r>
        <w:rPr>
          <w:rStyle w:val="Funotenzeichen"/>
        </w:rPr>
        <w:footnoteRef/>
      </w:r>
      <w:r>
        <w:t xml:space="preserve"> Siehe: </w:t>
      </w:r>
      <w:hyperlink r:id="rId1097" w:history="1">
        <w:r w:rsidRPr="003E7CA8">
          <w:rPr>
            <w:rStyle w:val="Hyperlink"/>
          </w:rPr>
          <w:t>https://hypower-mitteldeutschland.com/projekte/greenoctopus/</w:t>
        </w:r>
      </w:hyperlink>
      <w:r>
        <w:t xml:space="preserve"> - Zugegriffen: 28.06.2025. </w:t>
      </w:r>
    </w:p>
  </w:footnote>
  <w:footnote w:id="1417">
    <w:p w14:paraId="4F0434BC" w14:textId="5D8126B7" w:rsidR="00E20373" w:rsidRDefault="00E20373">
      <w:pPr>
        <w:pStyle w:val="Funotentext"/>
      </w:pPr>
      <w:r>
        <w:rPr>
          <w:rStyle w:val="Funotenzeichen"/>
        </w:rPr>
        <w:footnoteRef/>
      </w:r>
      <w:r>
        <w:t xml:space="preserve"> Siehe: </w:t>
      </w:r>
      <w:r w:rsidRPr="00E20373">
        <w:t>Deutschlands Chance: Wasserstoff-Technik "Made in Germany" - Prof. Markus Hölzle &amp; Dr. David Wenger</w:t>
      </w:r>
      <w:r>
        <w:t xml:space="preserve">, Geladen Batteriepodcast, 29.06.2025: </w:t>
      </w:r>
      <w:hyperlink r:id="rId1098" w:history="1">
        <w:r w:rsidRPr="009C6F34">
          <w:rPr>
            <w:rStyle w:val="Hyperlink"/>
          </w:rPr>
          <w:t>https://www.youtube.com/watch?v=YGVlD7PAaIY&amp;list=PLgT6DO8XUkP5oGh1ed710Lw5YvTpesX0U</w:t>
        </w:r>
      </w:hyperlink>
      <w:r>
        <w:t xml:space="preserve"> – Zugegriffen: 29.06.2025. </w:t>
      </w:r>
    </w:p>
  </w:footnote>
  <w:footnote w:id="1418">
    <w:p w14:paraId="2000237C" w14:textId="6B3EB44D" w:rsidR="00A01EB3" w:rsidRDefault="00A01EB3">
      <w:pPr>
        <w:pStyle w:val="Funotentext"/>
      </w:pPr>
      <w:r>
        <w:rPr>
          <w:rStyle w:val="Funotenzeichen"/>
        </w:rPr>
        <w:footnoteRef/>
      </w:r>
      <w:r>
        <w:t xml:space="preserve"> Gefordert wird </w:t>
      </w:r>
      <w:r w:rsidR="00CD7673">
        <w:t xml:space="preserve">grauen oder </w:t>
      </w:r>
      <w:r>
        <w:t xml:space="preserve">blauen Wasserstoff in der Übergangsphase zusätzlich zuzulassen: </w:t>
      </w:r>
      <w:hyperlink r:id="rId1099" w:history="1">
        <w:r w:rsidR="00CD7673" w:rsidRPr="003E7CA8">
          <w:rPr>
            <w:rStyle w:val="Hyperlink"/>
          </w:rPr>
          <w:t>https://www.ewi.uni-koeln.de/cms/wp-content/uploads/2025/03/20250228_PB_H2_Strukturierung-1.pdf</w:t>
        </w:r>
      </w:hyperlink>
      <w:r w:rsidR="00CD7673">
        <w:t xml:space="preserve"> - Zugegriffen: 28.06.2025. </w:t>
      </w:r>
    </w:p>
  </w:footnote>
  <w:footnote w:id="1419">
    <w:p w14:paraId="7E02DDA6" w14:textId="0B6EB18C" w:rsidR="00151613" w:rsidRDefault="00151613" w:rsidP="00151613">
      <w:pPr>
        <w:pStyle w:val="Funotentext"/>
      </w:pPr>
      <w:r>
        <w:rPr>
          <w:rStyle w:val="Funotenzeichen"/>
        </w:rPr>
        <w:footnoteRef/>
      </w:r>
      <w:r>
        <w:t xml:space="preserve"> Ab Minute 27:00, siehe: </w:t>
      </w:r>
      <w:r w:rsidRPr="00E20373">
        <w:t>Deutschlands Chance: Wasserstoff-Technik "Made in Germany" - Prof. Markus Hölzle &amp; Dr. David Wenger</w:t>
      </w:r>
      <w:r>
        <w:t xml:space="preserve">, Geladen Batteriepodcast, 29.06.2025: </w:t>
      </w:r>
      <w:hyperlink r:id="rId1100" w:history="1">
        <w:r w:rsidRPr="009C6F34">
          <w:rPr>
            <w:rStyle w:val="Hyperlink"/>
          </w:rPr>
          <w:t>https://www.youtube.com/watch?v=YGVlD7PAaIY&amp;list=PLgT6DO8XUkP5oGh1ed710Lw5YvTpesX0U</w:t>
        </w:r>
      </w:hyperlink>
      <w:r>
        <w:t xml:space="preserve"> – Zugegriffen: 29.06.2025. </w:t>
      </w:r>
    </w:p>
  </w:footnote>
  <w:footnote w:id="1420">
    <w:p w14:paraId="7629780A" w14:textId="3CE7F523" w:rsidR="00923E49" w:rsidRDefault="00923E49">
      <w:pPr>
        <w:pStyle w:val="Funotentext"/>
      </w:pPr>
      <w:r>
        <w:rPr>
          <w:rStyle w:val="Funotenzeichen"/>
        </w:rPr>
        <w:footnoteRef/>
      </w:r>
      <w:r>
        <w:t xml:space="preserve"> Siehe: </w:t>
      </w:r>
      <w:hyperlink r:id="rId1101" w:history="1">
        <w:r w:rsidRPr="00AA613D">
          <w:rPr>
            <w:rStyle w:val="Hyperlink"/>
          </w:rPr>
          <w:t>https://eur-lex.europa.eu/legal-content/DE/TXT/?uri=CELEX:32022R0869</w:t>
        </w:r>
      </w:hyperlink>
      <w:r>
        <w:t xml:space="preserve"> – Zugegriffen: 21.07.2024. </w:t>
      </w:r>
    </w:p>
  </w:footnote>
  <w:footnote w:id="1421">
    <w:p w14:paraId="676F602C" w14:textId="09570393" w:rsidR="00923E49" w:rsidRDefault="00923E49">
      <w:pPr>
        <w:pStyle w:val="Funotentext"/>
      </w:pPr>
      <w:r>
        <w:rPr>
          <w:rStyle w:val="Funotenzeichen"/>
        </w:rPr>
        <w:footnoteRef/>
      </w:r>
      <w:r>
        <w:t xml:space="preserve"> Siehe: </w:t>
      </w:r>
      <w:hyperlink r:id="rId1102" w:history="1">
        <w:r w:rsidRPr="00AA613D">
          <w:rPr>
            <w:rStyle w:val="Hyperlink"/>
          </w:rPr>
          <w:t>https://eur-lex.europa.eu/legal-content/DE/ALL/?uri=PI_COM:C(2023)7930</w:t>
        </w:r>
      </w:hyperlink>
      <w:r>
        <w:t xml:space="preserve"> – Zugegriffen: 21.07.2024. </w:t>
      </w:r>
    </w:p>
  </w:footnote>
  <w:footnote w:id="1422">
    <w:p w14:paraId="4FEA9FC6" w14:textId="77777777" w:rsidR="00112190" w:rsidRPr="00916767" w:rsidRDefault="00112190" w:rsidP="00112190">
      <w:pPr>
        <w:pStyle w:val="Funotentext"/>
      </w:pPr>
      <w:r>
        <w:rPr>
          <w:rStyle w:val="Funotenzeichen"/>
        </w:rPr>
        <w:footnoteRef/>
      </w:r>
      <w:r w:rsidRPr="00916767">
        <w:t xml:space="preserve"> Siehe: </w:t>
      </w:r>
      <w:hyperlink r:id="rId1103" w:history="1">
        <w:r w:rsidRPr="007641E9">
          <w:rPr>
            <w:rStyle w:val="Hyperlink"/>
          </w:rPr>
          <w:t>https://ec.europa.eu/commission/presscorner/detail/en/qanda_23_6048</w:t>
        </w:r>
      </w:hyperlink>
      <w:r>
        <w:t xml:space="preserve"> - Zugegriffen: 29.01.2024.</w:t>
      </w:r>
    </w:p>
  </w:footnote>
  <w:footnote w:id="1423">
    <w:p w14:paraId="77005654" w14:textId="77777777" w:rsidR="00112190" w:rsidRPr="00916767" w:rsidRDefault="00112190" w:rsidP="00112190">
      <w:pPr>
        <w:pStyle w:val="Funotentext"/>
      </w:pPr>
      <w:r>
        <w:rPr>
          <w:rStyle w:val="Funotenzeichen"/>
        </w:rPr>
        <w:footnoteRef/>
      </w:r>
      <w:r w:rsidRPr="00916767">
        <w:t xml:space="preserve"> Siehe die Liste: </w:t>
      </w:r>
      <w:hyperlink r:id="rId1104" w:history="1">
        <w:r w:rsidRPr="007641E9">
          <w:rPr>
            <w:rStyle w:val="Hyperlink"/>
          </w:rPr>
          <w:t>https://eur-lex.europa.eu/legal-content/EN/TXT/?uri=PI_COM:C(2023)7930</w:t>
        </w:r>
      </w:hyperlink>
      <w:r>
        <w:t xml:space="preserve"> – Zugegriffen: 29.01.2024.</w:t>
      </w:r>
    </w:p>
  </w:footnote>
  <w:footnote w:id="1424">
    <w:p w14:paraId="62FCC7D4" w14:textId="77777777" w:rsidR="00112190" w:rsidRDefault="00112190" w:rsidP="00112190">
      <w:pPr>
        <w:pStyle w:val="Funotentext"/>
      </w:pPr>
      <w:r>
        <w:rPr>
          <w:rStyle w:val="Funotenzeichen"/>
        </w:rPr>
        <w:footnoteRef/>
      </w:r>
      <w:r>
        <w:t xml:space="preserve"> „Elektrolyseur „H2Sines.RDAM“ (PT), 9.15 Elektrolyseure in Spanien: 9.15.1 Elektrolyseur für das Wasserstoffnetz Tarragona; 9.15.2 Großmaßstäblicher Elektrolyseur Bilbao; 9.15.3 Großmaßstäblicher Elektrolyseur Cartagena; 9.15.4 Elektrolyseur „Valle </w:t>
      </w:r>
      <w:proofErr w:type="spellStart"/>
      <w:r>
        <w:t>andaluz</w:t>
      </w:r>
      <w:proofErr w:type="spellEnd"/>
      <w:r>
        <w:t xml:space="preserve"> del </w:t>
      </w:r>
      <w:proofErr w:type="spellStart"/>
      <w:r>
        <w:t>hidrógeno</w:t>
      </w:r>
      <w:proofErr w:type="spellEnd"/>
      <w:r>
        <w:t xml:space="preserve"> </w:t>
      </w:r>
      <w:proofErr w:type="spellStart"/>
      <w:r>
        <w:t>verde</w:t>
      </w:r>
      <w:proofErr w:type="spellEnd"/>
      <w:r>
        <w:t>“; 9.15.5 Elektrolyseur für das Wasserstofftal Asturien („Asturias H2 Valley“); 9.16 Elektrolyseure in Frankreich; 9.16.1 Elektrolyseur „</w:t>
      </w:r>
      <w:proofErr w:type="spellStart"/>
      <w:r>
        <w:t>CarlHYng</w:t>
      </w:r>
      <w:proofErr w:type="spellEnd"/>
      <w:r>
        <w:t>“; 9.16.2 Elektrolyseur „</w:t>
      </w:r>
      <w:proofErr w:type="spellStart"/>
      <w:r>
        <w:t>Emil’Hy</w:t>
      </w:r>
      <w:proofErr w:type="spellEnd"/>
      <w:r>
        <w:t>“; 9.16.3 Elektrolyseur „</w:t>
      </w:r>
      <w:proofErr w:type="spellStart"/>
      <w:r>
        <w:t>HyGreen</w:t>
      </w:r>
      <w:proofErr w:type="spellEnd"/>
      <w:r>
        <w:t>“; 9.16.4 Elektrolyseur „H2V Valenciennes“; 9.16.5 Elektrolyseur „H2Thionville“; 9.17 Elektrolyseure in den Niederlanden; 9.17.1 Elektrolyseur „</w:t>
      </w:r>
      <w:proofErr w:type="spellStart"/>
      <w:r>
        <w:t>Enecolyser</w:t>
      </w:r>
      <w:proofErr w:type="spellEnd"/>
      <w:r>
        <w:t xml:space="preserve">“; 9.17.2 Elektrolyseur „H2-Fifty“; 9.17.3 Elektrolyseur „SeaH2Land“; 9.18 Elektrolyseure in Deutschland; 9.18.1 Elektrolyseur „Green Wilhelmshaven“; 9.18.2 Elektrolyseur „CHC Wilhelmshaven; </w:t>
      </w:r>
      <w:r w:rsidRPr="008076F2">
        <w:t>9.19 Elektrolyseur „</w:t>
      </w:r>
      <w:proofErr w:type="spellStart"/>
      <w:r w:rsidRPr="008076F2">
        <w:t>Jytske</w:t>
      </w:r>
      <w:proofErr w:type="spellEnd"/>
      <w:r w:rsidRPr="008076F2">
        <w:t xml:space="preserve"> Banke“ (DK</w:t>
      </w:r>
      <w:r>
        <w:t xml:space="preserve">)“ Zitiert aus der Liste in: </w:t>
      </w:r>
      <w:hyperlink r:id="rId1105" w:history="1">
        <w:r w:rsidRPr="007641E9">
          <w:rPr>
            <w:rStyle w:val="Hyperlink"/>
          </w:rPr>
          <w:t>https://eur-lex.europa.eu/resource.html?uri=cellar:8343d7e8-8de6-11ee-8aa6-01aa75ed71a1.0012.02/DOC_2&amp;format=PDF</w:t>
        </w:r>
      </w:hyperlink>
      <w:r>
        <w:t xml:space="preserve"> – Zugegriffen: 29.01.2024. </w:t>
      </w:r>
    </w:p>
  </w:footnote>
  <w:footnote w:id="1425">
    <w:p w14:paraId="168AFED6" w14:textId="77777777" w:rsidR="00112190" w:rsidRDefault="00112190" w:rsidP="00112190">
      <w:pPr>
        <w:pStyle w:val="Funotentext"/>
      </w:pPr>
      <w:r>
        <w:rPr>
          <w:rStyle w:val="Funotenzeichen"/>
        </w:rPr>
        <w:footnoteRef/>
      </w:r>
      <w:r>
        <w:t xml:space="preserve"> Siehe: </w:t>
      </w:r>
      <w:hyperlink r:id="rId1106" w:history="1">
        <w:r w:rsidRPr="007641E9">
          <w:rPr>
            <w:rStyle w:val="Hyperlink"/>
          </w:rPr>
          <w:t>https://eur-lex.europa.eu/resource.html?uri=cellar:8343d7e8-8de6-11ee-8aa6-01aa75ed71a1.0012.02/DOC_2&amp;format=PDF</w:t>
        </w:r>
      </w:hyperlink>
      <w:r>
        <w:t xml:space="preserve"> – Zugegriffen: 29.01.2024. </w:t>
      </w:r>
    </w:p>
  </w:footnote>
  <w:footnote w:id="1426">
    <w:p w14:paraId="6D5F2404" w14:textId="77777777" w:rsidR="00112190" w:rsidRPr="007B4FEE" w:rsidRDefault="00112190" w:rsidP="00112190">
      <w:pPr>
        <w:pStyle w:val="Funotentext"/>
      </w:pPr>
      <w:r>
        <w:rPr>
          <w:rStyle w:val="Funotenzeichen"/>
        </w:rPr>
        <w:footnoteRef/>
      </w:r>
      <w:r w:rsidRPr="007B4FEE">
        <w:t xml:space="preserve"> </w:t>
      </w:r>
      <w:r>
        <w:t xml:space="preserve">Präsentation Wasserstoffprojekte für die European Hydrogen Week 2023: </w:t>
      </w:r>
      <w:hyperlink r:id="rId1107" w:history="1">
        <w:r w:rsidRPr="007641E9">
          <w:rPr>
            <w:rStyle w:val="Hyperlink"/>
          </w:rPr>
          <w:t>https://cinea.ec.europa.eu/system/files/2023-11/Hydrogen%20Week%20-%20CINEA%20projects_website_0.pdf</w:t>
        </w:r>
      </w:hyperlink>
      <w:r>
        <w:t xml:space="preserve"> – Zugegriffen: 29.01.2024. </w:t>
      </w:r>
    </w:p>
  </w:footnote>
  <w:footnote w:id="1427">
    <w:p w14:paraId="75F5AA35" w14:textId="77777777" w:rsidR="00112190" w:rsidRPr="000C2AE0" w:rsidRDefault="00112190" w:rsidP="00112190">
      <w:pPr>
        <w:pStyle w:val="Funotentext"/>
        <w:rPr>
          <w:lang w:val="nl-NL"/>
        </w:rPr>
      </w:pPr>
      <w:r>
        <w:rPr>
          <w:rStyle w:val="Funotenzeichen"/>
        </w:rPr>
        <w:footnoteRef/>
      </w:r>
      <w:r w:rsidRPr="000C2AE0">
        <w:rPr>
          <w:lang w:val="nl-NL"/>
        </w:rPr>
        <w:t xml:space="preserve"> </w:t>
      </w:r>
      <w:r w:rsidRPr="000C2AE0">
        <w:rPr>
          <w:lang w:val="nl-NL"/>
        </w:rPr>
        <w:t xml:space="preserve">European Hydrogen Week: </w:t>
      </w:r>
      <w:hyperlink r:id="rId1108" w:history="1">
        <w:r w:rsidRPr="000C2AE0">
          <w:rPr>
            <w:rStyle w:val="Hyperlink"/>
            <w:lang w:val="nl-NL"/>
          </w:rPr>
          <w:t>https://euhydrogenweek.eu/</w:t>
        </w:r>
      </w:hyperlink>
    </w:p>
  </w:footnote>
  <w:footnote w:id="1428">
    <w:p w14:paraId="5BE23741" w14:textId="15CB6F21" w:rsidR="00466CD7" w:rsidRPr="005F58A6" w:rsidRDefault="00466CD7" w:rsidP="005F58A6">
      <w:pPr>
        <w:spacing w:line="240" w:lineRule="auto"/>
        <w:rPr>
          <w:rFonts w:ascii="Calibri" w:hAnsi="Calibri" w:cs="Arial"/>
          <w:sz w:val="20"/>
          <w:szCs w:val="20"/>
          <w14:ligatures w14:val="none"/>
        </w:rPr>
      </w:pPr>
      <w:r w:rsidRPr="005F58A6">
        <w:rPr>
          <w:rStyle w:val="Funotenzeichen"/>
          <w:szCs w:val="20"/>
        </w:rPr>
        <w:footnoteRef/>
      </w:r>
      <w:r w:rsidRPr="005F58A6">
        <w:rPr>
          <w:sz w:val="20"/>
          <w:szCs w:val="20"/>
        </w:rPr>
        <w:t xml:space="preserve"> </w:t>
      </w:r>
      <w:r w:rsidR="005F58A6">
        <w:rPr>
          <w:sz w:val="20"/>
          <w:szCs w:val="20"/>
        </w:rPr>
        <w:t>Unionsvorhaben Wasserstoff, s</w:t>
      </w:r>
      <w:r w:rsidRPr="005F58A6">
        <w:rPr>
          <w:sz w:val="20"/>
          <w:szCs w:val="20"/>
        </w:rPr>
        <w:t xml:space="preserve">iehe: </w:t>
      </w:r>
      <w:hyperlink r:id="rId1109" w:history="1">
        <w:r w:rsidRPr="005F58A6">
          <w:rPr>
            <w:rStyle w:val="Hyperlink"/>
            <w:rFonts w:ascii="Calibri" w:hAnsi="Calibri" w:cs="Arial"/>
            <w:sz w:val="20"/>
            <w:szCs w:val="20"/>
            <w14:ligatures w14:val="none"/>
          </w:rPr>
          <w:t>https://eur-lex.europa.eu/legal-content/DE/ALL/?uri=PI_COM:C(2023)7930</w:t>
        </w:r>
      </w:hyperlink>
      <w:r w:rsidRPr="005F58A6">
        <w:rPr>
          <w:rFonts w:ascii="Calibri" w:hAnsi="Calibri" w:cs="Arial"/>
          <w:sz w:val="20"/>
          <w:szCs w:val="20"/>
          <w14:ligatures w14:val="none"/>
        </w:rPr>
        <w:t xml:space="preserve"> – Zugegriffen: 30.09.2024. </w:t>
      </w:r>
    </w:p>
  </w:footnote>
  <w:footnote w:id="1429">
    <w:p w14:paraId="4D852238" w14:textId="12A45E99" w:rsidR="00B963C1" w:rsidRPr="00062045" w:rsidRDefault="00B963C1">
      <w:pPr>
        <w:pStyle w:val="Funotentext"/>
        <w:rPr>
          <w:lang w:val="en-GB"/>
        </w:rPr>
      </w:pPr>
      <w:r>
        <w:rPr>
          <w:rStyle w:val="Funotenzeichen"/>
        </w:rPr>
        <w:footnoteRef/>
      </w:r>
      <w:r w:rsidRPr="00B451A8">
        <w:rPr>
          <w:lang w:val="en-GB"/>
        </w:rPr>
        <w:t xml:space="preserve"> </w:t>
      </w:r>
      <w:proofErr w:type="spellStart"/>
      <w:r w:rsidR="00062045" w:rsidRPr="00B451A8">
        <w:rPr>
          <w:lang w:val="en-GB"/>
        </w:rPr>
        <w:t>Siehe</w:t>
      </w:r>
      <w:proofErr w:type="spellEnd"/>
      <w:r w:rsidR="00062045" w:rsidRPr="00B451A8">
        <w:rPr>
          <w:lang w:val="en-GB"/>
        </w:rPr>
        <w:t xml:space="preserve"> News, 08. </w:t>
      </w:r>
      <w:r w:rsidR="00062045" w:rsidRPr="00062045">
        <w:rPr>
          <w:lang w:val="en-GB"/>
        </w:rPr>
        <w:t xml:space="preserve">April 2024, </w:t>
      </w:r>
      <w:proofErr w:type="spellStart"/>
      <w:r w:rsidR="00062045" w:rsidRPr="00062045">
        <w:rPr>
          <w:lang w:val="en-GB"/>
        </w:rPr>
        <w:t>Zitat</w:t>
      </w:r>
      <w:proofErr w:type="spellEnd"/>
      <w:r w:rsidR="00062045" w:rsidRPr="00062045">
        <w:rPr>
          <w:lang w:val="en-GB"/>
        </w:rPr>
        <w:t xml:space="preserve"> „On April 8, the European Commission announced that the Baltic Sea Hydrogen Collector (BHC) is included on its published 6th list of European Projects of Common Interest (PCI) in the Official Journal of the European Union. The PCI status is officially entering into force today, 28 April. This gives BHC eligibility for benefiting from streamlined permit-granting, regulatory support, and possible EU financing from Connecting Europe Facility (CEF).</w:t>
      </w:r>
      <w:proofErr w:type="gramStart"/>
      <w:r w:rsidR="00062045">
        <w:rPr>
          <w:lang w:val="en-GB"/>
        </w:rPr>
        <w:t xml:space="preserve">” </w:t>
      </w:r>
      <w:r w:rsidR="00062045" w:rsidRPr="00062045">
        <w:rPr>
          <w:lang w:val="en-GB"/>
        </w:rPr>
        <w:t>:</w:t>
      </w:r>
      <w:proofErr w:type="gramEnd"/>
      <w:r w:rsidR="00062045" w:rsidRPr="00062045">
        <w:rPr>
          <w:lang w:val="en-GB"/>
        </w:rPr>
        <w:t xml:space="preserve"> </w:t>
      </w:r>
      <w:hyperlink r:id="rId1110" w:history="1">
        <w:r w:rsidR="00062045" w:rsidRPr="00062045">
          <w:rPr>
            <w:rStyle w:val="Hyperlink"/>
            <w:lang w:val="en-GB"/>
          </w:rPr>
          <w:t>https://balticseahydrogencollector.com/news/</w:t>
        </w:r>
      </w:hyperlink>
      <w:r w:rsidR="00062045" w:rsidRPr="00062045">
        <w:rPr>
          <w:lang w:val="en-GB"/>
        </w:rPr>
        <w:t xml:space="preserve"> - </w:t>
      </w:r>
      <w:proofErr w:type="spellStart"/>
      <w:r w:rsidR="00062045" w:rsidRPr="00062045">
        <w:rPr>
          <w:lang w:val="en-GB"/>
        </w:rPr>
        <w:t>Zugegriffen</w:t>
      </w:r>
      <w:proofErr w:type="spellEnd"/>
      <w:r w:rsidR="00062045" w:rsidRPr="00062045">
        <w:rPr>
          <w:lang w:val="en-GB"/>
        </w:rPr>
        <w:t xml:space="preserve">: 05.01.2025. </w:t>
      </w:r>
    </w:p>
  </w:footnote>
  <w:footnote w:id="1430">
    <w:p w14:paraId="6C8F9DBA" w14:textId="77777777" w:rsidR="00112190" w:rsidRPr="000C2AE0" w:rsidRDefault="00112190" w:rsidP="00112190">
      <w:pPr>
        <w:pStyle w:val="Funotentext"/>
        <w:rPr>
          <w:lang w:val="en-GB"/>
        </w:rPr>
      </w:pPr>
      <w:r>
        <w:rPr>
          <w:rStyle w:val="Funotenzeichen"/>
        </w:rPr>
        <w:footnoteRef/>
      </w:r>
      <w:r w:rsidRPr="000C2AE0">
        <w:rPr>
          <w:lang w:val="en-GB"/>
        </w:rPr>
        <w:t xml:space="preserve"> Connecting Europe Facility (CEF): </w:t>
      </w:r>
      <w:hyperlink r:id="rId1111" w:history="1">
        <w:r w:rsidRPr="007641E9">
          <w:rPr>
            <w:rStyle w:val="Hyperlink"/>
            <w:lang w:val="en-GB"/>
          </w:rPr>
          <w:t>https://cinea.ec.europa.eu/programmes/connecting-europe-facility_en</w:t>
        </w:r>
      </w:hyperlink>
      <w:r>
        <w:rPr>
          <w:lang w:val="en-GB"/>
        </w:rPr>
        <w:t xml:space="preserve"> - </w:t>
      </w:r>
      <w:proofErr w:type="spellStart"/>
      <w:r>
        <w:rPr>
          <w:lang w:val="en-GB"/>
        </w:rPr>
        <w:t>Zugegriffen</w:t>
      </w:r>
      <w:proofErr w:type="spellEnd"/>
      <w:r>
        <w:rPr>
          <w:lang w:val="en-GB"/>
        </w:rPr>
        <w:t>: 29.01.2024.</w:t>
      </w:r>
    </w:p>
  </w:footnote>
  <w:footnote w:id="1431">
    <w:p w14:paraId="5CA2C6C1" w14:textId="77777777" w:rsidR="00112190" w:rsidRPr="00152332" w:rsidRDefault="00112190" w:rsidP="00112190">
      <w:pPr>
        <w:pStyle w:val="Funotentext"/>
        <w:rPr>
          <w:lang w:val="en-GB"/>
        </w:rPr>
      </w:pPr>
      <w:r>
        <w:rPr>
          <w:rStyle w:val="Funotenzeichen"/>
        </w:rPr>
        <w:footnoteRef/>
      </w:r>
      <w:r w:rsidRPr="00152332">
        <w:rPr>
          <w:lang w:val="en-GB"/>
        </w:rPr>
        <w:t xml:space="preserve"> CEF Energy 2023 Latest Achievement a</w:t>
      </w:r>
      <w:r>
        <w:rPr>
          <w:lang w:val="en-GB"/>
        </w:rPr>
        <w:t xml:space="preserve">nd Way Forward: </w:t>
      </w:r>
      <w:hyperlink r:id="rId1112" w:history="1">
        <w:r w:rsidRPr="007641E9">
          <w:rPr>
            <w:rStyle w:val="Hyperlink"/>
            <w:lang w:val="en-GB"/>
          </w:rPr>
          <w:t>https://cinea.ec.europa.eu/system/files/2023-11/CEF-Energy-2023_Latest%20achievements%20and%20way%20forward-web_en.pdf</w:t>
        </w:r>
      </w:hyperlink>
      <w:r>
        <w:rPr>
          <w:lang w:val="en-GB"/>
        </w:rPr>
        <w:t xml:space="preserve"> – </w:t>
      </w:r>
      <w:proofErr w:type="spellStart"/>
      <w:r>
        <w:rPr>
          <w:lang w:val="en-GB"/>
        </w:rPr>
        <w:t>Zugegriffen</w:t>
      </w:r>
      <w:proofErr w:type="spellEnd"/>
      <w:r>
        <w:rPr>
          <w:lang w:val="en-GB"/>
        </w:rPr>
        <w:t xml:space="preserve">: 29.01.2024. </w:t>
      </w:r>
    </w:p>
  </w:footnote>
  <w:footnote w:id="1432">
    <w:p w14:paraId="507493D8" w14:textId="77777777" w:rsidR="00112190" w:rsidRPr="000A5DE6" w:rsidRDefault="00112190" w:rsidP="00112190">
      <w:pPr>
        <w:pStyle w:val="Funotentext"/>
        <w:tabs>
          <w:tab w:val="left" w:pos="2655"/>
        </w:tabs>
      </w:pPr>
      <w:r>
        <w:rPr>
          <w:rStyle w:val="Funotenzeichen"/>
        </w:rPr>
        <w:footnoteRef/>
      </w:r>
      <w:r w:rsidRPr="00CA1051">
        <w:t xml:space="preserve"> COM (2020) 562 final. </w:t>
      </w:r>
      <w:r w:rsidRPr="000A5DE6">
        <w:t xml:space="preserve">Siehe: </w:t>
      </w:r>
      <w:hyperlink r:id="rId1113" w:history="1">
        <w:r w:rsidRPr="00DA1D6D">
          <w:rPr>
            <w:rStyle w:val="Hyperlink"/>
          </w:rPr>
          <w:t>https://ec.europa.eu/info/law/better-regulation/have-your-say/initiatives/12265-Klimazielplan-2030_de</w:t>
        </w:r>
      </w:hyperlink>
      <w:r>
        <w:t xml:space="preserve"> - Zugegriffen: 29.12.2023. </w:t>
      </w:r>
      <w:r w:rsidRPr="000A5DE6">
        <w:tab/>
      </w:r>
    </w:p>
  </w:footnote>
  <w:footnote w:id="1433">
    <w:p w14:paraId="2358A54E" w14:textId="77777777" w:rsidR="00112190" w:rsidRPr="007D61EE" w:rsidRDefault="00112190" w:rsidP="00112190">
      <w:pPr>
        <w:pStyle w:val="Funotentext"/>
      </w:pPr>
      <w:r>
        <w:rPr>
          <w:rStyle w:val="Funotenzeichen"/>
        </w:rPr>
        <w:footnoteRef/>
      </w:r>
      <w:r w:rsidRPr="007D61EE">
        <w:t xml:space="preserve"> S. 2. COM (2020) 562 final.</w:t>
      </w:r>
    </w:p>
  </w:footnote>
  <w:footnote w:id="1434">
    <w:p w14:paraId="1ACA6107" w14:textId="77777777" w:rsidR="00112190" w:rsidRDefault="00112190" w:rsidP="00112190">
      <w:pPr>
        <w:pStyle w:val="Funotentext"/>
      </w:pPr>
      <w:r>
        <w:rPr>
          <w:rStyle w:val="Funotenzeichen"/>
        </w:rPr>
        <w:footnoteRef/>
      </w:r>
      <w:r>
        <w:t xml:space="preserve"> Siehe: </w:t>
      </w:r>
      <w:hyperlink r:id="rId1114" w:history="1">
        <w:r w:rsidRPr="00C52C50">
          <w:rPr>
            <w:rStyle w:val="Hyperlink"/>
          </w:rPr>
          <w:t>https://eur-lex.europa.eu/legal-content/EN/TXT/?qid=1603122391413&amp;uri=CELEX:52020SC0550</w:t>
        </w:r>
      </w:hyperlink>
      <w:r>
        <w:t xml:space="preserve"> – Zugegriffen: 07.12.2023.</w:t>
      </w:r>
    </w:p>
  </w:footnote>
  <w:footnote w:id="1435">
    <w:p w14:paraId="60F90C27" w14:textId="77777777" w:rsidR="00112190" w:rsidRDefault="00112190" w:rsidP="00112190">
      <w:pPr>
        <w:pStyle w:val="Funotentext"/>
      </w:pPr>
      <w:r>
        <w:rPr>
          <w:rStyle w:val="Funotenzeichen"/>
        </w:rPr>
        <w:footnoteRef/>
      </w:r>
      <w:r>
        <w:t xml:space="preserve"> Siehe: </w:t>
      </w:r>
      <w:hyperlink r:id="rId1115" w:history="1">
        <w:r w:rsidRPr="00C52C50">
          <w:rPr>
            <w:rStyle w:val="Hyperlink"/>
          </w:rPr>
          <w:t>https://energy.ec.europa.eu/topics/energy-efficiency/energy-efficient-buildings/renovation-wave_en</w:t>
        </w:r>
      </w:hyperlink>
      <w:r>
        <w:t xml:space="preserve"> - </w:t>
      </w:r>
      <w:proofErr w:type="spellStart"/>
      <w:r>
        <w:t>Zugegriffe</w:t>
      </w:r>
      <w:proofErr w:type="spellEnd"/>
      <w:r>
        <w:t xml:space="preserve">: 07.12.2023. </w:t>
      </w:r>
    </w:p>
  </w:footnote>
  <w:footnote w:id="1436">
    <w:p w14:paraId="4D54205D" w14:textId="77777777" w:rsidR="00112190" w:rsidRDefault="00112190" w:rsidP="00112190">
      <w:pPr>
        <w:pStyle w:val="Funotentext"/>
      </w:pPr>
      <w:r>
        <w:rPr>
          <w:rStyle w:val="Funotenzeichen"/>
        </w:rPr>
        <w:footnoteRef/>
      </w:r>
      <w:r>
        <w:t xml:space="preserve"> Siehe: </w:t>
      </w:r>
      <w:hyperlink r:id="rId1116" w:history="1">
        <w:r w:rsidRPr="00DA1D6D">
          <w:rPr>
            <w:rStyle w:val="Hyperlink"/>
          </w:rPr>
          <w:t>https://ec.europa.eu/commission/presscorner/detail/en/IP_21_111</w:t>
        </w:r>
      </w:hyperlink>
      <w:r>
        <w:t xml:space="preserve"> - Zugegriffen: 29.12.2023. </w:t>
      </w:r>
    </w:p>
  </w:footnote>
  <w:footnote w:id="1437">
    <w:p w14:paraId="2F6A74B7" w14:textId="77777777" w:rsidR="00112190" w:rsidRDefault="00112190" w:rsidP="00112190">
      <w:pPr>
        <w:pStyle w:val="Funotentext"/>
      </w:pPr>
      <w:r>
        <w:rPr>
          <w:rStyle w:val="Funotenzeichen"/>
        </w:rPr>
        <w:footnoteRef/>
      </w:r>
      <w:r>
        <w:t xml:space="preserve"> Siehe: </w:t>
      </w:r>
      <w:hyperlink r:id="rId1117" w:history="1">
        <w:r w:rsidRPr="00DA1D6D">
          <w:rPr>
            <w:rStyle w:val="Hyperlink"/>
          </w:rPr>
          <w:t>https://ec.europa.eu/commission/presscorner/detail/en/ip_20_1833</w:t>
        </w:r>
      </w:hyperlink>
      <w:r>
        <w:t xml:space="preserve"> - Zugegriffen: 29.12.2023. Hier wird auf die Webseite der Kommission Energy verwiesen: </w:t>
      </w:r>
      <w:hyperlink r:id="rId1118" w:history="1">
        <w:r w:rsidRPr="00DA1D6D">
          <w:rPr>
            <w:rStyle w:val="Hyperlink"/>
          </w:rPr>
          <w:t>https://energy.ec.europa.eu/index_en</w:t>
        </w:r>
      </w:hyperlink>
      <w:r>
        <w:t xml:space="preserve"> </w:t>
      </w:r>
    </w:p>
  </w:footnote>
  <w:footnote w:id="1438">
    <w:p w14:paraId="220C5DA9" w14:textId="77777777" w:rsidR="00112190" w:rsidRDefault="00112190" w:rsidP="00112190">
      <w:pPr>
        <w:pStyle w:val="Funotentext"/>
      </w:pPr>
      <w:r>
        <w:rPr>
          <w:rStyle w:val="Funotenzeichen"/>
        </w:rPr>
        <w:footnoteRef/>
      </w:r>
      <w:r>
        <w:t xml:space="preserve"> Siehe: </w:t>
      </w:r>
      <w:hyperlink r:id="rId1119" w:history="1">
        <w:r w:rsidRPr="00DA1D6D">
          <w:rPr>
            <w:rStyle w:val="Hyperlink"/>
          </w:rPr>
          <w:t>https://ec.europa.eu/commission/presscorner/detail/en/ip_20_1839</w:t>
        </w:r>
      </w:hyperlink>
      <w:r>
        <w:t xml:space="preserve"> - Zugegriffen: 29.12.2023.</w:t>
      </w:r>
    </w:p>
  </w:footnote>
  <w:footnote w:id="1439">
    <w:p w14:paraId="4F71D351" w14:textId="77777777" w:rsidR="00112190" w:rsidRPr="007F72ED" w:rsidRDefault="00112190" w:rsidP="00112190">
      <w:pPr>
        <w:pStyle w:val="Funotentext"/>
      </w:pPr>
      <w:r>
        <w:rPr>
          <w:rStyle w:val="Funotenzeichen"/>
        </w:rPr>
        <w:footnoteRef/>
      </w:r>
      <w:r w:rsidRPr="007F72ED">
        <w:t xml:space="preserve"> Timeline Chemicals </w:t>
      </w:r>
      <w:proofErr w:type="spellStart"/>
      <w:r w:rsidRPr="007F72ED">
        <w:t>strategy</w:t>
      </w:r>
      <w:proofErr w:type="spellEnd"/>
      <w:r w:rsidRPr="007F72ED">
        <w:t xml:space="preserve">: </w:t>
      </w:r>
      <w:hyperlink r:id="rId1120" w:history="1">
        <w:r w:rsidRPr="007F72ED">
          <w:rPr>
            <w:rStyle w:val="Hyperlink"/>
          </w:rPr>
          <w:t>https://environment.ec.europa.eu/strategy/chemicals-strategy_en</w:t>
        </w:r>
      </w:hyperlink>
      <w:r w:rsidRPr="007F72ED">
        <w:t xml:space="preserve"> - Zugegr</w:t>
      </w:r>
      <w:r>
        <w:t xml:space="preserve">iffen: 29.12.2023. </w:t>
      </w:r>
    </w:p>
  </w:footnote>
  <w:footnote w:id="1440">
    <w:p w14:paraId="5CC4A9BC" w14:textId="77777777" w:rsidR="00112190" w:rsidRDefault="00112190" w:rsidP="00112190">
      <w:pPr>
        <w:pStyle w:val="Funotentext"/>
      </w:pPr>
      <w:r>
        <w:rPr>
          <w:rStyle w:val="Funotenzeichen"/>
        </w:rPr>
        <w:footnoteRef/>
      </w:r>
      <w:r>
        <w:t xml:space="preserve"> Siehe: </w:t>
      </w:r>
      <w:hyperlink r:id="rId1121" w:history="1">
        <w:r w:rsidRPr="00E92795">
          <w:rPr>
            <w:rStyle w:val="Hyperlink"/>
          </w:rPr>
          <w:t>https://ec.europa.eu/commission/presscorner/detail/en/ip_20_2096</w:t>
        </w:r>
      </w:hyperlink>
      <w:r>
        <w:t xml:space="preserve"> - Zugegriffen: 22.12.2023. </w:t>
      </w:r>
    </w:p>
  </w:footnote>
  <w:footnote w:id="1441">
    <w:p w14:paraId="7FB06CEE" w14:textId="77777777" w:rsidR="00112190" w:rsidRPr="007F72ED" w:rsidRDefault="00112190" w:rsidP="00112190">
      <w:pPr>
        <w:pStyle w:val="Funotentext"/>
      </w:pPr>
      <w:r>
        <w:rPr>
          <w:rStyle w:val="Funotenzeichen"/>
        </w:rPr>
        <w:footnoteRef/>
      </w:r>
      <w:r w:rsidRPr="007F72ED">
        <w:t xml:space="preserve"> Siehe: </w:t>
      </w:r>
      <w:hyperlink r:id="rId1122" w:history="1">
        <w:r w:rsidRPr="00DA1D6D">
          <w:rPr>
            <w:rStyle w:val="Hyperlink"/>
          </w:rPr>
          <w:t>https://ec.europa.eu/commission/presscorner/detail/en/ip_20_2323</w:t>
        </w:r>
      </w:hyperlink>
      <w:r>
        <w:t xml:space="preserve"> - Zugegriffen: 29.11.2023. </w:t>
      </w:r>
    </w:p>
  </w:footnote>
  <w:footnote w:id="1442">
    <w:p w14:paraId="2E4FEC49" w14:textId="77777777" w:rsidR="00112190" w:rsidRPr="007F72ED" w:rsidRDefault="00112190" w:rsidP="00112190">
      <w:pPr>
        <w:pStyle w:val="Funotentext"/>
        <w:rPr>
          <w:lang w:val="en-GB"/>
        </w:rPr>
      </w:pPr>
      <w:r>
        <w:rPr>
          <w:rStyle w:val="Funotenzeichen"/>
        </w:rPr>
        <w:footnoteRef/>
      </w:r>
      <w:r w:rsidRPr="007F72ED">
        <w:rPr>
          <w:lang w:val="en-GB"/>
        </w:rPr>
        <w:t xml:space="preserve"> Climate Pact </w:t>
      </w:r>
      <w:proofErr w:type="spellStart"/>
      <w:r w:rsidRPr="007F72ED">
        <w:rPr>
          <w:lang w:val="en-GB"/>
        </w:rPr>
        <w:t>Webseite</w:t>
      </w:r>
      <w:proofErr w:type="spellEnd"/>
      <w:r w:rsidRPr="007F72ED">
        <w:rPr>
          <w:lang w:val="en-GB"/>
        </w:rPr>
        <w:t>: https://climate-pact.europa.eu/</w:t>
      </w:r>
    </w:p>
  </w:footnote>
  <w:footnote w:id="1443">
    <w:p w14:paraId="4B286FE1" w14:textId="77777777" w:rsidR="00112190" w:rsidRDefault="00112190" w:rsidP="00112190">
      <w:pPr>
        <w:pStyle w:val="Funotentext"/>
      </w:pPr>
      <w:r>
        <w:rPr>
          <w:rStyle w:val="Funotenzeichen"/>
        </w:rPr>
        <w:footnoteRef/>
      </w:r>
      <w:r>
        <w:t xml:space="preserve"> Siehe: </w:t>
      </w:r>
      <w:hyperlink r:id="rId1123" w:history="1">
        <w:r w:rsidRPr="00A43BFF">
          <w:rPr>
            <w:rStyle w:val="Hyperlink"/>
          </w:rPr>
          <w:t>https://climate-adapt.eea.europa.eu/</w:t>
        </w:r>
      </w:hyperlink>
      <w:r>
        <w:t xml:space="preserve"> </w:t>
      </w:r>
    </w:p>
  </w:footnote>
  <w:footnote w:id="1444">
    <w:p w14:paraId="6958EFE4" w14:textId="77777777" w:rsidR="00112190" w:rsidRDefault="00112190" w:rsidP="00112190">
      <w:pPr>
        <w:pStyle w:val="Funotentext"/>
      </w:pPr>
      <w:r>
        <w:rPr>
          <w:rStyle w:val="Funotenzeichen"/>
        </w:rPr>
        <w:footnoteRef/>
      </w:r>
      <w:r>
        <w:t xml:space="preserve"> Siehe: </w:t>
      </w:r>
      <w:hyperlink r:id="rId1124" w:history="1">
        <w:r w:rsidRPr="00A1629F">
          <w:rPr>
            <w:rStyle w:val="Hyperlink"/>
          </w:rPr>
          <w:t>https://ec.europa.eu/commission/presscorner/detail/en/ip_21_2345</w:t>
        </w:r>
      </w:hyperlink>
      <w:r>
        <w:t xml:space="preserve"> - Zugegriffen: 29.11.2023. </w:t>
      </w:r>
    </w:p>
  </w:footnote>
  <w:footnote w:id="1445">
    <w:p w14:paraId="13F7DFEA" w14:textId="77777777" w:rsidR="00112190" w:rsidRDefault="00112190" w:rsidP="00112190">
      <w:pPr>
        <w:pStyle w:val="Funotentext"/>
      </w:pPr>
      <w:r>
        <w:rPr>
          <w:rStyle w:val="Funotenzeichen"/>
        </w:rPr>
        <w:footnoteRef/>
      </w:r>
      <w:r>
        <w:t xml:space="preserve"> Siehe: </w:t>
      </w:r>
      <w:hyperlink r:id="rId1125" w:history="1">
        <w:r w:rsidRPr="00A1629F">
          <w:rPr>
            <w:rStyle w:val="Hyperlink"/>
          </w:rPr>
          <w:t>https://ec.europa.eu/commission/presscorner/detail/en/ip_21_2341</w:t>
        </w:r>
      </w:hyperlink>
      <w:r>
        <w:t xml:space="preserve"> - Zugegriffen: 29.11.2023.</w:t>
      </w:r>
    </w:p>
  </w:footnote>
  <w:footnote w:id="1446">
    <w:p w14:paraId="2755BE92" w14:textId="77777777" w:rsidR="00112190" w:rsidRDefault="00112190" w:rsidP="00112190">
      <w:pPr>
        <w:pStyle w:val="Funotentext"/>
      </w:pPr>
      <w:r>
        <w:rPr>
          <w:rStyle w:val="Funotenzeichen"/>
        </w:rPr>
        <w:footnoteRef/>
      </w:r>
      <w:r>
        <w:t xml:space="preserve"> Siehe: </w:t>
      </w:r>
      <w:hyperlink r:id="rId1126" w:history="1">
        <w:r w:rsidRPr="00A1629F">
          <w:rPr>
            <w:rStyle w:val="Hyperlink"/>
          </w:rPr>
          <w:t>https://commission.europa.eu/publications/delivering-european-green-deal_de</w:t>
        </w:r>
      </w:hyperlink>
      <w:r>
        <w:t xml:space="preserve"> - Zugegriffen: 29.11.2023.</w:t>
      </w:r>
    </w:p>
  </w:footnote>
  <w:footnote w:id="1447">
    <w:p w14:paraId="1F7CA11C" w14:textId="77777777" w:rsidR="00112190" w:rsidRDefault="00112190" w:rsidP="00112190">
      <w:pPr>
        <w:pStyle w:val="Funotentext"/>
      </w:pPr>
      <w:r>
        <w:rPr>
          <w:rStyle w:val="Funotenzeichen"/>
        </w:rPr>
        <w:footnoteRef/>
      </w:r>
      <w:r>
        <w:t xml:space="preserve"> Siehe: </w:t>
      </w:r>
      <w:hyperlink r:id="rId1127" w:history="1">
        <w:r w:rsidRPr="00A1629F">
          <w:rPr>
            <w:rStyle w:val="Hyperlink"/>
          </w:rPr>
          <w:t>https://ec.europa.eu/commission/presscorner/detail/en/ip_21_4626</w:t>
        </w:r>
      </w:hyperlink>
      <w:r>
        <w:t xml:space="preserve"> - Zugegriffen: 29.11.2023. </w:t>
      </w:r>
    </w:p>
  </w:footnote>
  <w:footnote w:id="1448">
    <w:p w14:paraId="0B3D803F" w14:textId="77777777" w:rsidR="00112190" w:rsidRDefault="00112190" w:rsidP="00112190">
      <w:pPr>
        <w:pStyle w:val="Funotentext"/>
      </w:pPr>
      <w:r>
        <w:rPr>
          <w:rStyle w:val="Funotenzeichen"/>
        </w:rPr>
        <w:footnoteRef/>
      </w:r>
      <w:r>
        <w:t xml:space="preserve"> Siehe: </w:t>
      </w:r>
      <w:hyperlink r:id="rId1128" w:history="1">
        <w:r w:rsidRPr="00A1629F">
          <w:rPr>
            <w:rStyle w:val="Hyperlink"/>
          </w:rPr>
          <w:t>https://ec.europa.eu/commission/presscorner/detail/en/ip_21_5916</w:t>
        </w:r>
      </w:hyperlink>
      <w:r>
        <w:t xml:space="preserve"> - Zugegriffen: 29.11.2023. </w:t>
      </w:r>
    </w:p>
  </w:footnote>
  <w:footnote w:id="1449">
    <w:p w14:paraId="516DB8E4" w14:textId="77777777" w:rsidR="00112190" w:rsidRDefault="00112190" w:rsidP="00112190">
      <w:pPr>
        <w:pStyle w:val="Funotentext"/>
      </w:pPr>
      <w:r>
        <w:rPr>
          <w:rStyle w:val="Funotenzeichen"/>
        </w:rPr>
        <w:footnoteRef/>
      </w:r>
      <w:r>
        <w:t xml:space="preserve"> Siehe: </w:t>
      </w:r>
      <w:hyperlink r:id="rId1129" w:history="1">
        <w:r w:rsidRPr="00A1629F">
          <w:rPr>
            <w:rStyle w:val="Hyperlink"/>
          </w:rPr>
          <w:t>https://ec.europa.eu/commission/presscorner/detail/en/ip_21_6776</w:t>
        </w:r>
      </w:hyperlink>
      <w:r>
        <w:t xml:space="preserve"> - Zugegriffen: 29.11.2023.</w:t>
      </w:r>
    </w:p>
  </w:footnote>
  <w:footnote w:id="1450">
    <w:p w14:paraId="795AF205" w14:textId="77777777" w:rsidR="00112190" w:rsidRDefault="00112190" w:rsidP="00112190">
      <w:pPr>
        <w:pStyle w:val="Funotentext"/>
      </w:pPr>
      <w:r>
        <w:rPr>
          <w:rStyle w:val="Funotenzeichen"/>
        </w:rPr>
        <w:footnoteRef/>
      </w:r>
      <w:r>
        <w:t xml:space="preserve"> Siehe: </w:t>
      </w:r>
      <w:hyperlink r:id="rId1130" w:history="1">
        <w:r w:rsidRPr="00DA1D6D">
          <w:rPr>
            <w:rStyle w:val="Hyperlink"/>
          </w:rPr>
          <w:t>https://ec.europa.eu/commission/presscorner/detail/en/ip_21_6687</w:t>
        </w:r>
      </w:hyperlink>
      <w:r>
        <w:t xml:space="preserve"> - Zugegriffen: 29.11.2023. </w:t>
      </w:r>
    </w:p>
  </w:footnote>
  <w:footnote w:id="1451">
    <w:p w14:paraId="310398F0" w14:textId="77777777" w:rsidR="00112190" w:rsidRDefault="00112190" w:rsidP="00112190">
      <w:pPr>
        <w:pStyle w:val="Funotentext"/>
      </w:pPr>
      <w:r>
        <w:rPr>
          <w:rStyle w:val="Funotenzeichen"/>
        </w:rPr>
        <w:footnoteRef/>
      </w:r>
      <w:r>
        <w:t xml:space="preserve"> Siehe: </w:t>
      </w:r>
      <w:hyperlink r:id="rId1131" w:history="1">
        <w:r w:rsidRPr="00DA1D6D">
          <w:rPr>
            <w:rStyle w:val="Hyperlink"/>
          </w:rPr>
          <w:t>https://ec.europa.eu/commission/presscorner/detail/en/ip_21_6682</w:t>
        </w:r>
      </w:hyperlink>
      <w:r>
        <w:t xml:space="preserve"> - Zugegriffen: 29.11.2023. </w:t>
      </w:r>
    </w:p>
  </w:footnote>
  <w:footnote w:id="1452">
    <w:p w14:paraId="720EF10C" w14:textId="77777777" w:rsidR="00112190" w:rsidRDefault="00112190" w:rsidP="00112190">
      <w:pPr>
        <w:pStyle w:val="Funotentext"/>
      </w:pPr>
      <w:r>
        <w:rPr>
          <w:rStyle w:val="Funotenzeichen"/>
        </w:rPr>
        <w:footnoteRef/>
      </w:r>
      <w:r>
        <w:t xml:space="preserve"> </w:t>
      </w:r>
      <w:r w:rsidRPr="00FE11F2">
        <w:t xml:space="preserve">Siehe: </w:t>
      </w:r>
      <w:hyperlink r:id="rId1132" w:history="1">
        <w:r w:rsidRPr="00EE187F">
          <w:rPr>
            <w:rStyle w:val="Hyperlink"/>
          </w:rPr>
          <w:t>https://ec.europa.eu/commission/presscorner/detail/en/ip_21_6682</w:t>
        </w:r>
      </w:hyperlink>
      <w:r w:rsidRPr="00FE11F2">
        <w:t xml:space="preserve"> - Zugegriffen: 29.1</w:t>
      </w:r>
      <w:r>
        <w:t>1</w:t>
      </w:r>
      <w:r w:rsidRPr="00FE11F2">
        <w:t>.2023.</w:t>
      </w:r>
    </w:p>
  </w:footnote>
  <w:footnote w:id="1453">
    <w:p w14:paraId="1289E99A" w14:textId="3B99D5A0" w:rsidR="00B74407" w:rsidRDefault="00B74407">
      <w:pPr>
        <w:pStyle w:val="Funotentext"/>
      </w:pPr>
      <w:r>
        <w:rPr>
          <w:rStyle w:val="Funotenzeichen"/>
        </w:rPr>
        <w:footnoteRef/>
      </w:r>
      <w:r>
        <w:t xml:space="preserve"> Siehe z.B. hier: </w:t>
      </w:r>
      <w:hyperlink r:id="rId1133" w:history="1">
        <w:r w:rsidRPr="00A2553B">
          <w:rPr>
            <w:rStyle w:val="Hyperlink"/>
          </w:rPr>
          <w:t>https://ec.europa.eu/info/law/better-regulation/have-your-say/initiatives/14303-Methodology-to-determine-the-greenhouse-gas-GHG-emission-savings-of-low-carbon-fuels_en</w:t>
        </w:r>
      </w:hyperlink>
      <w:r>
        <w:t xml:space="preserve"> - Zugegriffen: 30.024.2025. </w:t>
      </w:r>
    </w:p>
  </w:footnote>
  <w:footnote w:id="1454">
    <w:p w14:paraId="42424C99" w14:textId="77777777" w:rsidR="00112190" w:rsidRDefault="00112190" w:rsidP="00112190">
      <w:pPr>
        <w:pStyle w:val="Funotentext"/>
      </w:pPr>
      <w:r>
        <w:rPr>
          <w:rStyle w:val="Funotenzeichen"/>
        </w:rPr>
        <w:footnoteRef/>
      </w:r>
      <w:r>
        <w:t xml:space="preserve"> Siehe: </w:t>
      </w:r>
      <w:hyperlink r:id="rId1134" w:history="1">
        <w:r w:rsidRPr="00A1629F">
          <w:rPr>
            <w:rStyle w:val="Hyperlink"/>
          </w:rPr>
          <w:t>https://ec.europa.eu/commission/presscorner/detail/en/ip_22_1936</w:t>
        </w:r>
      </w:hyperlink>
      <w:r>
        <w:t xml:space="preserve"> - Zugegriffen: 29.11.2023.</w:t>
      </w:r>
    </w:p>
  </w:footnote>
  <w:footnote w:id="1455">
    <w:p w14:paraId="04817183" w14:textId="77777777" w:rsidR="00112190" w:rsidRDefault="00112190" w:rsidP="00112190">
      <w:pPr>
        <w:pStyle w:val="Funotentext"/>
      </w:pPr>
      <w:r>
        <w:rPr>
          <w:rStyle w:val="Funotenzeichen"/>
        </w:rPr>
        <w:footnoteRef/>
      </w:r>
      <w:r>
        <w:t xml:space="preserve"> Siehe: </w:t>
      </w:r>
      <w:hyperlink r:id="rId1135" w:history="1">
        <w:r w:rsidRPr="00A1629F">
          <w:rPr>
            <w:rStyle w:val="Hyperlink"/>
          </w:rPr>
          <w:t>https://ec.europa.eu/commission/presscorner/detail/en/ip_22_2013</w:t>
        </w:r>
      </w:hyperlink>
      <w:r>
        <w:t xml:space="preserve"> - Zugegriffen: 29.11.2023. </w:t>
      </w:r>
    </w:p>
  </w:footnote>
  <w:footnote w:id="1456">
    <w:p w14:paraId="706F72E7" w14:textId="77777777" w:rsidR="00112190" w:rsidRDefault="00112190" w:rsidP="00112190">
      <w:pPr>
        <w:pStyle w:val="Funotentext"/>
      </w:pPr>
      <w:r>
        <w:rPr>
          <w:rStyle w:val="Funotenzeichen"/>
        </w:rPr>
        <w:footnoteRef/>
      </w:r>
      <w:r>
        <w:t xml:space="preserve"> COM (2022) 156 final. Siehe: </w:t>
      </w:r>
      <w:hyperlink r:id="rId1136" w:history="1">
        <w:r w:rsidRPr="00A43BFF">
          <w:rPr>
            <w:rStyle w:val="Hyperlink"/>
          </w:rPr>
          <w:t>https://ec.europa.eu/commission/presscorner/detail/en/ip_22_2238</w:t>
        </w:r>
      </w:hyperlink>
      <w:r>
        <w:t xml:space="preserve"> - Zugegriffen: 22.12.2023</w:t>
      </w:r>
    </w:p>
  </w:footnote>
  <w:footnote w:id="1457">
    <w:p w14:paraId="7E97F71C" w14:textId="77777777" w:rsidR="00112190" w:rsidRDefault="00112190" w:rsidP="00112190">
      <w:pPr>
        <w:pStyle w:val="Funotentext"/>
      </w:pPr>
      <w:r>
        <w:rPr>
          <w:rStyle w:val="Funotenzeichen"/>
        </w:rPr>
        <w:footnoteRef/>
      </w:r>
      <w:r>
        <w:t xml:space="preserve"> COM (2022) 156 final, Art. 76 Ausübung der </w:t>
      </w:r>
      <w:proofErr w:type="spellStart"/>
      <w:r>
        <w:t>Befugnisübertragung</w:t>
      </w:r>
      <w:proofErr w:type="spellEnd"/>
      <w:r>
        <w:t xml:space="preserve"> und Art. 79 Sanktionen, S. 57-58. Link zum Vorschlag: </w:t>
      </w:r>
      <w:hyperlink r:id="rId1137" w:history="1">
        <w:r w:rsidRPr="000700D9">
          <w:rPr>
            <w:rStyle w:val="Hyperlink"/>
          </w:rPr>
          <w:t>https://eur-lex.europa.eu/resource.html?uri=cellar:32d55555-c550-11ec-b6f4-01aa75ed71a1.0002.02/DOC_1&amp;format=PDF</w:t>
        </w:r>
      </w:hyperlink>
      <w:r>
        <w:t xml:space="preserve"> – Zugegriffen: 29.12.2023. </w:t>
      </w:r>
    </w:p>
  </w:footnote>
  <w:footnote w:id="1458">
    <w:p w14:paraId="26EFDC4B" w14:textId="77777777" w:rsidR="00112190" w:rsidRDefault="00112190" w:rsidP="00112190">
      <w:pPr>
        <w:pStyle w:val="Funotentext"/>
      </w:pPr>
      <w:r>
        <w:rPr>
          <w:rStyle w:val="Funotenzeichen"/>
        </w:rPr>
        <w:footnoteRef/>
      </w:r>
      <w:r>
        <w:t xml:space="preserve"> Siehe: </w:t>
      </w:r>
      <w:hyperlink r:id="rId1138" w:history="1">
        <w:r w:rsidRPr="00A43BFF">
          <w:rPr>
            <w:rStyle w:val="Hyperlink"/>
          </w:rPr>
          <w:t>https://www.project-incite.eu/</w:t>
        </w:r>
      </w:hyperlink>
      <w:r>
        <w:t xml:space="preserve"> - Zugegriffen: 22.12.2023. </w:t>
      </w:r>
    </w:p>
  </w:footnote>
  <w:footnote w:id="1459">
    <w:p w14:paraId="5AE2EB1B" w14:textId="77777777" w:rsidR="00112190" w:rsidRDefault="00112190" w:rsidP="00112190">
      <w:pPr>
        <w:pStyle w:val="Funotentext"/>
        <w:jc w:val="both"/>
      </w:pPr>
      <w:r>
        <w:rPr>
          <w:rStyle w:val="Funotenzeichen"/>
        </w:rPr>
        <w:footnoteRef/>
      </w:r>
      <w:r>
        <w:t xml:space="preserve"> Siehe: </w:t>
      </w:r>
      <w:hyperlink r:id="rId1139" w:history="1">
        <w:r w:rsidRPr="00A43BFF">
          <w:rPr>
            <w:rStyle w:val="Hyperlink"/>
          </w:rPr>
          <w:t>https://ec.europa.eu/commission/presscorner/detail/en/ip_22_2238</w:t>
        </w:r>
      </w:hyperlink>
      <w:r>
        <w:t xml:space="preserve"> - Zugegriffen: 22.12.2023</w:t>
      </w:r>
    </w:p>
  </w:footnote>
  <w:footnote w:id="1460">
    <w:p w14:paraId="4E625E0C" w14:textId="77777777" w:rsidR="00112190" w:rsidRDefault="00112190" w:rsidP="00112190">
      <w:pPr>
        <w:pStyle w:val="Funotentext"/>
      </w:pPr>
      <w:r>
        <w:rPr>
          <w:rStyle w:val="Funotenzeichen"/>
        </w:rPr>
        <w:footnoteRef/>
      </w:r>
      <w:r>
        <w:t xml:space="preserve"> Es soll das European </w:t>
      </w:r>
      <w:proofErr w:type="spellStart"/>
      <w:r>
        <w:t>Pollutant</w:t>
      </w:r>
      <w:proofErr w:type="spellEnd"/>
      <w:r>
        <w:t xml:space="preserve"> Release and Transfer Register ersetzen, dies besteht aber derzeit vorerst noch, siehe: </w:t>
      </w:r>
      <w:hyperlink r:id="rId1140" w:anchor="/home" w:history="1">
        <w:r w:rsidRPr="00A43BFF">
          <w:rPr>
            <w:rStyle w:val="Hyperlink"/>
          </w:rPr>
          <w:t>https://industry.eea.europa.eu/#/home</w:t>
        </w:r>
      </w:hyperlink>
      <w:r>
        <w:t xml:space="preserve">  </w:t>
      </w:r>
    </w:p>
  </w:footnote>
  <w:footnote w:id="1461">
    <w:p w14:paraId="2EBEDA23" w14:textId="77777777" w:rsidR="00112190" w:rsidRDefault="00112190" w:rsidP="00112190">
      <w:pPr>
        <w:pStyle w:val="Funotentext"/>
      </w:pPr>
      <w:r>
        <w:rPr>
          <w:rStyle w:val="Funotenzeichen"/>
        </w:rPr>
        <w:footnoteRef/>
      </w:r>
      <w:r>
        <w:t xml:space="preserve"> Siehe: </w:t>
      </w:r>
      <w:hyperlink r:id="rId1141" w:history="1">
        <w:r w:rsidRPr="00A43BFF">
          <w:rPr>
            <w:rStyle w:val="Hyperlink"/>
          </w:rPr>
          <w:t>https://ec.europa.eu/commission/presscorner/detail/en/ip_22_2238</w:t>
        </w:r>
      </w:hyperlink>
      <w:r>
        <w:t xml:space="preserve"> - Zugegriffen: 22.12.2023. </w:t>
      </w:r>
    </w:p>
  </w:footnote>
  <w:footnote w:id="1462">
    <w:p w14:paraId="6AC33A24" w14:textId="77777777" w:rsidR="00112190" w:rsidRDefault="00112190" w:rsidP="00112190">
      <w:pPr>
        <w:pStyle w:val="Funotentext"/>
      </w:pPr>
      <w:r>
        <w:rPr>
          <w:rStyle w:val="Funotenzeichen"/>
        </w:rPr>
        <w:footnoteRef/>
      </w:r>
      <w:r>
        <w:t xml:space="preserve"> Siehe: </w:t>
      </w:r>
      <w:hyperlink r:id="rId1142" w:history="1">
        <w:r w:rsidRPr="001A4CAF">
          <w:rPr>
            <w:rStyle w:val="Hyperlink"/>
          </w:rPr>
          <w:t>https://eippcb.jrc.ec.europa.eu/reference</w:t>
        </w:r>
      </w:hyperlink>
    </w:p>
  </w:footnote>
  <w:footnote w:id="1463">
    <w:p w14:paraId="5E9A7794" w14:textId="77777777" w:rsidR="00112190" w:rsidRDefault="00112190" w:rsidP="00112190">
      <w:pPr>
        <w:pStyle w:val="Funotentext"/>
      </w:pPr>
      <w:r>
        <w:rPr>
          <w:rStyle w:val="Funotenzeichen"/>
        </w:rPr>
        <w:footnoteRef/>
      </w:r>
      <w:r>
        <w:t xml:space="preserve"> Siehe Anhörung Deutscher Bundestag: </w:t>
      </w:r>
      <w:hyperlink r:id="rId1143" w:history="1">
        <w:r w:rsidRPr="00A43BFF">
          <w:rPr>
            <w:rStyle w:val="Hyperlink"/>
          </w:rPr>
          <w:t>https://www.youtube.com/watch?v=ca4CuIj_U9w&amp;t=1079s</w:t>
        </w:r>
      </w:hyperlink>
      <w:r>
        <w:t xml:space="preserve"> – Zugegriffen: 22.12.2023. Siehe: </w:t>
      </w:r>
      <w:hyperlink r:id="rId1144" w:history="1">
        <w:r w:rsidRPr="00A43BFF">
          <w:rPr>
            <w:rStyle w:val="Hyperlink"/>
          </w:rPr>
          <w:t>https://www.bundestag.de/dokumente/textarchiv/2023/kw09-pa-umwelt-industrieemissionen-934906</w:t>
        </w:r>
      </w:hyperlink>
      <w:r>
        <w:t xml:space="preserve"> - Zugegriffen: 22.12.2023. </w:t>
      </w:r>
    </w:p>
  </w:footnote>
  <w:footnote w:id="1464">
    <w:p w14:paraId="2C280826" w14:textId="77777777" w:rsidR="004C354A" w:rsidRDefault="004C354A" w:rsidP="004C354A">
      <w:pPr>
        <w:pStyle w:val="Funotentext"/>
      </w:pPr>
      <w:r>
        <w:rPr>
          <w:rStyle w:val="Funotenzeichen"/>
        </w:rPr>
        <w:footnoteRef/>
      </w:r>
      <w:r>
        <w:t xml:space="preserve"> Siehe: </w:t>
      </w:r>
      <w:hyperlink r:id="rId1145" w:history="1">
        <w:r w:rsidRPr="00A1629F">
          <w:rPr>
            <w:rStyle w:val="Hyperlink"/>
          </w:rPr>
          <w:t>https://ec.europa.eu/commission/presscorner/detail/en/ip_22_2238</w:t>
        </w:r>
      </w:hyperlink>
      <w:r>
        <w:t xml:space="preserve"> - Zugegriffen: 29.11.2023. </w:t>
      </w:r>
    </w:p>
  </w:footnote>
  <w:footnote w:id="1465">
    <w:p w14:paraId="16CD6616" w14:textId="77777777" w:rsidR="004C354A" w:rsidRDefault="004C354A" w:rsidP="004C354A">
      <w:pPr>
        <w:pStyle w:val="Funotentext"/>
      </w:pPr>
      <w:r>
        <w:rPr>
          <w:rStyle w:val="Funotenzeichen"/>
        </w:rPr>
        <w:footnoteRef/>
      </w:r>
      <w:r>
        <w:t xml:space="preserve"> Siehe: </w:t>
      </w:r>
      <w:hyperlink r:id="rId1146" w:history="1">
        <w:r w:rsidRPr="00372C9A">
          <w:rPr>
            <w:rStyle w:val="Hyperlink"/>
          </w:rPr>
          <w:t>https://ec.europa.eu/commission/presscorner/detail/en/IP_22_2189</w:t>
        </w:r>
      </w:hyperlink>
      <w:r>
        <w:t xml:space="preserve"> - Zugegriffen: 22.12.2023. </w:t>
      </w:r>
    </w:p>
  </w:footnote>
  <w:footnote w:id="1466">
    <w:p w14:paraId="66EA564F" w14:textId="77777777" w:rsidR="00112190" w:rsidRDefault="00112190" w:rsidP="00112190">
      <w:pPr>
        <w:pStyle w:val="Funotentext"/>
      </w:pPr>
      <w:r>
        <w:rPr>
          <w:rStyle w:val="Funotenzeichen"/>
        </w:rPr>
        <w:footnoteRef/>
      </w:r>
      <w:r>
        <w:t xml:space="preserve"> Verbesserte Speicherung, Preisverminderung, Flüssiggas, mehr Ausbau von erneuerbaren </w:t>
      </w:r>
      <w:proofErr w:type="gramStart"/>
      <w:r>
        <w:t>Energien :</w:t>
      </w:r>
      <w:proofErr w:type="gramEnd"/>
      <w:r>
        <w:t xml:space="preserve"> </w:t>
      </w:r>
      <w:hyperlink r:id="rId1147" w:history="1">
        <w:r w:rsidRPr="00A43BFF">
          <w:rPr>
            <w:rStyle w:val="Hyperlink"/>
          </w:rPr>
          <w:t>https://ec.europa.eu/commission/presscorner/detail/en/ip_22_1511</w:t>
        </w:r>
      </w:hyperlink>
      <w:r>
        <w:t xml:space="preserve"> - Zugegriffen: 22.12.2023. </w:t>
      </w:r>
    </w:p>
  </w:footnote>
  <w:footnote w:id="1467">
    <w:p w14:paraId="46FE03F8" w14:textId="77777777" w:rsidR="00112190" w:rsidRDefault="00112190" w:rsidP="00112190">
      <w:pPr>
        <w:pStyle w:val="Funotentext"/>
      </w:pPr>
      <w:r>
        <w:rPr>
          <w:rStyle w:val="Funotenzeichen"/>
        </w:rPr>
        <w:footnoteRef/>
      </w:r>
      <w:r>
        <w:t xml:space="preserve"> COM (2022) 230 final. Siehe: </w:t>
      </w:r>
      <w:hyperlink r:id="rId1148" w:history="1">
        <w:r w:rsidRPr="001A0905">
          <w:rPr>
            <w:rStyle w:val="Hyperlink"/>
          </w:rPr>
          <w:t>https://eur-lex.europa.eu/resource.html?uri=cellar:fc930f14-d7ae-11ec-a95f-01aa75ed71a1.0001.02/DOC_1&amp;format=PDF</w:t>
        </w:r>
      </w:hyperlink>
      <w:r>
        <w:t xml:space="preserve"> – Zugegriffen: 30.01.2024. </w:t>
      </w:r>
    </w:p>
  </w:footnote>
  <w:footnote w:id="1468">
    <w:p w14:paraId="19EB10D2" w14:textId="77777777" w:rsidR="00112190" w:rsidRDefault="00112190" w:rsidP="00112190">
      <w:pPr>
        <w:pStyle w:val="Funotentext"/>
      </w:pPr>
      <w:r>
        <w:rPr>
          <w:rStyle w:val="Funotenzeichen"/>
        </w:rPr>
        <w:footnoteRef/>
      </w:r>
      <w:r>
        <w:t xml:space="preserve"> Siehe: </w:t>
      </w:r>
      <w:hyperlink r:id="rId1149" w:history="1">
        <w:r w:rsidRPr="00DB1672">
          <w:rPr>
            <w:rStyle w:val="Hyperlink"/>
          </w:rPr>
          <w:t>https://commission.europa.eu/strategy-and-policy/priorities-2019-2024/european-green-deal/repowereu-affordable-secure-and-sustainable-energy-europe_de</w:t>
        </w:r>
      </w:hyperlink>
      <w:r>
        <w:t xml:space="preserve"> - Zugegriffen: 07.01.2024. </w:t>
      </w:r>
    </w:p>
  </w:footnote>
  <w:footnote w:id="1469">
    <w:p w14:paraId="69F105F4" w14:textId="77777777" w:rsidR="00112190" w:rsidRDefault="00112190" w:rsidP="00112190">
      <w:pPr>
        <w:pStyle w:val="Funotentext"/>
      </w:pPr>
      <w:r>
        <w:rPr>
          <w:rStyle w:val="Funotenzeichen"/>
        </w:rPr>
        <w:footnoteRef/>
      </w:r>
      <w:r>
        <w:t xml:space="preserve"> Siehe: </w:t>
      </w:r>
      <w:hyperlink r:id="rId1150" w:history="1">
        <w:r w:rsidRPr="00DB1672">
          <w:rPr>
            <w:rStyle w:val="Hyperlink"/>
          </w:rPr>
          <w:t>https://commission.europa.eu/strategy-and-policy/priorities-2019-2024/european-green-deal/repowereu-affordable-secure-and-sustainable-energy-europe_de</w:t>
        </w:r>
      </w:hyperlink>
      <w:r>
        <w:t xml:space="preserve"> - Zugegriffen: 07.01.2024. </w:t>
      </w:r>
    </w:p>
  </w:footnote>
  <w:footnote w:id="1470">
    <w:p w14:paraId="5E7E4E49" w14:textId="77777777" w:rsidR="00112190" w:rsidRDefault="00112190" w:rsidP="00112190">
      <w:pPr>
        <w:pStyle w:val="Funotentext"/>
      </w:pPr>
      <w:r>
        <w:rPr>
          <w:rStyle w:val="Funotenzeichen"/>
        </w:rPr>
        <w:footnoteRef/>
      </w:r>
      <w:r>
        <w:t xml:space="preserve"> Siehe: </w:t>
      </w:r>
      <w:hyperlink r:id="rId1151" w:history="1">
        <w:r w:rsidRPr="00DB1672">
          <w:rPr>
            <w:rStyle w:val="Hyperlink"/>
          </w:rPr>
          <w:t>https://commission.europa.eu/strategy-and-policy/priorities-2019-2024/european-green-deal/repowereu-affordable-secure-and-sustainable-energy-europe_de</w:t>
        </w:r>
      </w:hyperlink>
      <w:r>
        <w:t xml:space="preserve"> - Zugegriffen: 07.01.2024. </w:t>
      </w:r>
    </w:p>
  </w:footnote>
  <w:footnote w:id="1471">
    <w:p w14:paraId="2E8E2EE5" w14:textId="77777777" w:rsidR="00112190" w:rsidRDefault="00112190" w:rsidP="00112190">
      <w:pPr>
        <w:pStyle w:val="Funotentext"/>
      </w:pPr>
      <w:r>
        <w:rPr>
          <w:rStyle w:val="Funotenzeichen"/>
        </w:rPr>
        <w:footnoteRef/>
      </w:r>
      <w:r>
        <w:t xml:space="preserve"> Siehe: </w:t>
      </w:r>
      <w:hyperlink r:id="rId1152" w:history="1">
        <w:r w:rsidRPr="00DB1672">
          <w:rPr>
            <w:rStyle w:val="Hyperlink"/>
          </w:rPr>
          <w:t>https://www.ey.com/de_de/decarbonization/eu-ets-wie-stark-steigen-die-co-preise-bis-2030</w:t>
        </w:r>
      </w:hyperlink>
      <w:r>
        <w:t xml:space="preserve"> - Zugegriffen: 07.01.2024. </w:t>
      </w:r>
    </w:p>
  </w:footnote>
  <w:footnote w:id="1472">
    <w:p w14:paraId="1FA9E202" w14:textId="77777777" w:rsidR="00112190" w:rsidRDefault="00112190" w:rsidP="00112190">
      <w:pPr>
        <w:pStyle w:val="Funotentext"/>
      </w:pPr>
      <w:r>
        <w:rPr>
          <w:rStyle w:val="Funotenzeichen"/>
        </w:rPr>
        <w:footnoteRef/>
      </w:r>
      <w:r>
        <w:t xml:space="preserve"> Siehe: </w:t>
      </w:r>
      <w:hyperlink r:id="rId1153" w:history="1">
        <w:r w:rsidRPr="00DB1672">
          <w:rPr>
            <w:rStyle w:val="Hyperlink"/>
          </w:rPr>
          <w:t>https://eur-lex.europa.eu/legal-content/EN/TXT/?uri=celex%3A32023R0435</w:t>
        </w:r>
      </w:hyperlink>
      <w:r>
        <w:t xml:space="preserve"> – Zugegriffen: 07.01.2024. </w:t>
      </w:r>
    </w:p>
  </w:footnote>
  <w:footnote w:id="1473">
    <w:p w14:paraId="53501FE5" w14:textId="77777777" w:rsidR="00112190" w:rsidRDefault="00112190" w:rsidP="00112190">
      <w:pPr>
        <w:pStyle w:val="Funotentext"/>
      </w:pPr>
      <w:r>
        <w:rPr>
          <w:rStyle w:val="Funotenzeichen"/>
        </w:rPr>
        <w:footnoteRef/>
      </w:r>
      <w:r>
        <w:t xml:space="preserve"> COM (2022) 230 final. Siehe: </w:t>
      </w:r>
      <w:hyperlink r:id="rId1154" w:history="1">
        <w:r w:rsidRPr="001A0905">
          <w:rPr>
            <w:rStyle w:val="Hyperlink"/>
          </w:rPr>
          <w:t>https://eur-lex.europa.eu/resource.html?uri=cellar:fc930f14-d7ae-11ec-a95f-01aa75ed71a1.0001.02/DOC_1&amp;format=PDF</w:t>
        </w:r>
      </w:hyperlink>
      <w:r>
        <w:t xml:space="preserve"> – Zugegriffen: 30.01.2024. </w:t>
      </w:r>
    </w:p>
  </w:footnote>
  <w:footnote w:id="1474">
    <w:p w14:paraId="43E484BC" w14:textId="77777777" w:rsidR="00112190" w:rsidRDefault="00112190" w:rsidP="00112190">
      <w:pPr>
        <w:pStyle w:val="Funotentext"/>
      </w:pPr>
      <w:r>
        <w:rPr>
          <w:rStyle w:val="Funotenzeichen"/>
        </w:rPr>
        <w:footnoteRef/>
      </w:r>
      <w:r>
        <w:t xml:space="preserve"> S. 6-7. In: </w:t>
      </w:r>
      <w:r w:rsidRPr="008B0EB8">
        <w:t xml:space="preserve">COM (2022) 230 final. Siehe: </w:t>
      </w:r>
      <w:hyperlink r:id="rId1155" w:history="1">
        <w:r w:rsidRPr="008B0EB8">
          <w:rPr>
            <w:rStyle w:val="Hyperlink"/>
          </w:rPr>
          <w:t>https://eur-lex.europa.eu/resource.html?uri=cellar:fc930f14-d7ae-11ec-a95f-01aa75ed71a1.0001.02/DOC_1&amp;format=PDF</w:t>
        </w:r>
      </w:hyperlink>
      <w:r w:rsidRPr="008B0EB8">
        <w:t xml:space="preserve"> – Zugegriffen: 30.01.2024.</w:t>
      </w:r>
    </w:p>
  </w:footnote>
  <w:footnote w:id="1475">
    <w:p w14:paraId="0A200A87" w14:textId="7A62069A" w:rsidR="0065666F" w:rsidRDefault="0065666F">
      <w:pPr>
        <w:pStyle w:val="Funotentext"/>
      </w:pPr>
      <w:r>
        <w:rPr>
          <w:rStyle w:val="Funotenzeichen"/>
        </w:rPr>
        <w:footnoteRef/>
      </w:r>
      <w:r>
        <w:t xml:space="preserve"> Siehe </w:t>
      </w:r>
      <w:proofErr w:type="spellStart"/>
      <w:r>
        <w:t>RePowerEU</w:t>
      </w:r>
      <w:proofErr w:type="spellEnd"/>
      <w:r>
        <w:t xml:space="preserve">: </w:t>
      </w:r>
      <w:hyperlink r:id="rId1156" w:history="1">
        <w:r w:rsidRPr="00011C1B">
          <w:rPr>
            <w:rStyle w:val="Hyperlink"/>
          </w:rPr>
          <w:t>https://eur-lex.europa.eu/legal-content/EN/TXT/?uri=COM:2022:230:FIN</w:t>
        </w:r>
      </w:hyperlink>
      <w:r>
        <w:t xml:space="preserve"> - und die EU Wasserstoffstrategie von 2020: </w:t>
      </w:r>
      <w:hyperlink r:id="rId1157" w:history="1">
        <w:r w:rsidRPr="00011C1B">
          <w:rPr>
            <w:rStyle w:val="Hyperlink"/>
          </w:rPr>
          <w:t>https://eur-lex.europa.eu/legal-content/EN/TXT/?uri=CELEX:52020DC0301</w:t>
        </w:r>
      </w:hyperlink>
      <w:r>
        <w:t xml:space="preserve"> – Zugegriffen: 15.05.2025. </w:t>
      </w:r>
    </w:p>
  </w:footnote>
  <w:footnote w:id="1476">
    <w:p w14:paraId="6F4ACE99" w14:textId="77777777" w:rsidR="00C406E5" w:rsidRDefault="00C406E5" w:rsidP="00C406E5">
      <w:pPr>
        <w:pStyle w:val="Funotentext"/>
      </w:pPr>
      <w:r>
        <w:rPr>
          <w:rStyle w:val="Funotenzeichen"/>
        </w:rPr>
        <w:footnoteRef/>
      </w:r>
      <w:r>
        <w:t xml:space="preserve"> Siehe: </w:t>
      </w:r>
      <w:hyperlink r:id="rId1158" w:history="1">
        <w:r w:rsidRPr="00E10A02">
          <w:rPr>
            <w:rStyle w:val="Hyperlink"/>
          </w:rPr>
          <w:t>https://research-and-innovation.ec.europa.eu/funding/funding-opportunities/funding-programmes-and-open-calls/horizon-europe_en</w:t>
        </w:r>
      </w:hyperlink>
      <w:r>
        <w:t xml:space="preserve"> . Zugegriffen: 13.06.2025.</w:t>
      </w:r>
    </w:p>
  </w:footnote>
  <w:footnote w:id="1477">
    <w:p w14:paraId="19DBDCB9" w14:textId="32FAC216" w:rsidR="00412A3E" w:rsidRDefault="00412A3E">
      <w:pPr>
        <w:pStyle w:val="Funotentext"/>
      </w:pPr>
      <w:r>
        <w:rPr>
          <w:rStyle w:val="Funotenzeichen"/>
        </w:rPr>
        <w:footnoteRef/>
      </w:r>
      <w:r>
        <w:t xml:space="preserve"> Siehe</w:t>
      </w:r>
      <w:r w:rsidR="007B64FD">
        <w:t xml:space="preserve"> hier die konsolidierte Fassung RED III</w:t>
      </w:r>
      <w:r>
        <w:t>:</w:t>
      </w:r>
      <w:r w:rsidR="007B64FD">
        <w:t xml:space="preserve"> </w:t>
      </w:r>
      <w:hyperlink r:id="rId1159" w:history="1">
        <w:r w:rsidR="007B64FD" w:rsidRPr="00530E42">
          <w:rPr>
            <w:rStyle w:val="Hyperlink"/>
          </w:rPr>
          <w:t>https://eur-lex.europa.eu/legal-content/EN/TXT/?uri=CELEX:02018L2001-20240716</w:t>
        </w:r>
      </w:hyperlink>
      <w:r w:rsidR="007B64FD">
        <w:t xml:space="preserve"> - siehe auch hier für die Änderungsrichtlinie:</w:t>
      </w:r>
      <w:r>
        <w:t xml:space="preserve"> </w:t>
      </w:r>
      <w:hyperlink r:id="rId1160" w:history="1">
        <w:r w:rsidRPr="00AA613D">
          <w:rPr>
            <w:rStyle w:val="Hyperlink"/>
          </w:rPr>
          <w:t>https://eur-lex.europa.eu/legal-content/DE/TXT/PDF/?uri=OJ:L_202302413</w:t>
        </w:r>
      </w:hyperlink>
      <w:r>
        <w:t xml:space="preserve"> – Zugegriffen: 21.07.2024.</w:t>
      </w:r>
    </w:p>
  </w:footnote>
  <w:footnote w:id="1478">
    <w:p w14:paraId="2F63CF71" w14:textId="77777777" w:rsidR="00E75DA5" w:rsidRDefault="00E75DA5" w:rsidP="00E75DA5">
      <w:pPr>
        <w:pStyle w:val="Funotentext"/>
      </w:pPr>
      <w:r>
        <w:rPr>
          <w:rStyle w:val="Funotenzeichen"/>
        </w:rPr>
        <w:footnoteRef/>
      </w:r>
      <w:r>
        <w:t xml:space="preserve"> Siehe hier die konsolidierte Fassung RED III: </w:t>
      </w:r>
      <w:hyperlink r:id="rId1161" w:history="1">
        <w:r w:rsidRPr="00530E42">
          <w:rPr>
            <w:rStyle w:val="Hyperlink"/>
          </w:rPr>
          <w:t>https://eur-lex.europa.eu/legal-content/EN/TXT/?uri=CELEX:02018L2001-20240716</w:t>
        </w:r>
      </w:hyperlink>
      <w:r>
        <w:t xml:space="preserve"> - siehe auch hier für die Änderungsrichtlinie: </w:t>
      </w:r>
      <w:hyperlink r:id="rId1162" w:history="1">
        <w:r w:rsidRPr="00AA613D">
          <w:rPr>
            <w:rStyle w:val="Hyperlink"/>
          </w:rPr>
          <w:t>https://eur-lex.europa.eu/legal-content/DE/TXT/PDF/?uri=OJ:L_202302413</w:t>
        </w:r>
      </w:hyperlink>
      <w:r>
        <w:t xml:space="preserve"> – Zugegriffen: 21.07.2024.</w:t>
      </w:r>
    </w:p>
  </w:footnote>
  <w:footnote w:id="1479">
    <w:p w14:paraId="0CF6C171" w14:textId="77777777" w:rsidR="00E75DA5" w:rsidRDefault="00E75DA5" w:rsidP="00E75DA5">
      <w:pPr>
        <w:pStyle w:val="Funotentext"/>
      </w:pPr>
      <w:r>
        <w:rPr>
          <w:rStyle w:val="Funotenzeichen"/>
        </w:rPr>
        <w:footnoteRef/>
      </w:r>
      <w:r>
        <w:t xml:space="preserve"> Siehe z.B. die Stellungnahme vom nationalen Wasserstoffrat Umsetzung RED III in nationales Recht, 1. März 2024: </w:t>
      </w:r>
      <w:hyperlink r:id="rId1163" w:history="1">
        <w:r w:rsidRPr="00DF0823">
          <w:rPr>
            <w:rStyle w:val="Hyperlink"/>
          </w:rPr>
          <w:t>https://www.wasserstoffrat.de/fileadmin/wasserstoffrat/media/Dokumente/2024/2024-03-01_NWR-Stellungnahme_Umsetzung_RED_III_Industriequote.pdf</w:t>
        </w:r>
      </w:hyperlink>
      <w:r>
        <w:t xml:space="preserve"> - Zugegriffen: 26.06.2025. </w:t>
      </w:r>
    </w:p>
  </w:footnote>
  <w:footnote w:id="1480">
    <w:p w14:paraId="727D868B" w14:textId="77777777" w:rsidR="006B132B" w:rsidRDefault="006B132B" w:rsidP="006B132B">
      <w:pPr>
        <w:pStyle w:val="Funotentext"/>
      </w:pPr>
      <w:r>
        <w:rPr>
          <w:rStyle w:val="Funotenzeichen"/>
        </w:rPr>
        <w:footnoteRef/>
      </w:r>
      <w:r>
        <w:t xml:space="preserve"> Siehe: </w:t>
      </w:r>
      <w:hyperlink r:id="rId1164" w:history="1">
        <w:r w:rsidRPr="000B5FAA">
          <w:rPr>
            <w:rStyle w:val="Hyperlink"/>
          </w:rPr>
          <w:t>https://eur-lex.europa.eu/legal-content/EN/TXT/?uri=uriserv:OJ.L_.2018.328.01.0082.01.ENG</w:t>
        </w:r>
      </w:hyperlink>
      <w:r>
        <w:t xml:space="preserve"> – Zugegriffen: 12.04.2025. </w:t>
      </w:r>
    </w:p>
  </w:footnote>
  <w:footnote w:id="1481">
    <w:p w14:paraId="332E4ACD" w14:textId="77777777" w:rsidR="00B07432" w:rsidRDefault="00B07432" w:rsidP="00B07432">
      <w:pPr>
        <w:pStyle w:val="Funotentext"/>
      </w:pPr>
      <w:r>
        <w:rPr>
          <w:rStyle w:val="Funotenzeichen"/>
        </w:rPr>
        <w:footnoteRef/>
      </w:r>
      <w:r>
        <w:t xml:space="preserve"> Siehe: </w:t>
      </w:r>
      <w:hyperlink r:id="rId1165" w:history="1">
        <w:r w:rsidRPr="00011C1B">
          <w:rPr>
            <w:rStyle w:val="Hyperlink"/>
          </w:rPr>
          <w:t>https://data.consilium.europa.eu/doc/document/ST-13188-2023-ADD-1-REV-3/DE/pdf</w:t>
        </w:r>
      </w:hyperlink>
      <w:r>
        <w:t xml:space="preserve"> - Zugegriffen: 15.05.2025. </w:t>
      </w:r>
    </w:p>
  </w:footnote>
  <w:footnote w:id="1482">
    <w:p w14:paraId="7736D8B5" w14:textId="698DC6A2" w:rsidR="00412A3E" w:rsidRDefault="00412A3E">
      <w:pPr>
        <w:pStyle w:val="Funotentext"/>
      </w:pPr>
      <w:r>
        <w:rPr>
          <w:rStyle w:val="Funotenzeichen"/>
        </w:rPr>
        <w:footnoteRef/>
      </w:r>
      <w:r>
        <w:t xml:space="preserve"> Siehe: </w:t>
      </w:r>
      <w:hyperlink r:id="rId1166" w:history="1">
        <w:r w:rsidRPr="00AA613D">
          <w:rPr>
            <w:rStyle w:val="Hyperlink"/>
          </w:rPr>
          <w:t>https://www.bundestag.de/presse/hib/kurzmeldungen-1001456</w:t>
        </w:r>
      </w:hyperlink>
      <w:r>
        <w:t xml:space="preserve"> - Zugegriffen: 21.07.2024. </w:t>
      </w:r>
    </w:p>
  </w:footnote>
  <w:footnote w:id="1483">
    <w:p w14:paraId="4B52AA0B" w14:textId="79729FAC" w:rsidR="00BC453E" w:rsidRDefault="00BC453E">
      <w:pPr>
        <w:pStyle w:val="Funotentext"/>
      </w:pPr>
      <w:r>
        <w:rPr>
          <w:rStyle w:val="Funotenzeichen"/>
        </w:rPr>
        <w:footnoteRef/>
      </w:r>
      <w:r>
        <w:t xml:space="preserve"> S. 37, ganz oben, ein etwas wirres Zitat, siehe </w:t>
      </w:r>
      <w:proofErr w:type="spellStart"/>
      <w:r>
        <w:t>Transitions</w:t>
      </w:r>
      <w:proofErr w:type="spellEnd"/>
      <w:r>
        <w:t xml:space="preserve"> </w:t>
      </w:r>
      <w:proofErr w:type="spellStart"/>
      <w:r>
        <w:t>Pathway</w:t>
      </w:r>
      <w:proofErr w:type="spellEnd"/>
      <w:r>
        <w:t xml:space="preserve"> </w:t>
      </w:r>
      <w:proofErr w:type="spellStart"/>
      <w:r>
        <w:t>for</w:t>
      </w:r>
      <w:proofErr w:type="spellEnd"/>
      <w:r>
        <w:t xml:space="preserve"> European </w:t>
      </w:r>
      <w:proofErr w:type="spellStart"/>
      <w:r>
        <w:t>Metal</w:t>
      </w:r>
      <w:proofErr w:type="spellEnd"/>
      <w:r>
        <w:t xml:space="preserve"> </w:t>
      </w:r>
      <w:proofErr w:type="spellStart"/>
      <w:r>
        <w:t>Sectors</w:t>
      </w:r>
      <w:proofErr w:type="spellEnd"/>
      <w:r>
        <w:t xml:space="preserve">, Dezember </w:t>
      </w:r>
      <w:proofErr w:type="gramStart"/>
      <w:r>
        <w:t>2024 :</w:t>
      </w:r>
      <w:proofErr w:type="gramEnd"/>
      <w:r>
        <w:t xml:space="preserve"> </w:t>
      </w:r>
      <w:hyperlink r:id="rId1167" w:history="1">
        <w:r w:rsidRPr="004D34B9">
          <w:rPr>
            <w:rStyle w:val="Hyperlink"/>
          </w:rPr>
          <w:t>https://single-market-economy.ec.europa.eu/document/download/fe4b7a0b-cfb9-49fd-9d37-139c1e23832d_en</w:t>
        </w:r>
      </w:hyperlink>
      <w:r>
        <w:t xml:space="preserve"> - Zugegriffen: 18.05.2025. </w:t>
      </w:r>
    </w:p>
  </w:footnote>
  <w:footnote w:id="1484">
    <w:p w14:paraId="1042481E" w14:textId="77148140" w:rsidR="00AB6B90" w:rsidRDefault="00AB6B90">
      <w:pPr>
        <w:pStyle w:val="Funotentext"/>
      </w:pPr>
      <w:r>
        <w:rPr>
          <w:rStyle w:val="Funotenzeichen"/>
        </w:rPr>
        <w:footnoteRef/>
      </w:r>
      <w:r>
        <w:t xml:space="preserve"> </w:t>
      </w:r>
      <w:proofErr w:type="gramStart"/>
      <w:r>
        <w:t>BDEW Pressemitteilung</w:t>
      </w:r>
      <w:proofErr w:type="gramEnd"/>
      <w:r>
        <w:t xml:space="preserve">, 21.05.2025: Siehe: </w:t>
      </w:r>
      <w:hyperlink r:id="rId1168" w:history="1">
        <w:r w:rsidRPr="00D72181">
          <w:rPr>
            <w:rStyle w:val="Hyperlink"/>
          </w:rPr>
          <w:t>https://www.bdew.de/presse/red-iii-zuegig-umsetzen-fadenriss-bei-genehmigungsbeschleunigung-vermeiden/</w:t>
        </w:r>
      </w:hyperlink>
      <w:r>
        <w:t xml:space="preserve"> - Zugegriffen: 27.05.2025. </w:t>
      </w:r>
    </w:p>
  </w:footnote>
  <w:footnote w:id="1485">
    <w:p w14:paraId="46DE9A9D" w14:textId="77777777" w:rsidR="00E75DA5" w:rsidRPr="008B6187" w:rsidRDefault="00E75DA5" w:rsidP="00E75DA5">
      <w:pPr>
        <w:pStyle w:val="Funotentext"/>
        <w:tabs>
          <w:tab w:val="left" w:pos="1005"/>
        </w:tabs>
        <w:rPr>
          <w:lang w:val="en-GB"/>
        </w:rPr>
      </w:pPr>
      <w:r>
        <w:rPr>
          <w:rStyle w:val="Funotenzeichen"/>
        </w:rPr>
        <w:footnoteRef/>
      </w:r>
      <w:r w:rsidRPr="008B6187">
        <w:rPr>
          <w:lang w:val="en-GB"/>
        </w:rPr>
        <w:t xml:space="preserve"> </w:t>
      </w:r>
      <w:proofErr w:type="spellStart"/>
      <w:r w:rsidRPr="008B6187">
        <w:rPr>
          <w:lang w:val="en-GB"/>
        </w:rPr>
        <w:t>Siehe</w:t>
      </w:r>
      <w:proofErr w:type="spellEnd"/>
      <w:r w:rsidRPr="008B6187">
        <w:rPr>
          <w:lang w:val="en-GB"/>
        </w:rPr>
        <w:t xml:space="preserve">: </w:t>
      </w:r>
      <w:r>
        <w:rPr>
          <w:lang w:val="en-GB"/>
        </w:rPr>
        <w:t>G</w:t>
      </w:r>
      <w:r w:rsidRPr="008B6187">
        <w:rPr>
          <w:lang w:val="en-GB"/>
        </w:rPr>
        <w:t>uidance on the targets for the consumption of renewable fuels of non-biological origin in the</w:t>
      </w:r>
    </w:p>
    <w:p w14:paraId="64DE477C" w14:textId="77777777" w:rsidR="00E75DA5" w:rsidRPr="008B6187" w:rsidRDefault="00E75DA5" w:rsidP="00E75DA5">
      <w:pPr>
        <w:pStyle w:val="Funotentext"/>
        <w:tabs>
          <w:tab w:val="left" w:pos="1005"/>
        </w:tabs>
        <w:rPr>
          <w:lang w:val="en-GB"/>
        </w:rPr>
      </w:pPr>
      <w:r w:rsidRPr="008B6187">
        <w:rPr>
          <w:lang w:val="en-GB"/>
        </w:rPr>
        <w:t>industry and transport sectors laid down in Articles 22a, 22b and 25 of Directive (EU) 2018/2001 on</w:t>
      </w:r>
    </w:p>
    <w:p w14:paraId="3E6940B4" w14:textId="77777777" w:rsidR="00E75DA5" w:rsidRPr="008B6187" w:rsidRDefault="00E75DA5" w:rsidP="00E75DA5">
      <w:pPr>
        <w:pStyle w:val="Funotentext"/>
        <w:tabs>
          <w:tab w:val="left" w:pos="1005"/>
        </w:tabs>
        <w:rPr>
          <w:lang w:val="en-GB"/>
        </w:rPr>
      </w:pPr>
      <w:r w:rsidRPr="008B6187">
        <w:rPr>
          <w:lang w:val="en-GB"/>
        </w:rPr>
        <w:t>the promotion of energy from renewable sources, as amended by Directive (EU) 2023/2413</w:t>
      </w:r>
      <w:r>
        <w:rPr>
          <w:lang w:val="en-GB"/>
        </w:rPr>
        <w:t xml:space="preserve">, </w:t>
      </w:r>
      <w:proofErr w:type="spellStart"/>
      <w:r>
        <w:rPr>
          <w:lang w:val="en-GB"/>
        </w:rPr>
        <w:t>siehe</w:t>
      </w:r>
      <w:proofErr w:type="spellEnd"/>
      <w:r>
        <w:rPr>
          <w:lang w:val="en-GB"/>
        </w:rPr>
        <w:t xml:space="preserve"> </w:t>
      </w:r>
      <w:proofErr w:type="spellStart"/>
      <w:r>
        <w:rPr>
          <w:lang w:val="en-GB"/>
        </w:rPr>
        <w:t>hier</w:t>
      </w:r>
      <w:proofErr w:type="spellEnd"/>
      <w:r>
        <w:rPr>
          <w:lang w:val="en-GB"/>
        </w:rPr>
        <w:t xml:space="preserve">: </w:t>
      </w:r>
      <w:hyperlink r:id="rId1169" w:history="1">
        <w:r w:rsidRPr="00DF0823">
          <w:rPr>
            <w:rStyle w:val="Hyperlink"/>
            <w:lang w:val="en-GB"/>
          </w:rPr>
          <w:t>https://eur-lex.europa.eu/legal-content/EN/TXT/PDF/?uri=OJ:C_202502983</w:t>
        </w:r>
      </w:hyperlink>
      <w:r>
        <w:rPr>
          <w:lang w:val="en-GB"/>
        </w:rPr>
        <w:t xml:space="preserve"> – </w:t>
      </w:r>
      <w:proofErr w:type="spellStart"/>
      <w:r>
        <w:rPr>
          <w:lang w:val="en-GB"/>
        </w:rPr>
        <w:t>Zugegriffen</w:t>
      </w:r>
      <w:proofErr w:type="spellEnd"/>
      <w:r>
        <w:rPr>
          <w:lang w:val="en-GB"/>
        </w:rPr>
        <w:t xml:space="preserve">: 26.06.2025. </w:t>
      </w:r>
      <w:r w:rsidRPr="008B6187">
        <w:rPr>
          <w:lang w:val="en-GB"/>
        </w:rPr>
        <w:tab/>
      </w:r>
    </w:p>
  </w:footnote>
  <w:footnote w:id="1486">
    <w:p w14:paraId="66E41F5E" w14:textId="77777777" w:rsidR="00E75DA5" w:rsidRDefault="00E75DA5" w:rsidP="00E75DA5">
      <w:pPr>
        <w:pStyle w:val="Funotentext"/>
      </w:pPr>
      <w:r>
        <w:rPr>
          <w:rStyle w:val="Funotenzeichen"/>
        </w:rPr>
        <w:footnoteRef/>
      </w:r>
      <w:r>
        <w:t xml:space="preserve"> Siehe die Antworten der Europäischen Kommission auf den Sonderbericht des europäischen Rechnungshofs zum Thema Wasserstoff: </w:t>
      </w:r>
      <w:hyperlink r:id="rId1170" w:history="1">
        <w:r w:rsidRPr="00DF0823">
          <w:rPr>
            <w:rStyle w:val="Hyperlink"/>
          </w:rPr>
          <w:t>https://www.eca.europa.eu/Lists/ECAReplies/COM-Replies-SR-2024-11/COM-Replies-SR-2024-11_DE.pdf</w:t>
        </w:r>
      </w:hyperlink>
      <w:r>
        <w:t xml:space="preserve"> - Zugegriffen: 26.06.2025. </w:t>
      </w:r>
    </w:p>
  </w:footnote>
  <w:footnote w:id="1487">
    <w:p w14:paraId="7A3E2C5E" w14:textId="7868BD43" w:rsidR="007B64FD" w:rsidRDefault="007B64FD">
      <w:pPr>
        <w:pStyle w:val="Funotentext"/>
      </w:pPr>
      <w:r>
        <w:rPr>
          <w:rStyle w:val="Funotenzeichen"/>
        </w:rPr>
        <w:footnoteRef/>
      </w:r>
      <w:r>
        <w:t xml:space="preserve"> Siehe Art. 8 in der konsolidierten Fassung RED III: </w:t>
      </w:r>
      <w:hyperlink r:id="rId1171" w:history="1">
        <w:r w:rsidRPr="00530E42">
          <w:rPr>
            <w:rStyle w:val="Hyperlink"/>
          </w:rPr>
          <w:t>https://eur-lex.europa.eu/legal-content/EN/TXT/?uri=CELEX:02018L2001-20240716</w:t>
        </w:r>
      </w:hyperlink>
    </w:p>
  </w:footnote>
  <w:footnote w:id="1488">
    <w:p w14:paraId="5DA069A7" w14:textId="0E384371" w:rsidR="007B64FD" w:rsidRDefault="007B64FD">
      <w:pPr>
        <w:pStyle w:val="Funotentext"/>
      </w:pPr>
      <w:r>
        <w:rPr>
          <w:rStyle w:val="Funotenzeichen"/>
        </w:rPr>
        <w:footnoteRef/>
      </w:r>
      <w:r>
        <w:t xml:space="preserve"> Siehe: </w:t>
      </w:r>
      <w:hyperlink r:id="rId1172" w:history="1">
        <w:r w:rsidRPr="00530E42">
          <w:rPr>
            <w:rStyle w:val="Hyperlink"/>
          </w:rPr>
          <w:t>https://union-renewables-development-platform.ec.europa.eu/</w:t>
        </w:r>
      </w:hyperlink>
      <w:r>
        <w:t xml:space="preserve"> </w:t>
      </w:r>
    </w:p>
  </w:footnote>
  <w:footnote w:id="1489">
    <w:p w14:paraId="4DBEE3C4" w14:textId="77777777" w:rsidR="002B4E77" w:rsidRPr="00C130F0" w:rsidRDefault="002B4E77" w:rsidP="002B4E77">
      <w:pPr>
        <w:pStyle w:val="Funotentext"/>
      </w:pPr>
      <w:r>
        <w:rPr>
          <w:rStyle w:val="Funotenzeichen"/>
        </w:rPr>
        <w:footnoteRef/>
      </w:r>
      <w:r w:rsidRPr="00C130F0">
        <w:t xml:space="preserve"> </w:t>
      </w:r>
      <w:r>
        <w:t xml:space="preserve">Siehe S. 83, </w:t>
      </w:r>
      <w:r w:rsidRPr="00C130F0">
        <w:t>IEA Energy Policy Report Finland 2023, sie</w:t>
      </w:r>
      <w:r>
        <w:t xml:space="preserve">he: </w:t>
      </w:r>
      <w:hyperlink r:id="rId1173" w:history="1">
        <w:r w:rsidRPr="00530E42">
          <w:rPr>
            <w:rStyle w:val="Hyperlink"/>
          </w:rPr>
          <w:t>https://iea.blob.core.windows.net/assets/07c88e41-c17b-4ea1-b35d-85dffd665de4/Finland2023-EnergyPolicyReview.pdf</w:t>
        </w:r>
      </w:hyperlink>
      <w:r>
        <w:t xml:space="preserve"> - Zugegriffen: 22.04.2025.</w:t>
      </w:r>
    </w:p>
  </w:footnote>
  <w:footnote w:id="1490">
    <w:p w14:paraId="30C4F365" w14:textId="77777777" w:rsidR="00112190" w:rsidRDefault="00112190" w:rsidP="00112190">
      <w:pPr>
        <w:pStyle w:val="Funotentext"/>
      </w:pPr>
      <w:r>
        <w:rPr>
          <w:rStyle w:val="Funotenzeichen"/>
        </w:rPr>
        <w:footnoteRef/>
      </w:r>
      <w:r>
        <w:t xml:space="preserve"> Auffindbar unten auf dieser Webseite: </w:t>
      </w:r>
      <w:hyperlink r:id="rId1174" w:history="1">
        <w:r w:rsidRPr="00D87BF7">
          <w:rPr>
            <w:rStyle w:val="Hyperlink"/>
          </w:rPr>
          <w:t>https://ec.europa.eu/info/law/better-regulation/have-your-say/initiatives/13338-EU-Strategie-fur-Solarenergie_de</w:t>
        </w:r>
      </w:hyperlink>
      <w:r>
        <w:t xml:space="preserve"> - Zugegriffen: 05.02.2024.</w:t>
      </w:r>
    </w:p>
  </w:footnote>
  <w:footnote w:id="1491">
    <w:p w14:paraId="0EBA2E08" w14:textId="77777777" w:rsidR="00112190" w:rsidRPr="00886D66" w:rsidRDefault="00112190" w:rsidP="00112190">
      <w:pPr>
        <w:pStyle w:val="Funotentext"/>
      </w:pPr>
      <w:r>
        <w:rPr>
          <w:rStyle w:val="Funotenzeichen"/>
        </w:rPr>
        <w:footnoteRef/>
      </w:r>
      <w:r w:rsidRPr="00886D66">
        <w:t xml:space="preserve"> European Solar PV Industry Alliance, ESIA, die von EIT </w:t>
      </w:r>
      <w:proofErr w:type="spellStart"/>
      <w:r w:rsidRPr="00886D66">
        <w:t>Inn</w:t>
      </w:r>
      <w:r>
        <w:t>oEnergy</w:t>
      </w:r>
      <w:proofErr w:type="spellEnd"/>
      <w:r>
        <w:t xml:space="preserve"> angeführt wird: </w:t>
      </w:r>
      <w:hyperlink r:id="rId1175" w:history="1">
        <w:r w:rsidRPr="00D87BF7">
          <w:rPr>
            <w:rStyle w:val="Hyperlink"/>
          </w:rPr>
          <w:t>https://solaralliance.eu/</w:t>
        </w:r>
      </w:hyperlink>
    </w:p>
  </w:footnote>
  <w:footnote w:id="1492">
    <w:p w14:paraId="17848F33" w14:textId="77777777" w:rsidR="00112190" w:rsidRDefault="00112190" w:rsidP="00112190">
      <w:pPr>
        <w:pStyle w:val="Funotentext"/>
      </w:pPr>
      <w:r>
        <w:rPr>
          <w:rStyle w:val="Funotenzeichen"/>
        </w:rPr>
        <w:footnoteRef/>
      </w:r>
      <w:r>
        <w:t xml:space="preserve"> Siehe: </w:t>
      </w:r>
      <w:hyperlink r:id="rId1176" w:history="1">
        <w:r w:rsidRPr="008D0F9C">
          <w:rPr>
            <w:rStyle w:val="Hyperlink"/>
          </w:rPr>
          <w:t>https://solaralliance.eu/</w:t>
        </w:r>
      </w:hyperlink>
      <w:r>
        <w:t xml:space="preserve"> - siehe auch: </w:t>
      </w:r>
      <w:hyperlink r:id="rId1177" w:history="1">
        <w:r w:rsidRPr="000E7EA9">
          <w:rPr>
            <w:rStyle w:val="Hyperlink"/>
          </w:rPr>
          <w:t>https://solaralliance.eu/projects/</w:t>
        </w:r>
      </w:hyperlink>
      <w:r w:rsidRPr="00211F50">
        <w:t xml:space="preserve"> </w:t>
      </w:r>
      <w:r>
        <w:t xml:space="preserve">- Zugegriffen: 24.02.2024. </w:t>
      </w:r>
    </w:p>
  </w:footnote>
  <w:footnote w:id="1493">
    <w:p w14:paraId="53764409" w14:textId="77777777" w:rsidR="00112190" w:rsidRDefault="00112190" w:rsidP="00112190">
      <w:pPr>
        <w:pStyle w:val="Funotentext"/>
      </w:pPr>
      <w:r>
        <w:rPr>
          <w:rStyle w:val="Funotenzeichen"/>
        </w:rPr>
        <w:footnoteRef/>
      </w:r>
      <w:r>
        <w:t xml:space="preserve"> Siehe: </w:t>
      </w:r>
      <w:hyperlink r:id="rId1178" w:history="1">
        <w:r w:rsidRPr="00372C9A">
          <w:rPr>
            <w:rStyle w:val="Hyperlink"/>
          </w:rPr>
          <w:t>https://ec.europa.eu/commission/presscorner/detail/en/ip_22_6495</w:t>
        </w:r>
      </w:hyperlink>
      <w:r>
        <w:t xml:space="preserve"> - Zugegriffen: 26.12.2023. </w:t>
      </w:r>
    </w:p>
  </w:footnote>
  <w:footnote w:id="1494">
    <w:p w14:paraId="7B1CE30F" w14:textId="77777777" w:rsidR="00112190" w:rsidRDefault="00112190" w:rsidP="00112190">
      <w:pPr>
        <w:pStyle w:val="Funotentext"/>
      </w:pPr>
      <w:r>
        <w:rPr>
          <w:rStyle w:val="Funotenzeichen"/>
        </w:rPr>
        <w:footnoteRef/>
      </w:r>
      <w:r>
        <w:t xml:space="preserve"> Siehe: </w:t>
      </w:r>
      <w:hyperlink r:id="rId1179" w:history="1">
        <w:r w:rsidRPr="00372C9A">
          <w:rPr>
            <w:rStyle w:val="Hyperlink"/>
          </w:rPr>
          <w:t>https://ec.europa.eu/commission/presscorner/detail/en/ip_22_7156</w:t>
        </w:r>
      </w:hyperlink>
      <w:r>
        <w:t xml:space="preserve"> - Zugegriffen: 26.12.2023.</w:t>
      </w:r>
    </w:p>
  </w:footnote>
  <w:footnote w:id="1495">
    <w:p w14:paraId="1E3FB5D4" w14:textId="77777777" w:rsidR="00112190" w:rsidRDefault="00112190" w:rsidP="00112190">
      <w:pPr>
        <w:pStyle w:val="Funotentext"/>
      </w:pPr>
      <w:r>
        <w:rPr>
          <w:rStyle w:val="Funotenzeichen"/>
        </w:rPr>
        <w:footnoteRef/>
      </w:r>
      <w:r>
        <w:t xml:space="preserve"> VO (EU) 2022/2577, 22. Dezember 2022: Artikel 3, Überwiegendes öffentliches Interesse, (1) Für die Zwecke des Artikels 6 Absatz 4 und des Artikels 16 Absatz 1 Buchstabe c der Richtlinie 92/43/EWG des Rates (5), des Artikels 4 Absatz 7 der Richtlinie 2000/60/EG des Europäischen Parlaments und des Rates (6) und des Artikels 9 Absatz 1 Buchstabe a der Richtlinie 2009/147/EG des Europäischen Parlaments und des Rates (7) wird bei der Abwägung rechtlicher Interessen im Einzelfall angenommen, dass die Planung, der Bau und der Betrieb von Anlagen und Einrichtungen zur Erzeugung von Energie aus erneuerbaren Quellen sowie ihr Netzanschluss, das betreffende Netz selbst und die Speicheranlagen im überwiegenden öffentlichen Interesse liegen und der öffentlichen Gesundheit und Sicherheit dienen. Die Mitgliedstaaten können die Anwendung dieser Bestimmungen im Einklang mit den Prioritäten ihrer integrierten nationalen Energie- und Klimapläne auf bestimmte Teile ihres Hoheitsgebiets sowie auf bestimmte Arten von Technologien oder Projekten mit bestimmten technischen Eigenschaften beschränken.(2) Die Mitgliedstaaten stellen zumindest bei Projekten, die als Projekte von überwiegendem öffentlichen Interesse anerkannt wurden, sicher, dass im Verfahren zur Planung und Genehmigungserteilung der Bau und Betrieb von Anlagen und Einrichtungen zur Erzeugung von Energie aus erneuerbaren Quellen und der damit verbundene Ausbau der Netzinfrastruktur bei der fallweisen Abwägung der Rechtsinteressen Priorität erhalten. In Bezug auf den Artenschutz findet der vorstehende Satz nur Anwendung, wenn und soweit geeignete Artenschutzmaßnahmen, die zur Erhaltung oder Wiederherstellung eines günstigen Erhaltungszustands der Populationen der Art beitragen, ergriffen werden und für diesen Zweck ausreichende Finanzmittel und Flächen bereitgestellt werden. Siehe: </w:t>
      </w:r>
      <w:hyperlink r:id="rId1180" w:history="1">
        <w:r w:rsidRPr="0040586F">
          <w:rPr>
            <w:rStyle w:val="Hyperlink"/>
          </w:rPr>
          <w:t>https://eur-lex.europa.eu/legal-content/DE/TXT/?uri=CELEX:32022R2577</w:t>
        </w:r>
      </w:hyperlink>
      <w:r>
        <w:t xml:space="preserve"> – Zugegriffen: 09.02.2014. </w:t>
      </w:r>
    </w:p>
  </w:footnote>
  <w:footnote w:id="1496">
    <w:p w14:paraId="0D2F57C4" w14:textId="77777777" w:rsidR="00112190" w:rsidRDefault="00112190" w:rsidP="00112190">
      <w:pPr>
        <w:pStyle w:val="Funotentext"/>
      </w:pPr>
      <w:r>
        <w:rPr>
          <w:rStyle w:val="Funotenzeichen"/>
        </w:rPr>
        <w:footnoteRef/>
      </w:r>
      <w:r>
        <w:t xml:space="preserve"> COM (2023) 62 final. Siehe: </w:t>
      </w:r>
      <w:hyperlink r:id="rId1181" w:history="1">
        <w:r w:rsidRPr="000700D9">
          <w:rPr>
            <w:rStyle w:val="Hyperlink"/>
          </w:rPr>
          <w:t>https://commission.europa.eu/system/files/2023-02/COM_2023_62_2_EN_ACT_A%20Green%20Deal%20Industrial%20Plan%20for%20the%20Net-Zero%20Age.pdf</w:t>
        </w:r>
      </w:hyperlink>
      <w:r>
        <w:t xml:space="preserve"> – Zugegriffen: 29.12.2023. </w:t>
      </w:r>
    </w:p>
  </w:footnote>
  <w:footnote w:id="1497">
    <w:p w14:paraId="6C46B432" w14:textId="77777777" w:rsidR="00112190" w:rsidRDefault="00112190" w:rsidP="00112190">
      <w:pPr>
        <w:pStyle w:val="Funotentext"/>
      </w:pPr>
      <w:r>
        <w:rPr>
          <w:rStyle w:val="Funotenzeichen"/>
        </w:rPr>
        <w:footnoteRef/>
      </w:r>
      <w:r>
        <w:t xml:space="preserve"> COM (2023) 161 final. Es gehören aber noch weitere Dokumente dazu: </w:t>
      </w:r>
      <w:hyperlink r:id="rId1182" w:history="1">
        <w:r w:rsidRPr="000700D9">
          <w:rPr>
            <w:rStyle w:val="Hyperlink"/>
          </w:rPr>
          <w:t>https://single-market-economy.ec.europa.eu/publications/net-zero-industry-act_en</w:t>
        </w:r>
      </w:hyperlink>
      <w:r>
        <w:t xml:space="preserve"> - Zugegriffen: 29.12.2023.</w:t>
      </w:r>
    </w:p>
  </w:footnote>
  <w:footnote w:id="1498">
    <w:p w14:paraId="6F7BD2A1" w14:textId="77777777" w:rsidR="00112190" w:rsidRDefault="00112190" w:rsidP="00112190">
      <w:pPr>
        <w:pStyle w:val="Funotentext"/>
      </w:pPr>
      <w:r>
        <w:rPr>
          <w:rStyle w:val="Funotenzeichen"/>
        </w:rPr>
        <w:footnoteRef/>
      </w:r>
      <w:r>
        <w:t xml:space="preserve"> Siehe: </w:t>
      </w:r>
      <w:hyperlink r:id="rId1183" w:history="1">
        <w:r w:rsidRPr="00372C9A">
          <w:rPr>
            <w:rStyle w:val="Hyperlink"/>
          </w:rPr>
          <w:t>https://ec.europa.eu/commission/presscorner/detail/en/ip_23_510</w:t>
        </w:r>
      </w:hyperlink>
      <w:r>
        <w:t xml:space="preserve"> - Zugegriffen: 26.12.2023. </w:t>
      </w:r>
    </w:p>
  </w:footnote>
  <w:footnote w:id="1499">
    <w:p w14:paraId="34C108DB" w14:textId="3C46FD7E" w:rsidR="00391065" w:rsidRPr="00391065" w:rsidRDefault="00391065">
      <w:pPr>
        <w:pStyle w:val="Funotentext"/>
      </w:pPr>
      <w:r>
        <w:rPr>
          <w:rStyle w:val="Funotenzeichen"/>
        </w:rPr>
        <w:footnoteRef/>
      </w:r>
      <w:r w:rsidRPr="00391065">
        <w:t xml:space="preserve"> Siehe: </w:t>
      </w:r>
      <w:hyperlink r:id="rId1184" w:history="1">
        <w:r w:rsidRPr="00391065">
          <w:rPr>
            <w:rStyle w:val="Hyperlink"/>
          </w:rPr>
          <w:t>https://single-market-economy.ec.europa.eu/sectors/raw-materials/areas-specific-interest/critical-raw-materials/critical-raw-materials-act_en</w:t>
        </w:r>
      </w:hyperlink>
      <w:r w:rsidRPr="00391065">
        <w:t xml:space="preserve"> </w:t>
      </w:r>
      <w:r>
        <w:t xml:space="preserve">- Zugegriffen: 18.05.2025. </w:t>
      </w:r>
    </w:p>
  </w:footnote>
  <w:footnote w:id="1500">
    <w:p w14:paraId="204D0BD7" w14:textId="07693061" w:rsidR="0082736C" w:rsidRPr="0082736C" w:rsidRDefault="0082736C">
      <w:pPr>
        <w:pStyle w:val="Funotentext"/>
      </w:pPr>
      <w:r>
        <w:rPr>
          <w:rStyle w:val="Funotenzeichen"/>
        </w:rPr>
        <w:footnoteRef/>
      </w:r>
      <w:r w:rsidRPr="0082736C">
        <w:t xml:space="preserve"> </w:t>
      </w:r>
      <w:r>
        <w:t>S. 13, s</w:t>
      </w:r>
      <w:r w:rsidRPr="0082736C">
        <w:t xml:space="preserve">iehe: </w:t>
      </w:r>
      <w:hyperlink r:id="rId1185" w:history="1">
        <w:r w:rsidRPr="0082736C">
          <w:rPr>
            <w:rStyle w:val="Hyperlink"/>
          </w:rPr>
          <w:t>https://transport.ec.europa.eu/document/download/89b3143e-09b6-4ae6-a826-932b90ed0816_en?filename=Communication%20-%20Action%20Plan.pdf</w:t>
        </w:r>
      </w:hyperlink>
      <w:r w:rsidRPr="0082736C">
        <w:t xml:space="preserve"> </w:t>
      </w:r>
      <w:r>
        <w:t xml:space="preserve">– 15.05.2025. </w:t>
      </w:r>
    </w:p>
  </w:footnote>
  <w:footnote w:id="1501">
    <w:p w14:paraId="76891CB6" w14:textId="4107DE76" w:rsidR="00FB1957" w:rsidRPr="00FB1957" w:rsidRDefault="00292598" w:rsidP="00FB1957">
      <w:pPr>
        <w:pStyle w:val="Funotentext"/>
      </w:pPr>
      <w:r>
        <w:rPr>
          <w:rStyle w:val="Funotenzeichen"/>
        </w:rPr>
        <w:footnoteRef/>
      </w:r>
      <w:r w:rsidRPr="00601FCC">
        <w:t xml:space="preserve"> SWD (2023) 219 final. </w:t>
      </w:r>
      <w:r w:rsidRPr="00E876E0">
        <w:t>Sie</w:t>
      </w:r>
      <w:r>
        <w:t>he</w:t>
      </w:r>
      <w:r w:rsidRPr="00E876E0">
        <w:t xml:space="preserve">: </w:t>
      </w:r>
      <w:hyperlink r:id="rId1186" w:history="1">
        <w:r w:rsidRPr="000700D9">
          <w:rPr>
            <w:rStyle w:val="Hyperlink"/>
          </w:rPr>
          <w:t>https://single-market-economy.ec.europa.eu/system/files/2023-06/SWD_2023_219_F1_STAFF_WORKING_PAPER_EN_V9_P1_2785109.PDF</w:t>
        </w:r>
      </w:hyperlink>
      <w:r>
        <w:t xml:space="preserve"> - Zugegriffen: 29.12.2023. </w:t>
      </w:r>
      <w:r w:rsidR="00FB1957" w:rsidRPr="00FB1957">
        <w:t xml:space="preserve">Im Annex </w:t>
      </w:r>
      <w:proofErr w:type="spellStart"/>
      <w:r w:rsidR="00FB1957" w:rsidRPr="00FB1957">
        <w:t>warden</w:t>
      </w:r>
      <w:proofErr w:type="spellEnd"/>
      <w:r w:rsidR="00FB1957" w:rsidRPr="00FB1957">
        <w:t xml:space="preserve"> die folgenden Technologien genannt: </w:t>
      </w:r>
      <w:r w:rsidR="00FB1957">
        <w:t xml:space="preserve">Anhang Strategische Netto-Null-Technologien: </w:t>
      </w:r>
      <w:r w:rsidR="00FB1957" w:rsidRPr="00FB1957">
        <w:t>1. Fotovoltaik- und solarthermische</w:t>
      </w:r>
      <w:r w:rsidR="00FB1957">
        <w:t xml:space="preserve"> </w:t>
      </w:r>
      <w:r w:rsidR="00FB1957" w:rsidRPr="00FB1957">
        <w:t>Technologien</w:t>
      </w:r>
      <w:r w:rsidR="00FB1957">
        <w:t xml:space="preserve">; </w:t>
      </w:r>
      <w:r w:rsidR="00FB1957" w:rsidRPr="00FB1957">
        <w:t xml:space="preserve">2. </w:t>
      </w:r>
      <w:proofErr w:type="spellStart"/>
      <w:r w:rsidR="00FB1957" w:rsidRPr="00FB1957">
        <w:t>Onshore</w:t>
      </w:r>
      <w:proofErr w:type="spellEnd"/>
      <w:r w:rsidR="00FB1957" w:rsidRPr="00FB1957">
        <w:t>-Windkraft- und erneuerbare</w:t>
      </w:r>
      <w:r w:rsidR="00FB1957">
        <w:t xml:space="preserve"> </w:t>
      </w:r>
      <w:r w:rsidR="00FB1957" w:rsidRPr="00FB1957">
        <w:t>Offshore-Technologien</w:t>
      </w:r>
      <w:r w:rsidR="00FB1957">
        <w:t xml:space="preserve">; </w:t>
      </w:r>
      <w:r w:rsidR="00FB1957" w:rsidRPr="00FB1957">
        <w:t>3. Batterie-/Speichertechnologien</w:t>
      </w:r>
      <w:r w:rsidR="00FB1957">
        <w:t xml:space="preserve">; </w:t>
      </w:r>
      <w:r w:rsidR="00FB1957" w:rsidRPr="00FB1957">
        <w:t>4. Wärmepumpen und Technologien für</w:t>
      </w:r>
      <w:r w:rsidR="00FB1957">
        <w:t xml:space="preserve"> </w:t>
      </w:r>
      <w:r w:rsidR="00FB1957" w:rsidRPr="00FB1957">
        <w:t>geothermische Energie</w:t>
      </w:r>
      <w:r w:rsidR="00FB1957">
        <w:t xml:space="preserve">; </w:t>
      </w:r>
      <w:r w:rsidR="00FB1957" w:rsidRPr="00FB1957">
        <w:t>5. Elektrolyseure und Brennstoffzellen</w:t>
      </w:r>
      <w:r w:rsidR="00FB1957">
        <w:t xml:space="preserve">; </w:t>
      </w:r>
      <w:r w:rsidR="00FB1957" w:rsidRPr="00FB1957">
        <w:t>6. Nachhaltige Biogas-/Biomethantechnologien</w:t>
      </w:r>
      <w:r w:rsidR="00FB1957">
        <w:t xml:space="preserve">; </w:t>
      </w:r>
      <w:r w:rsidR="00FB1957" w:rsidRPr="00FB1957">
        <w:t>7. Technologien zur CO2-Abscheidung</w:t>
      </w:r>
    </w:p>
    <w:p w14:paraId="7A8B1AF5" w14:textId="467B41C8" w:rsidR="00292598" w:rsidRPr="00FB1957" w:rsidRDefault="00FB1957" w:rsidP="00FB1957">
      <w:pPr>
        <w:pStyle w:val="Funotentext"/>
      </w:pPr>
      <w:r w:rsidRPr="00FB1957">
        <w:t>und -speicherung (CCS)</w:t>
      </w:r>
      <w:r>
        <w:t xml:space="preserve">; </w:t>
      </w:r>
      <w:r w:rsidRPr="00FB1957">
        <w:t xml:space="preserve">8. </w:t>
      </w:r>
      <w:proofErr w:type="spellStart"/>
      <w:r w:rsidRPr="00FB1957">
        <w:t>Grid</w:t>
      </w:r>
      <w:proofErr w:type="spellEnd"/>
      <w:r w:rsidRPr="00FB1957">
        <w:t>-Technologien</w:t>
      </w:r>
      <w:r>
        <w:t xml:space="preserve">. Siehe: </w:t>
      </w:r>
      <w:hyperlink r:id="rId1187" w:history="1">
        <w:r w:rsidRPr="00CD5BBA">
          <w:rPr>
            <w:rStyle w:val="Hyperlink"/>
          </w:rPr>
          <w:t>https://eur-lex.europa.eu/resource.html?uri=cellar:6448c360-c4dd-11ed-a05c-01aa75ed71a1.0003.02/DOC_2&amp;format=PDF</w:t>
        </w:r>
      </w:hyperlink>
      <w:r>
        <w:t xml:space="preserve"> – Zugegriffen: 26.06.2024. </w:t>
      </w:r>
    </w:p>
  </w:footnote>
  <w:footnote w:id="1502">
    <w:p w14:paraId="2C1FF45D" w14:textId="3750C489" w:rsidR="00292598" w:rsidRDefault="00292598">
      <w:pPr>
        <w:pStyle w:val="Funotentext"/>
      </w:pPr>
      <w:r>
        <w:rPr>
          <w:rStyle w:val="Funotenzeichen"/>
        </w:rPr>
        <w:footnoteRef/>
      </w:r>
      <w:r w:rsidRPr="00292598">
        <w:rPr>
          <w:lang w:val="en-GB"/>
        </w:rPr>
        <w:t xml:space="preserve"> NZIA Staff Working Document 2023, </w:t>
      </w:r>
      <w:proofErr w:type="spellStart"/>
      <w:r w:rsidRPr="00292598">
        <w:rPr>
          <w:lang w:val="en-GB"/>
        </w:rPr>
        <w:t>siehe</w:t>
      </w:r>
      <w:proofErr w:type="spellEnd"/>
      <w:r w:rsidRPr="00292598">
        <w:rPr>
          <w:lang w:val="en-GB"/>
        </w:rPr>
        <w:t xml:space="preserve">: SWD (2023) 68 final. </w:t>
      </w:r>
      <w:r w:rsidRPr="00292598">
        <w:t xml:space="preserve">Siehe: </w:t>
      </w:r>
      <w:hyperlink r:id="rId1188" w:history="1">
        <w:r w:rsidRPr="00292598">
          <w:rPr>
            <w:rStyle w:val="Hyperlink"/>
          </w:rPr>
          <w:t>https://single-market-economy.ec.europa.eu/system/files/2023-03/SWD_2023_68_F1_STAFF_WORKING_PAPER_EN_V4_P1_2629849.PDF</w:t>
        </w:r>
      </w:hyperlink>
      <w:r w:rsidRPr="00292598">
        <w:t xml:space="preserve"> - Zugegriffen: 29.12.2023.</w:t>
      </w:r>
    </w:p>
  </w:footnote>
  <w:footnote w:id="1503">
    <w:p w14:paraId="189AB196" w14:textId="28F625D3" w:rsidR="00112190" w:rsidRPr="007265D4" w:rsidRDefault="00112190" w:rsidP="00112190">
      <w:pPr>
        <w:pStyle w:val="Funotentext"/>
      </w:pPr>
      <w:r>
        <w:rPr>
          <w:rStyle w:val="Funotenzeichen"/>
        </w:rPr>
        <w:footnoteRef/>
      </w:r>
      <w:r w:rsidRPr="007265D4">
        <w:t xml:space="preserve"> SWD (2023) 219 final, S. 32-33.</w:t>
      </w:r>
    </w:p>
  </w:footnote>
  <w:footnote w:id="1504">
    <w:p w14:paraId="35BE104E" w14:textId="604E1DFE" w:rsidR="007265D4" w:rsidRPr="003F6D2D" w:rsidRDefault="007265D4" w:rsidP="007265D4">
      <w:pPr>
        <w:pStyle w:val="Funotentext"/>
      </w:pPr>
      <w:r>
        <w:rPr>
          <w:rStyle w:val="Funotenzeichen"/>
        </w:rPr>
        <w:footnoteRef/>
      </w:r>
      <w:r w:rsidRPr="003F6D2D">
        <w:t xml:space="preserve"> COM (2023) 161 final.</w:t>
      </w:r>
      <w:r>
        <w:t>, 16.03.2023, S. 26, siehe</w:t>
      </w:r>
      <w:r w:rsidRPr="003F6D2D">
        <w:t xml:space="preserve">: </w:t>
      </w:r>
      <w:hyperlink r:id="rId1189" w:history="1">
        <w:r w:rsidRPr="00961075">
          <w:rPr>
            <w:rStyle w:val="Hyperlink"/>
          </w:rPr>
          <w:t>https://single-market-economy.ec.europa.eu/publications/net-zero-industry-act_en</w:t>
        </w:r>
      </w:hyperlink>
      <w:r w:rsidRPr="003F6D2D">
        <w:t xml:space="preserve"> - Zugegriffen: 29.12.2023.</w:t>
      </w:r>
    </w:p>
  </w:footnote>
  <w:footnote w:id="1505">
    <w:p w14:paraId="019B96B2" w14:textId="77777777" w:rsidR="00112190" w:rsidRPr="00886D66" w:rsidRDefault="00112190" w:rsidP="00112190">
      <w:pPr>
        <w:pStyle w:val="Funotentext"/>
      </w:pPr>
      <w:r>
        <w:rPr>
          <w:rStyle w:val="Funotenzeichen"/>
        </w:rPr>
        <w:footnoteRef/>
      </w:r>
      <w:r w:rsidRPr="00886D66">
        <w:t xml:space="preserve"> European Solar PV Industry Alliance, ESIA, die von EIT </w:t>
      </w:r>
      <w:proofErr w:type="spellStart"/>
      <w:r w:rsidRPr="00886D66">
        <w:t>Inn</w:t>
      </w:r>
      <w:r>
        <w:t>oEnergy</w:t>
      </w:r>
      <w:proofErr w:type="spellEnd"/>
      <w:r>
        <w:t xml:space="preserve"> angeführt wird: </w:t>
      </w:r>
      <w:hyperlink r:id="rId1190" w:history="1">
        <w:r w:rsidRPr="00D87BF7">
          <w:rPr>
            <w:rStyle w:val="Hyperlink"/>
          </w:rPr>
          <w:t>https://solaralliance.eu/</w:t>
        </w:r>
      </w:hyperlink>
    </w:p>
  </w:footnote>
  <w:footnote w:id="1506">
    <w:p w14:paraId="48F0DDEA" w14:textId="77777777" w:rsidR="00112190" w:rsidRPr="00BB76AC" w:rsidRDefault="00112190" w:rsidP="00112190">
      <w:pPr>
        <w:pStyle w:val="Funotentext"/>
        <w:rPr>
          <w:lang w:val="en-GB"/>
        </w:rPr>
      </w:pPr>
      <w:r>
        <w:rPr>
          <w:rStyle w:val="Funotenzeichen"/>
        </w:rPr>
        <w:footnoteRef/>
      </w:r>
      <w:r w:rsidRPr="00BB76AC">
        <w:rPr>
          <w:lang w:val="en-GB"/>
        </w:rPr>
        <w:t xml:space="preserve"> COM (2023) 161 final, S. 82. </w:t>
      </w:r>
    </w:p>
  </w:footnote>
  <w:footnote w:id="1507">
    <w:p w14:paraId="5B7E3D23" w14:textId="4A008976" w:rsidR="00112190" w:rsidRPr="00855316" w:rsidRDefault="00112190" w:rsidP="00112190">
      <w:pPr>
        <w:pStyle w:val="Funotentext"/>
      </w:pPr>
      <w:r>
        <w:rPr>
          <w:rStyle w:val="Funotenzeichen"/>
        </w:rPr>
        <w:footnoteRef/>
      </w:r>
      <w:r w:rsidR="00525820">
        <w:rPr>
          <w:lang w:val="en-GB"/>
        </w:rPr>
        <w:t xml:space="preserve"> NZIA Staff Working Document 2023, </w:t>
      </w:r>
      <w:proofErr w:type="spellStart"/>
      <w:r w:rsidR="00525820">
        <w:rPr>
          <w:lang w:val="en-GB"/>
        </w:rPr>
        <w:t>siehe</w:t>
      </w:r>
      <w:proofErr w:type="spellEnd"/>
      <w:r w:rsidR="00525820">
        <w:rPr>
          <w:lang w:val="en-GB"/>
        </w:rPr>
        <w:t>:</w:t>
      </w:r>
      <w:r w:rsidRPr="00BB76AC">
        <w:rPr>
          <w:lang w:val="en-GB"/>
        </w:rPr>
        <w:t xml:space="preserve"> </w:t>
      </w:r>
      <w:bookmarkStart w:id="74" w:name="_Hlk170299475"/>
      <w:r w:rsidRPr="00BB76AC">
        <w:rPr>
          <w:lang w:val="en-GB"/>
        </w:rPr>
        <w:t xml:space="preserve">SWD (2023) 68 final. </w:t>
      </w:r>
      <w:r w:rsidRPr="00855316">
        <w:t xml:space="preserve">Siehe: </w:t>
      </w:r>
      <w:hyperlink r:id="rId1191" w:history="1">
        <w:r w:rsidRPr="00855316">
          <w:rPr>
            <w:rStyle w:val="Hyperlink"/>
          </w:rPr>
          <w:t>https://single-market-economy.ec.europa.eu/system/files/2023-03/SWD_2023_68_F1_STAFF_WORKING_PAPER_EN_V4_P1_2629849.PDF</w:t>
        </w:r>
      </w:hyperlink>
      <w:r w:rsidRPr="00855316">
        <w:t xml:space="preserve"> </w:t>
      </w:r>
      <w:r>
        <w:t xml:space="preserve">- Zugegriffen: 29.12.2023. </w:t>
      </w:r>
    </w:p>
    <w:bookmarkEnd w:id="74"/>
  </w:footnote>
  <w:footnote w:id="1508">
    <w:p w14:paraId="4D862936" w14:textId="12FFB844" w:rsidR="007265D4" w:rsidRPr="00C61815" w:rsidRDefault="007265D4" w:rsidP="007265D4">
      <w:pPr>
        <w:pStyle w:val="Funotentext"/>
        <w:rPr>
          <w:lang w:val="en-GB"/>
        </w:rPr>
      </w:pPr>
      <w:r>
        <w:rPr>
          <w:rStyle w:val="Funotenzeichen"/>
        </w:rPr>
        <w:footnoteRef/>
      </w:r>
      <w:r w:rsidRPr="00C61815">
        <w:rPr>
          <w:lang w:val="en-GB"/>
        </w:rPr>
        <w:t xml:space="preserve"> NZIA Staff Working Document 2023: 20</w:t>
      </w:r>
      <w:r w:rsidR="00196DAB" w:rsidRPr="00C61815">
        <w:rPr>
          <w:lang w:val="en-GB"/>
        </w:rPr>
        <w:t>-21.</w:t>
      </w:r>
    </w:p>
  </w:footnote>
  <w:footnote w:id="1509">
    <w:p w14:paraId="241DFE5F" w14:textId="555F29F7" w:rsidR="00196DAB" w:rsidRPr="00196DAB" w:rsidRDefault="00196DAB">
      <w:pPr>
        <w:pStyle w:val="Funotentext"/>
        <w:rPr>
          <w:lang w:val="en-GB"/>
        </w:rPr>
      </w:pPr>
      <w:r>
        <w:rPr>
          <w:rStyle w:val="Funotenzeichen"/>
        </w:rPr>
        <w:footnoteRef/>
      </w:r>
      <w:r w:rsidRPr="00196DAB">
        <w:rPr>
          <w:lang w:val="en-GB"/>
        </w:rPr>
        <w:t xml:space="preserve"> NZIA Staff Working Document 2023: </w:t>
      </w:r>
      <w:r>
        <w:rPr>
          <w:lang w:val="en-GB"/>
        </w:rPr>
        <w:t>24.</w:t>
      </w:r>
    </w:p>
  </w:footnote>
  <w:footnote w:id="1510">
    <w:p w14:paraId="57612610" w14:textId="3ED9DBE5" w:rsidR="00196DAB" w:rsidRPr="00196DAB" w:rsidRDefault="00196DAB">
      <w:pPr>
        <w:pStyle w:val="Funotentext"/>
        <w:rPr>
          <w:lang w:val="en-GB"/>
        </w:rPr>
      </w:pPr>
      <w:r>
        <w:rPr>
          <w:rStyle w:val="Funotenzeichen"/>
        </w:rPr>
        <w:footnoteRef/>
      </w:r>
      <w:r w:rsidRPr="00196DAB">
        <w:rPr>
          <w:lang w:val="en-GB"/>
        </w:rPr>
        <w:t xml:space="preserve"> NZIA Staff Working Document 2023</w:t>
      </w:r>
      <w:r>
        <w:rPr>
          <w:lang w:val="en-GB"/>
        </w:rPr>
        <w:t>: 24.</w:t>
      </w:r>
    </w:p>
  </w:footnote>
  <w:footnote w:id="1511">
    <w:p w14:paraId="4F86885A" w14:textId="6F99951E" w:rsidR="00AF1BE7" w:rsidRPr="00AF1BE7" w:rsidRDefault="00AF1BE7">
      <w:pPr>
        <w:pStyle w:val="Funotentext"/>
        <w:rPr>
          <w:lang w:val="en-GB"/>
        </w:rPr>
      </w:pPr>
      <w:r>
        <w:rPr>
          <w:rStyle w:val="Funotenzeichen"/>
        </w:rPr>
        <w:footnoteRef/>
      </w:r>
      <w:r w:rsidRPr="00AF1BE7">
        <w:rPr>
          <w:lang w:val="en-GB"/>
        </w:rPr>
        <w:t xml:space="preserve"> </w:t>
      </w:r>
      <w:proofErr w:type="spellStart"/>
      <w:r w:rsidRPr="00AF1BE7">
        <w:rPr>
          <w:lang w:val="en-GB"/>
        </w:rPr>
        <w:t>Siehe</w:t>
      </w:r>
      <w:proofErr w:type="spellEnd"/>
      <w:r w:rsidRPr="00AF1BE7">
        <w:rPr>
          <w:lang w:val="en-GB"/>
        </w:rPr>
        <w:t xml:space="preserve"> die </w:t>
      </w:r>
      <w:proofErr w:type="spellStart"/>
      <w:r w:rsidRPr="00AF1BE7">
        <w:rPr>
          <w:lang w:val="en-GB"/>
        </w:rPr>
        <w:t>folgende</w:t>
      </w:r>
      <w:proofErr w:type="spellEnd"/>
      <w:r w:rsidRPr="00AF1BE7">
        <w:rPr>
          <w:lang w:val="en-GB"/>
        </w:rPr>
        <w:t xml:space="preserve"> </w:t>
      </w:r>
      <w:proofErr w:type="spellStart"/>
      <w:r w:rsidRPr="00AF1BE7">
        <w:rPr>
          <w:lang w:val="en-GB"/>
        </w:rPr>
        <w:t>Webseite</w:t>
      </w:r>
      <w:proofErr w:type="spellEnd"/>
      <w:r w:rsidRPr="00AF1BE7">
        <w:rPr>
          <w:lang w:val="en-GB"/>
        </w:rPr>
        <w:t xml:space="preserve"> Securing America’s Clean Energy Supply Chain, Office of Policy</w:t>
      </w:r>
      <w:r>
        <w:rPr>
          <w:lang w:val="en-GB"/>
        </w:rPr>
        <w:t xml:space="preserve">, </w:t>
      </w:r>
      <w:proofErr w:type="spellStart"/>
      <w:r>
        <w:rPr>
          <w:lang w:val="en-GB"/>
        </w:rPr>
        <w:t>mit</w:t>
      </w:r>
      <w:proofErr w:type="spellEnd"/>
      <w:r>
        <w:rPr>
          <w:lang w:val="en-GB"/>
        </w:rPr>
        <w:t xml:space="preserve"> 13 </w:t>
      </w:r>
      <w:proofErr w:type="spellStart"/>
      <w:r>
        <w:rPr>
          <w:lang w:val="en-GB"/>
        </w:rPr>
        <w:t>Berichten</w:t>
      </w:r>
      <w:proofErr w:type="spellEnd"/>
      <w:r w:rsidRPr="00AF1BE7">
        <w:rPr>
          <w:lang w:val="en-GB"/>
        </w:rPr>
        <w:t xml:space="preserve">: </w:t>
      </w:r>
      <w:hyperlink r:id="rId1192" w:history="1">
        <w:r w:rsidRPr="00AF1BE7">
          <w:rPr>
            <w:rStyle w:val="Hyperlink"/>
            <w:lang w:val="en-GB"/>
          </w:rPr>
          <w:t>https://www.energy.gov/policy/securing-americas-clean-energy-supply-chain</w:t>
        </w:r>
      </w:hyperlink>
      <w:r w:rsidRPr="00AF1BE7">
        <w:rPr>
          <w:lang w:val="en-GB"/>
        </w:rPr>
        <w:t xml:space="preserve"> - </w:t>
      </w:r>
      <w:proofErr w:type="spellStart"/>
      <w:r w:rsidRPr="00AF1BE7">
        <w:rPr>
          <w:lang w:val="en-GB"/>
        </w:rPr>
        <w:t>Zugegriffen</w:t>
      </w:r>
      <w:proofErr w:type="spellEnd"/>
      <w:r w:rsidRPr="00AF1BE7">
        <w:rPr>
          <w:lang w:val="en-GB"/>
        </w:rPr>
        <w:t xml:space="preserve">: 14.07.2024. </w:t>
      </w:r>
    </w:p>
  </w:footnote>
  <w:footnote w:id="1512">
    <w:p w14:paraId="59EACA09" w14:textId="64A17F32" w:rsidR="00126E56" w:rsidRPr="00126E56" w:rsidRDefault="00126E56">
      <w:pPr>
        <w:pStyle w:val="Funotentext"/>
      </w:pPr>
      <w:r>
        <w:rPr>
          <w:rStyle w:val="Funotenzeichen"/>
        </w:rPr>
        <w:footnoteRef/>
      </w:r>
      <w:r w:rsidRPr="00126E56">
        <w:t xml:space="preserve"> Siehe: </w:t>
      </w:r>
      <w:hyperlink r:id="rId1193" w:history="1">
        <w:r w:rsidRPr="007C682A">
          <w:rPr>
            <w:rStyle w:val="Hyperlink"/>
          </w:rPr>
          <w:t>https://setis.ec.europa.eu/publications-and-documents/clean-energy-technology-observatory_en</w:t>
        </w:r>
      </w:hyperlink>
      <w:r>
        <w:t xml:space="preserve"> - Zugegriffen: 15.05.2025. </w:t>
      </w:r>
    </w:p>
  </w:footnote>
  <w:footnote w:id="1513">
    <w:p w14:paraId="4D14D01A" w14:textId="77777777" w:rsidR="00AF1BE7" w:rsidRPr="00292598" w:rsidRDefault="00AF1BE7" w:rsidP="00AF1BE7">
      <w:pPr>
        <w:pStyle w:val="Funotentext"/>
      </w:pPr>
      <w:r>
        <w:rPr>
          <w:rStyle w:val="Funotenzeichen"/>
        </w:rPr>
        <w:footnoteRef/>
      </w:r>
      <w:r w:rsidRPr="003042FA">
        <w:t xml:space="preserve"> IEA. Energy Technology </w:t>
      </w:r>
      <w:proofErr w:type="spellStart"/>
      <w:r w:rsidRPr="003042FA">
        <w:t>Perspectives</w:t>
      </w:r>
      <w:proofErr w:type="spellEnd"/>
      <w:r w:rsidRPr="003042FA">
        <w:t xml:space="preserve">, 2023. </w:t>
      </w:r>
      <w:r w:rsidRPr="00292598">
        <w:t xml:space="preserve">URL: </w:t>
      </w:r>
      <w:hyperlink r:id="rId1194" w:history="1">
        <w:r w:rsidRPr="00292598">
          <w:rPr>
            <w:rStyle w:val="Hyperlink"/>
          </w:rPr>
          <w:t>https://iea.blob.core.windows.net/assets/a86b480e-2b03-4e25-bae1-da1395e0b620/EnergyTechnologyPerspectives2023.pdf</w:t>
        </w:r>
      </w:hyperlink>
      <w:r w:rsidRPr="00292598">
        <w:t xml:space="preserve"> - Zugegriffen: 30.01.2024.</w:t>
      </w:r>
      <w:r>
        <w:t xml:space="preserve"> </w:t>
      </w:r>
    </w:p>
  </w:footnote>
  <w:footnote w:id="1514">
    <w:p w14:paraId="52A95893" w14:textId="4A9D8637" w:rsidR="00525820" w:rsidRPr="00AF1BE7" w:rsidRDefault="00525820">
      <w:pPr>
        <w:pStyle w:val="Funotentext"/>
      </w:pPr>
      <w:r>
        <w:rPr>
          <w:rStyle w:val="Funotenzeichen"/>
        </w:rPr>
        <w:footnoteRef/>
      </w:r>
      <w:r w:rsidRPr="00AF1BE7">
        <w:t xml:space="preserve"> </w:t>
      </w:r>
      <w:r w:rsidR="00D03188" w:rsidRPr="00AF1BE7">
        <w:t xml:space="preserve">Infos aus den folgenden Publikationen: NZIA Staff Working </w:t>
      </w:r>
      <w:proofErr w:type="spellStart"/>
      <w:r w:rsidR="00D03188" w:rsidRPr="00AF1BE7">
        <w:t>Document</w:t>
      </w:r>
      <w:proofErr w:type="spellEnd"/>
      <w:r w:rsidR="00D03188" w:rsidRPr="00AF1BE7">
        <w:t xml:space="preserve"> 2023; </w:t>
      </w:r>
    </w:p>
  </w:footnote>
  <w:footnote w:id="1515">
    <w:p w14:paraId="782502CB" w14:textId="4C7B4518" w:rsidR="00FB1957" w:rsidRPr="000F0F3E" w:rsidRDefault="00FB1957">
      <w:pPr>
        <w:pStyle w:val="Funotentext"/>
      </w:pPr>
      <w:r>
        <w:rPr>
          <w:rStyle w:val="Funotenzeichen"/>
        </w:rPr>
        <w:footnoteRef/>
      </w:r>
      <w:r w:rsidRPr="000F0F3E">
        <w:t xml:space="preserve"> NZIA Staff Working </w:t>
      </w:r>
      <w:proofErr w:type="spellStart"/>
      <w:r w:rsidRPr="000F0F3E">
        <w:t>Document</w:t>
      </w:r>
      <w:proofErr w:type="spellEnd"/>
      <w:r w:rsidRPr="000F0F3E">
        <w:t xml:space="preserve"> 2023: 18.</w:t>
      </w:r>
    </w:p>
  </w:footnote>
  <w:footnote w:id="1516">
    <w:p w14:paraId="2E112C53" w14:textId="146B50AB" w:rsidR="003F6D2D" w:rsidRPr="000F0F3E" w:rsidRDefault="003F6D2D">
      <w:pPr>
        <w:pStyle w:val="Funotentext"/>
      </w:pPr>
      <w:r>
        <w:rPr>
          <w:rStyle w:val="Funotenzeichen"/>
        </w:rPr>
        <w:footnoteRef/>
      </w:r>
      <w:r w:rsidRPr="000F0F3E">
        <w:t xml:space="preserve"> COM (2023) 161 final., 16.03.2023, S. 25, siehe: https://single-market-economy.ec.europa.eu/publications/net-zero-industry-act_en - Zugegriffen: 29.12.2023.</w:t>
      </w:r>
    </w:p>
  </w:footnote>
  <w:footnote w:id="1517">
    <w:p w14:paraId="0821B85A" w14:textId="02234AEB" w:rsidR="00627A77" w:rsidRPr="00AF228A" w:rsidRDefault="00627A77">
      <w:pPr>
        <w:pStyle w:val="Funotentext"/>
        <w:rPr>
          <w:lang w:val="en-GB"/>
        </w:rPr>
      </w:pPr>
      <w:r>
        <w:rPr>
          <w:rStyle w:val="Funotenzeichen"/>
        </w:rPr>
        <w:footnoteRef/>
      </w:r>
      <w:r w:rsidRPr="00AF228A">
        <w:rPr>
          <w:lang w:val="en-GB"/>
        </w:rPr>
        <w:t xml:space="preserve"> NZIA Staff Working Document 2023: 59.</w:t>
      </w:r>
    </w:p>
  </w:footnote>
  <w:footnote w:id="1518">
    <w:p w14:paraId="06783587" w14:textId="61F40BC7" w:rsidR="00B77DBF" w:rsidRDefault="00B77DBF">
      <w:pPr>
        <w:pStyle w:val="Funotentext"/>
      </w:pPr>
      <w:r>
        <w:rPr>
          <w:rStyle w:val="Funotenzeichen"/>
        </w:rPr>
        <w:footnoteRef/>
      </w:r>
      <w:r w:rsidRPr="00AF228A">
        <w:rPr>
          <w:lang w:val="en-GB"/>
        </w:rPr>
        <w:t xml:space="preserve"> 20.000 MT in Tennessee. </w:t>
      </w:r>
      <w:r>
        <w:t xml:space="preserve">Die U.S. Polysilizium Produktion ist nicht ausgelastet, weil China 2014 Zölle auf die U.S. Exporte auferlegt hat. </w:t>
      </w:r>
      <w:r w:rsidR="00246FF3">
        <w:t>DOE Solar 2022</w:t>
      </w:r>
      <w:r>
        <w:t>: 28.</w:t>
      </w:r>
    </w:p>
  </w:footnote>
  <w:footnote w:id="1519">
    <w:p w14:paraId="76B289CC" w14:textId="256180D4" w:rsidR="00420FEF" w:rsidRPr="00B56739" w:rsidRDefault="00420FEF">
      <w:pPr>
        <w:pStyle w:val="Funotentext"/>
      </w:pPr>
      <w:r>
        <w:rPr>
          <w:rStyle w:val="Funotenzeichen"/>
        </w:rPr>
        <w:footnoteRef/>
      </w:r>
      <w:r w:rsidRPr="00B56739">
        <w:t xml:space="preserve"> </w:t>
      </w:r>
      <w:r w:rsidR="00B56739" w:rsidRPr="00B56739">
        <w:t>Wacker Chemie hat einen St</w:t>
      </w:r>
      <w:r w:rsidR="00B56739">
        <w:t xml:space="preserve">romverbrauch von 6 TWh pro Jahr, 1,2 % des deutschen Verbrauchs. D.h. die Polysilizium Herstellung ist stromintensiv. </w:t>
      </w:r>
      <w:r w:rsidRPr="00B56739">
        <w:t xml:space="preserve">NZIA Staff Working </w:t>
      </w:r>
      <w:proofErr w:type="spellStart"/>
      <w:r w:rsidRPr="00B56739">
        <w:t>Document</w:t>
      </w:r>
      <w:proofErr w:type="spellEnd"/>
      <w:r w:rsidRPr="00B56739">
        <w:t xml:space="preserve"> 2023: 59.</w:t>
      </w:r>
    </w:p>
  </w:footnote>
  <w:footnote w:id="1520">
    <w:p w14:paraId="2F9983AA" w14:textId="6623BC81" w:rsidR="00346978" w:rsidRDefault="00346978">
      <w:pPr>
        <w:pStyle w:val="Funotentext"/>
      </w:pPr>
      <w:r>
        <w:rPr>
          <w:rStyle w:val="Funotenzeichen"/>
        </w:rPr>
        <w:footnoteRef/>
      </w:r>
      <w:r>
        <w:t xml:space="preserve"> Siehe: </w:t>
      </w:r>
      <w:hyperlink r:id="rId1195" w:history="1">
        <w:r w:rsidRPr="00907554">
          <w:rPr>
            <w:rStyle w:val="Hyperlink"/>
          </w:rPr>
          <w:t>https://www.energy.gov/eere/solar/solar-manufacturing</w:t>
        </w:r>
      </w:hyperlink>
      <w:r>
        <w:t xml:space="preserve"> - Zugegriffen: 14.07.2024. </w:t>
      </w:r>
    </w:p>
  </w:footnote>
  <w:footnote w:id="1521">
    <w:p w14:paraId="0B396943" w14:textId="6BFE412E" w:rsidR="00346978" w:rsidRDefault="00346978">
      <w:pPr>
        <w:pStyle w:val="Funotentext"/>
      </w:pPr>
      <w:r>
        <w:rPr>
          <w:rStyle w:val="Funotenzeichen"/>
        </w:rPr>
        <w:footnoteRef/>
      </w:r>
      <w:r>
        <w:t xml:space="preserve"> </w:t>
      </w:r>
      <w:r w:rsidR="00246FF3">
        <w:t>DOE Solar 2022</w:t>
      </w:r>
      <w:r w:rsidR="00337325">
        <w:t xml:space="preserve">, </w:t>
      </w:r>
      <w:bookmarkStart w:id="79" w:name="_Hlk172394534"/>
      <w:r w:rsidR="00337325">
        <w:t>s</w:t>
      </w:r>
      <w:r>
        <w:t xml:space="preserve">iehe: </w:t>
      </w:r>
      <w:hyperlink r:id="rId1196" w:history="1">
        <w:r w:rsidRPr="00907554">
          <w:rPr>
            <w:rStyle w:val="Hyperlink"/>
          </w:rPr>
          <w:t>https://www.energy.gov/sites/default/files/2022-02/Solar%20Energy%20Supply%20Chain%20Report%20-%20Final.pdf</w:t>
        </w:r>
      </w:hyperlink>
      <w:r>
        <w:t xml:space="preserve"> – Zugegriffen: 14.07.2024. </w:t>
      </w:r>
    </w:p>
    <w:bookmarkEnd w:id="79"/>
  </w:footnote>
  <w:footnote w:id="1522">
    <w:p w14:paraId="5A53046F" w14:textId="0F96E4D5" w:rsidR="00025CD2" w:rsidRPr="00F769C8" w:rsidRDefault="00025CD2">
      <w:pPr>
        <w:pStyle w:val="Funotentext"/>
        <w:rPr>
          <w:lang w:val="nl-NL"/>
        </w:rPr>
      </w:pPr>
      <w:r>
        <w:rPr>
          <w:rStyle w:val="Funotenzeichen"/>
        </w:rPr>
        <w:footnoteRef/>
      </w:r>
      <w:r w:rsidRPr="00F769C8">
        <w:rPr>
          <w:lang w:val="nl-NL"/>
        </w:rPr>
        <w:t xml:space="preserve"> </w:t>
      </w:r>
      <w:r w:rsidR="00246FF3" w:rsidRPr="00F769C8">
        <w:rPr>
          <w:lang w:val="nl-NL"/>
        </w:rPr>
        <w:t>DOE Solar 2022</w:t>
      </w:r>
      <w:r w:rsidRPr="00F769C8">
        <w:rPr>
          <w:lang w:val="nl-NL"/>
        </w:rPr>
        <w:t>: 34.</w:t>
      </w:r>
    </w:p>
  </w:footnote>
  <w:footnote w:id="1523">
    <w:p w14:paraId="7F39FA7D" w14:textId="2A1133EB" w:rsidR="00025CD2" w:rsidRPr="00F769C8" w:rsidRDefault="00025CD2">
      <w:pPr>
        <w:pStyle w:val="Funotentext"/>
        <w:rPr>
          <w:lang w:val="nl-NL"/>
        </w:rPr>
      </w:pPr>
      <w:r>
        <w:rPr>
          <w:rStyle w:val="Funotenzeichen"/>
        </w:rPr>
        <w:footnoteRef/>
      </w:r>
      <w:r w:rsidRPr="00F769C8">
        <w:rPr>
          <w:lang w:val="nl-NL"/>
        </w:rPr>
        <w:t xml:space="preserve"> </w:t>
      </w:r>
      <w:r w:rsidR="00246FF3" w:rsidRPr="00F769C8">
        <w:rPr>
          <w:lang w:val="nl-NL"/>
        </w:rPr>
        <w:t>DOE Solar 2022</w:t>
      </w:r>
      <w:r w:rsidRPr="00F769C8">
        <w:rPr>
          <w:lang w:val="nl-NL"/>
        </w:rPr>
        <w:t>: 42.</w:t>
      </w:r>
    </w:p>
  </w:footnote>
  <w:footnote w:id="1524">
    <w:p w14:paraId="0EEED066" w14:textId="6803EDD4" w:rsidR="000B05A3" w:rsidRPr="00F769C8" w:rsidRDefault="000B05A3">
      <w:pPr>
        <w:pStyle w:val="Funotentext"/>
        <w:rPr>
          <w:lang w:val="nl-NL"/>
        </w:rPr>
      </w:pPr>
      <w:r>
        <w:rPr>
          <w:rStyle w:val="Funotenzeichen"/>
        </w:rPr>
        <w:footnoteRef/>
      </w:r>
      <w:r w:rsidRPr="00F769C8">
        <w:rPr>
          <w:lang w:val="nl-NL"/>
        </w:rPr>
        <w:t xml:space="preserve"> </w:t>
      </w:r>
      <w:r w:rsidR="00246FF3" w:rsidRPr="00F769C8">
        <w:rPr>
          <w:lang w:val="nl-NL"/>
        </w:rPr>
        <w:t>DOE Solar 2022</w:t>
      </w:r>
      <w:r w:rsidR="00E12BF7" w:rsidRPr="00F769C8">
        <w:rPr>
          <w:lang w:val="nl-NL"/>
        </w:rPr>
        <w:t>: 4-5.</w:t>
      </w:r>
    </w:p>
  </w:footnote>
  <w:footnote w:id="1525">
    <w:p w14:paraId="174E01E5" w14:textId="1D8EC5CA" w:rsidR="000B05A3" w:rsidRPr="00A5368C" w:rsidRDefault="000B05A3">
      <w:pPr>
        <w:pStyle w:val="Funotentext"/>
      </w:pPr>
      <w:r>
        <w:rPr>
          <w:rStyle w:val="Funotenzeichen"/>
        </w:rPr>
        <w:footnoteRef/>
      </w:r>
      <w:r w:rsidRPr="00A5368C">
        <w:t xml:space="preserve"> </w:t>
      </w:r>
      <w:r w:rsidR="00246FF3" w:rsidRPr="00A5368C">
        <w:t>DOE Solar 2022</w:t>
      </w:r>
      <w:r w:rsidRPr="00A5368C">
        <w:t>: 8.</w:t>
      </w:r>
    </w:p>
  </w:footnote>
  <w:footnote w:id="1526">
    <w:p w14:paraId="4EAAEFD3" w14:textId="4B2584C4" w:rsidR="00635E0D" w:rsidRPr="00A5368C" w:rsidRDefault="00635E0D" w:rsidP="00635E0D">
      <w:pPr>
        <w:pStyle w:val="Funotentext"/>
      </w:pPr>
      <w:r>
        <w:rPr>
          <w:rStyle w:val="Funotenzeichen"/>
        </w:rPr>
        <w:footnoteRef/>
      </w:r>
      <w:r w:rsidRPr="00A5368C">
        <w:t xml:space="preserve"> </w:t>
      </w:r>
      <w:r w:rsidR="00246FF3" w:rsidRPr="00A5368C">
        <w:t>DOE Solar 2022</w:t>
      </w:r>
      <w:r w:rsidRPr="00A5368C">
        <w:t>: 10-11.</w:t>
      </w:r>
    </w:p>
  </w:footnote>
  <w:footnote w:id="1527">
    <w:p w14:paraId="34DAF882" w14:textId="77777777" w:rsidR="00987CEC" w:rsidRPr="00635E0D" w:rsidRDefault="00987CEC" w:rsidP="00987CEC">
      <w:pPr>
        <w:pStyle w:val="Funotentext"/>
      </w:pPr>
      <w:r>
        <w:rPr>
          <w:rStyle w:val="Funotenzeichen"/>
        </w:rPr>
        <w:footnoteRef/>
      </w:r>
      <w:r w:rsidRPr="00635E0D">
        <w:t xml:space="preserve"> China bringt der Welt Licht und Schatten. </w:t>
      </w:r>
      <w:r>
        <w:t>Die Konzerne produzieren günstig und zerstören Konkurrenz – nun straucheln sie. FAZ, 05.07.2024.</w:t>
      </w:r>
      <w:r w:rsidRPr="00635E0D">
        <w:t xml:space="preserve"> </w:t>
      </w:r>
    </w:p>
  </w:footnote>
  <w:footnote w:id="1528">
    <w:p w14:paraId="0DF323B3" w14:textId="0D500A3C" w:rsidR="00A8257C" w:rsidRPr="00AF228A" w:rsidRDefault="00A8257C">
      <w:pPr>
        <w:pStyle w:val="Funotentext"/>
      </w:pPr>
      <w:r>
        <w:rPr>
          <w:rStyle w:val="Funotenzeichen"/>
        </w:rPr>
        <w:footnoteRef/>
      </w:r>
      <w:r w:rsidRPr="00AF228A">
        <w:t xml:space="preserve"> </w:t>
      </w:r>
      <w:r w:rsidR="00C40217" w:rsidRPr="00AF228A">
        <w:t>Hermanns 2020: 129.</w:t>
      </w:r>
    </w:p>
  </w:footnote>
  <w:footnote w:id="1529">
    <w:p w14:paraId="305398EF" w14:textId="592A8DC7" w:rsidR="00337325" w:rsidRPr="00AF228A" w:rsidRDefault="00337325">
      <w:pPr>
        <w:pStyle w:val="Funotentext"/>
      </w:pPr>
      <w:r>
        <w:rPr>
          <w:rStyle w:val="Funotenzeichen"/>
        </w:rPr>
        <w:footnoteRef/>
      </w:r>
      <w:r w:rsidRPr="00AF228A">
        <w:t xml:space="preserve"> </w:t>
      </w:r>
      <w:r w:rsidR="00246FF3">
        <w:t>DOE SOLAR 2022</w:t>
      </w:r>
      <w:r w:rsidR="0048693F" w:rsidRPr="00AF228A">
        <w:t>: 29.</w:t>
      </w:r>
    </w:p>
  </w:footnote>
  <w:footnote w:id="1530">
    <w:p w14:paraId="6092BA91" w14:textId="1EAF5DDB" w:rsidR="008462D6" w:rsidRPr="00AF228A" w:rsidRDefault="008462D6">
      <w:pPr>
        <w:pStyle w:val="Funotentext"/>
      </w:pPr>
      <w:r>
        <w:rPr>
          <w:rStyle w:val="Funotenzeichen"/>
        </w:rPr>
        <w:footnoteRef/>
      </w:r>
      <w:r w:rsidRPr="00AF228A">
        <w:t xml:space="preserve"> NZIA Staff Working </w:t>
      </w:r>
      <w:proofErr w:type="spellStart"/>
      <w:r w:rsidRPr="00AF228A">
        <w:t>Document</w:t>
      </w:r>
      <w:proofErr w:type="spellEnd"/>
      <w:r w:rsidRPr="00AF228A">
        <w:t xml:space="preserve"> 2023: 11.</w:t>
      </w:r>
    </w:p>
  </w:footnote>
  <w:footnote w:id="1531">
    <w:p w14:paraId="18E030EA" w14:textId="71DDB584" w:rsidR="00311E23" w:rsidRDefault="00311E23" w:rsidP="00311E23">
      <w:pPr>
        <w:pStyle w:val="Funotentext"/>
      </w:pPr>
      <w:r>
        <w:rPr>
          <w:rStyle w:val="Funotenzeichen"/>
        </w:rPr>
        <w:footnoteRef/>
      </w:r>
      <w:r>
        <w:t xml:space="preserve"> </w:t>
      </w:r>
      <w:r w:rsidR="0048693F">
        <w:t xml:space="preserve">Die Hälfte der globalen Kapazität wird in nur 5 Fabriken produziert, zwischen 2000 und 2010 hat die chinesische Industrie mit Hilfe der Regierung 50 Mrd. in diesen Industriezweig investiert. </w:t>
      </w:r>
      <w:r w:rsidR="00246FF3">
        <w:t>DOE SOLAR 2022</w:t>
      </w:r>
      <w:r w:rsidR="00B77DBF">
        <w:t xml:space="preserve">: 31. </w:t>
      </w:r>
      <w:r>
        <w:t xml:space="preserve">Siehe: </w:t>
      </w:r>
      <w:hyperlink r:id="rId1197" w:history="1">
        <w:r w:rsidRPr="00907554">
          <w:rPr>
            <w:rStyle w:val="Hyperlink"/>
          </w:rPr>
          <w:t>https://www.energy.gov/sites/default/files/2022-02/Solar%20Energy%20Supply%20Chain%20Report%20-%20Final.pdf</w:t>
        </w:r>
      </w:hyperlink>
      <w:r>
        <w:t xml:space="preserve"> – Zugegriffen: 14.07.2024. </w:t>
      </w:r>
    </w:p>
  </w:footnote>
  <w:footnote w:id="1532">
    <w:p w14:paraId="74F64750" w14:textId="774A61DD" w:rsidR="0048693F" w:rsidRPr="00025CD2" w:rsidRDefault="0048693F">
      <w:pPr>
        <w:pStyle w:val="Funotentext"/>
        <w:rPr>
          <w:lang w:val="nl-NL"/>
        </w:rPr>
      </w:pPr>
      <w:r>
        <w:rPr>
          <w:rStyle w:val="Funotenzeichen"/>
        </w:rPr>
        <w:footnoteRef/>
      </w:r>
      <w:r w:rsidRPr="00025CD2">
        <w:rPr>
          <w:lang w:val="nl-NL"/>
        </w:rPr>
        <w:t xml:space="preserve"> </w:t>
      </w:r>
      <w:r w:rsidR="00246FF3">
        <w:rPr>
          <w:lang w:val="nl-NL"/>
        </w:rPr>
        <w:t>DOE Solar 2022</w:t>
      </w:r>
      <w:r w:rsidRPr="00025CD2">
        <w:rPr>
          <w:lang w:val="nl-NL"/>
        </w:rPr>
        <w:t>: 40.</w:t>
      </w:r>
    </w:p>
  </w:footnote>
  <w:footnote w:id="1533">
    <w:p w14:paraId="2D9945EB" w14:textId="56FCF4D9" w:rsidR="00965EB0" w:rsidRPr="00AF228A" w:rsidRDefault="00965EB0">
      <w:pPr>
        <w:pStyle w:val="Funotentext"/>
        <w:rPr>
          <w:lang w:val="nl-NL"/>
        </w:rPr>
      </w:pPr>
      <w:r>
        <w:rPr>
          <w:rStyle w:val="Funotenzeichen"/>
        </w:rPr>
        <w:footnoteRef/>
      </w:r>
      <w:r w:rsidRPr="00AF228A">
        <w:rPr>
          <w:lang w:val="nl-NL"/>
        </w:rPr>
        <w:t xml:space="preserve"> </w:t>
      </w:r>
      <w:r w:rsidR="00246FF3">
        <w:rPr>
          <w:lang w:val="nl-NL"/>
        </w:rPr>
        <w:t>DOE Solar 2022</w:t>
      </w:r>
      <w:r w:rsidR="003863F6" w:rsidRPr="00AF228A">
        <w:rPr>
          <w:lang w:val="nl-NL"/>
        </w:rPr>
        <w:t>: 42.</w:t>
      </w:r>
    </w:p>
  </w:footnote>
  <w:footnote w:id="1534">
    <w:p w14:paraId="1606206B" w14:textId="2D7C1477" w:rsidR="0048693F" w:rsidRPr="00635E0D" w:rsidRDefault="0048693F">
      <w:pPr>
        <w:pStyle w:val="Funotentext"/>
        <w:rPr>
          <w:lang w:val="nl-NL"/>
        </w:rPr>
      </w:pPr>
      <w:r>
        <w:rPr>
          <w:rStyle w:val="Funotenzeichen"/>
        </w:rPr>
        <w:footnoteRef/>
      </w:r>
      <w:r w:rsidRPr="00635E0D">
        <w:rPr>
          <w:lang w:val="nl-NL"/>
        </w:rPr>
        <w:t xml:space="preserve"> </w:t>
      </w:r>
      <w:r w:rsidR="00246FF3">
        <w:rPr>
          <w:lang w:val="nl-NL"/>
        </w:rPr>
        <w:t>DOE Solar 2022</w:t>
      </w:r>
      <w:r w:rsidR="000B05A3" w:rsidRPr="00635E0D">
        <w:rPr>
          <w:lang w:val="nl-NL"/>
        </w:rPr>
        <w:t>: 5</w:t>
      </w:r>
      <w:r w:rsidR="00965EB0" w:rsidRPr="00635E0D">
        <w:rPr>
          <w:lang w:val="nl-NL"/>
        </w:rPr>
        <w:t>, 42.</w:t>
      </w:r>
    </w:p>
  </w:footnote>
  <w:footnote w:id="1535">
    <w:p w14:paraId="4034311E" w14:textId="11666FB2" w:rsidR="003863F6" w:rsidRPr="00635E0D" w:rsidRDefault="003863F6">
      <w:pPr>
        <w:pStyle w:val="Funotentext"/>
        <w:rPr>
          <w:lang w:val="nl-NL"/>
        </w:rPr>
      </w:pPr>
      <w:r>
        <w:rPr>
          <w:rStyle w:val="Funotenzeichen"/>
        </w:rPr>
        <w:footnoteRef/>
      </w:r>
      <w:r w:rsidRPr="00635E0D">
        <w:rPr>
          <w:lang w:val="nl-NL"/>
        </w:rPr>
        <w:t xml:space="preserve"> </w:t>
      </w:r>
      <w:r w:rsidR="00246FF3">
        <w:rPr>
          <w:lang w:val="nl-NL"/>
        </w:rPr>
        <w:t>DOE Solar 2022</w:t>
      </w:r>
      <w:r w:rsidRPr="00635E0D">
        <w:rPr>
          <w:lang w:val="nl-NL"/>
        </w:rPr>
        <w:t>: 42.</w:t>
      </w:r>
    </w:p>
  </w:footnote>
  <w:footnote w:id="1536">
    <w:p w14:paraId="3FC34FBC" w14:textId="65E1F511" w:rsidR="003863F6" w:rsidRPr="00635E0D" w:rsidRDefault="003863F6">
      <w:pPr>
        <w:pStyle w:val="Funotentext"/>
        <w:rPr>
          <w:lang w:val="nl-NL"/>
        </w:rPr>
      </w:pPr>
      <w:r>
        <w:rPr>
          <w:rStyle w:val="Funotenzeichen"/>
        </w:rPr>
        <w:footnoteRef/>
      </w:r>
      <w:r w:rsidRPr="00635E0D">
        <w:rPr>
          <w:lang w:val="nl-NL"/>
        </w:rPr>
        <w:t xml:space="preserve"> </w:t>
      </w:r>
      <w:r w:rsidR="00246FF3">
        <w:rPr>
          <w:lang w:val="nl-NL"/>
        </w:rPr>
        <w:t>DOE Solar 2022</w:t>
      </w:r>
      <w:r w:rsidRPr="00635E0D">
        <w:rPr>
          <w:lang w:val="nl-NL"/>
        </w:rPr>
        <w:t>: 49.</w:t>
      </w:r>
    </w:p>
  </w:footnote>
  <w:footnote w:id="1537">
    <w:p w14:paraId="33590052" w14:textId="0F162129" w:rsidR="00C40217" w:rsidRPr="00A5368C" w:rsidRDefault="00C40217">
      <w:pPr>
        <w:pStyle w:val="Funotentext"/>
        <w:rPr>
          <w:lang w:val="nl-NL"/>
        </w:rPr>
      </w:pPr>
      <w:r>
        <w:rPr>
          <w:rStyle w:val="Funotenzeichen"/>
        </w:rPr>
        <w:footnoteRef/>
      </w:r>
      <w:r w:rsidRPr="00A5368C">
        <w:rPr>
          <w:lang w:val="nl-NL"/>
        </w:rPr>
        <w:t xml:space="preserve"> Hermanns 2020: 129. </w:t>
      </w:r>
    </w:p>
  </w:footnote>
  <w:footnote w:id="1538">
    <w:p w14:paraId="4898F2DC" w14:textId="5000CE73" w:rsidR="00635E0D" w:rsidRPr="00635E0D" w:rsidRDefault="00635E0D">
      <w:pPr>
        <w:pStyle w:val="Funotentext"/>
      </w:pPr>
      <w:r>
        <w:rPr>
          <w:rStyle w:val="Funotenzeichen"/>
        </w:rPr>
        <w:footnoteRef/>
      </w:r>
      <w:r w:rsidRPr="00635E0D">
        <w:t xml:space="preserve"> China bringt der Welt Licht und Schatten. </w:t>
      </w:r>
      <w:r>
        <w:t xml:space="preserve">Die Konzerne produzieren günstig und zerstören Konkurrenz – nun straucheln sie. FAZ, </w:t>
      </w:r>
      <w:r w:rsidR="00987CEC">
        <w:t>05.07.2024.</w:t>
      </w:r>
      <w:r w:rsidRPr="00635E0D">
        <w:t xml:space="preserve"> </w:t>
      </w:r>
    </w:p>
  </w:footnote>
  <w:footnote w:id="1539">
    <w:p w14:paraId="18FD6D4B" w14:textId="77777777" w:rsidR="00FB1957" w:rsidRPr="00AF228A" w:rsidRDefault="00FB1957" w:rsidP="00FB1957">
      <w:pPr>
        <w:pStyle w:val="Funotentext"/>
      </w:pPr>
      <w:r>
        <w:rPr>
          <w:rStyle w:val="Funotenzeichen"/>
        </w:rPr>
        <w:footnoteRef/>
      </w:r>
      <w:r w:rsidRPr="00AF228A">
        <w:t xml:space="preserve"> NZIA Staff Working </w:t>
      </w:r>
      <w:proofErr w:type="spellStart"/>
      <w:r w:rsidRPr="00AF228A">
        <w:t>Document</w:t>
      </w:r>
      <w:proofErr w:type="spellEnd"/>
      <w:r w:rsidRPr="00AF228A">
        <w:t xml:space="preserve"> 2023: 18.</w:t>
      </w:r>
    </w:p>
  </w:footnote>
  <w:footnote w:id="1540">
    <w:p w14:paraId="1A701EF8" w14:textId="77777777" w:rsidR="003F6D2D" w:rsidRPr="003F6D2D" w:rsidRDefault="003F6D2D" w:rsidP="003F6D2D">
      <w:pPr>
        <w:pStyle w:val="Funotentext"/>
      </w:pPr>
      <w:r>
        <w:rPr>
          <w:rStyle w:val="Funotenzeichen"/>
        </w:rPr>
        <w:footnoteRef/>
      </w:r>
      <w:r w:rsidRPr="003F6D2D">
        <w:t xml:space="preserve"> COM (2023) 161 final.</w:t>
      </w:r>
      <w:r>
        <w:t>, 16.03.2023, S. 25, siehe</w:t>
      </w:r>
      <w:r w:rsidRPr="003F6D2D">
        <w:t>: https://single-market-economy.ec.europa.eu/publications/net-zero-industry-act_en - Zugegriffen: 29.12.2023.</w:t>
      </w:r>
    </w:p>
  </w:footnote>
  <w:footnote w:id="1541">
    <w:p w14:paraId="5406D6EF" w14:textId="77777777" w:rsidR="006D7A89" w:rsidRPr="00FB1957" w:rsidRDefault="006D7A89" w:rsidP="006D7A89">
      <w:pPr>
        <w:pStyle w:val="Funotentext"/>
        <w:rPr>
          <w:lang w:val="en-GB"/>
        </w:rPr>
      </w:pPr>
      <w:r>
        <w:rPr>
          <w:rStyle w:val="Funotenzeichen"/>
        </w:rPr>
        <w:footnoteRef/>
      </w:r>
      <w:r w:rsidRPr="00FB1957">
        <w:rPr>
          <w:lang w:val="en-GB"/>
        </w:rPr>
        <w:t xml:space="preserve"> NZIA Staff Working Document 2023: 12.</w:t>
      </w:r>
    </w:p>
  </w:footnote>
  <w:footnote w:id="1542">
    <w:p w14:paraId="4D36228F" w14:textId="478A11ED" w:rsidR="00627A77" w:rsidRPr="00627A77" w:rsidRDefault="00627A77">
      <w:pPr>
        <w:pStyle w:val="Funotentext"/>
        <w:rPr>
          <w:lang w:val="en-GB"/>
        </w:rPr>
      </w:pPr>
      <w:r>
        <w:rPr>
          <w:rStyle w:val="Funotenzeichen"/>
        </w:rPr>
        <w:footnoteRef/>
      </w:r>
      <w:r w:rsidRPr="00627A77">
        <w:rPr>
          <w:lang w:val="en-GB"/>
        </w:rPr>
        <w:t xml:space="preserve"> </w:t>
      </w:r>
      <w:r w:rsidRPr="00FB1957">
        <w:rPr>
          <w:lang w:val="en-GB"/>
        </w:rPr>
        <w:t xml:space="preserve">NZIA Staff Working Document 2023: </w:t>
      </w:r>
      <w:r>
        <w:rPr>
          <w:lang w:val="en-GB"/>
        </w:rPr>
        <w:t>53-54</w:t>
      </w:r>
      <w:r w:rsidRPr="00FB1957">
        <w:rPr>
          <w:lang w:val="en-GB"/>
        </w:rPr>
        <w:t>.</w:t>
      </w:r>
    </w:p>
  </w:footnote>
  <w:footnote w:id="1543">
    <w:p w14:paraId="3A05C504" w14:textId="2B939CF3" w:rsidR="00627A77" w:rsidRPr="00F769C8" w:rsidRDefault="00627A77">
      <w:pPr>
        <w:pStyle w:val="Funotentext"/>
        <w:rPr>
          <w:lang w:val="en-GB"/>
        </w:rPr>
      </w:pPr>
      <w:r>
        <w:rPr>
          <w:rStyle w:val="Funotenzeichen"/>
        </w:rPr>
        <w:footnoteRef/>
      </w:r>
      <w:r w:rsidRPr="00F769C8">
        <w:rPr>
          <w:lang w:val="en-GB"/>
        </w:rPr>
        <w:t xml:space="preserve"> NZIA Staff Working Document 2023: 55.</w:t>
      </w:r>
    </w:p>
  </w:footnote>
  <w:footnote w:id="1544">
    <w:p w14:paraId="693DEFE0" w14:textId="0572E565" w:rsidR="00AF1BE7" w:rsidRPr="00F769C8" w:rsidRDefault="00AF1BE7">
      <w:pPr>
        <w:pStyle w:val="Funotentext"/>
        <w:rPr>
          <w:lang w:val="en-GB"/>
        </w:rPr>
      </w:pPr>
      <w:r>
        <w:rPr>
          <w:rStyle w:val="Funotenzeichen"/>
        </w:rPr>
        <w:footnoteRef/>
      </w:r>
      <w:r w:rsidRPr="00F769C8">
        <w:rPr>
          <w:lang w:val="en-GB"/>
        </w:rPr>
        <w:t xml:space="preserve"> </w:t>
      </w:r>
      <w:r w:rsidR="0041305D" w:rsidRPr="00F769C8">
        <w:rPr>
          <w:lang w:val="en-GB"/>
        </w:rPr>
        <w:t xml:space="preserve">DOE </w:t>
      </w:r>
      <w:proofErr w:type="spellStart"/>
      <w:r w:rsidR="0041305D" w:rsidRPr="00F769C8">
        <w:rPr>
          <w:lang w:val="en-GB"/>
        </w:rPr>
        <w:t>Magnete</w:t>
      </w:r>
      <w:proofErr w:type="spellEnd"/>
      <w:r w:rsidR="0041305D" w:rsidRPr="00F769C8">
        <w:rPr>
          <w:lang w:val="en-GB"/>
        </w:rPr>
        <w:t xml:space="preserve"> 2022: 1-6. </w:t>
      </w:r>
      <w:proofErr w:type="spellStart"/>
      <w:r w:rsidRPr="00F769C8">
        <w:rPr>
          <w:lang w:val="en-GB"/>
        </w:rPr>
        <w:t>Siehe</w:t>
      </w:r>
      <w:proofErr w:type="spellEnd"/>
      <w:r w:rsidRPr="00F769C8">
        <w:rPr>
          <w:lang w:val="en-GB"/>
        </w:rPr>
        <w:t xml:space="preserve">: </w:t>
      </w:r>
      <w:hyperlink r:id="rId1198" w:history="1">
        <w:r w:rsidRPr="00F769C8">
          <w:rPr>
            <w:rStyle w:val="Hyperlink"/>
            <w:lang w:val="en-GB"/>
          </w:rPr>
          <w:t>https://www.energy.gov/sites/default/files/2022-02/Neodymium%20Magnets%20Supply%20Chain%20Fact%20Sheet%20Final.pdf</w:t>
        </w:r>
      </w:hyperlink>
      <w:r w:rsidRPr="00F769C8">
        <w:rPr>
          <w:lang w:val="en-GB"/>
        </w:rPr>
        <w:t xml:space="preserve"> – </w:t>
      </w:r>
      <w:proofErr w:type="spellStart"/>
      <w:r w:rsidRPr="00F769C8">
        <w:rPr>
          <w:lang w:val="en-GB"/>
        </w:rPr>
        <w:t>Zugegriffen</w:t>
      </w:r>
      <w:proofErr w:type="spellEnd"/>
      <w:r w:rsidRPr="00F769C8">
        <w:rPr>
          <w:lang w:val="en-GB"/>
        </w:rPr>
        <w:t xml:space="preserve">: 14.07.2024. </w:t>
      </w:r>
    </w:p>
  </w:footnote>
  <w:footnote w:id="1545">
    <w:p w14:paraId="0ED9AE42" w14:textId="77777777" w:rsidR="00FB1957" w:rsidRPr="00FB1957" w:rsidRDefault="00FB1957" w:rsidP="00FB1957">
      <w:pPr>
        <w:pStyle w:val="Funotentext"/>
        <w:rPr>
          <w:lang w:val="en-GB"/>
        </w:rPr>
      </w:pPr>
      <w:r>
        <w:rPr>
          <w:rStyle w:val="Funotenzeichen"/>
        </w:rPr>
        <w:footnoteRef/>
      </w:r>
      <w:r w:rsidRPr="00FB1957">
        <w:rPr>
          <w:lang w:val="en-GB"/>
        </w:rPr>
        <w:t xml:space="preserve"> NZIA Staff Working Document 2023: 1</w:t>
      </w:r>
      <w:r>
        <w:rPr>
          <w:lang w:val="en-GB"/>
        </w:rPr>
        <w:t>8.</w:t>
      </w:r>
    </w:p>
  </w:footnote>
  <w:footnote w:id="1546">
    <w:p w14:paraId="08656634" w14:textId="237B40D7" w:rsidR="00DC2247" w:rsidRPr="00C61815" w:rsidRDefault="00DC2247">
      <w:pPr>
        <w:pStyle w:val="Funotentext"/>
        <w:rPr>
          <w:lang w:val="en-GB"/>
        </w:rPr>
      </w:pPr>
      <w:r>
        <w:rPr>
          <w:rStyle w:val="Funotenzeichen"/>
        </w:rPr>
        <w:footnoteRef/>
      </w:r>
      <w:r w:rsidRPr="00C61815">
        <w:rPr>
          <w:lang w:val="en-GB"/>
        </w:rPr>
        <w:t xml:space="preserve"> NZIA Staff Working Document 2023: 71.</w:t>
      </w:r>
    </w:p>
  </w:footnote>
  <w:footnote w:id="1547">
    <w:p w14:paraId="1A0FE379" w14:textId="597DED97" w:rsidR="007265D4" w:rsidRPr="000F0F3E" w:rsidRDefault="007265D4" w:rsidP="007265D4">
      <w:pPr>
        <w:pStyle w:val="Funotentext"/>
      </w:pPr>
      <w:r>
        <w:rPr>
          <w:rStyle w:val="Funotenzeichen"/>
        </w:rPr>
        <w:footnoteRef/>
      </w:r>
      <w:r w:rsidRPr="000F0F3E">
        <w:t xml:space="preserve"> COM (2023) 161 final., 16.03.2023, S. 26, siehe: https://single-market-economy.ec.europa.eu/publications/net-zero-industry-act_en - Zugegriffen: 29.12.2023.</w:t>
      </w:r>
    </w:p>
  </w:footnote>
  <w:footnote w:id="1548">
    <w:p w14:paraId="6159D675" w14:textId="77777777" w:rsidR="00783EEF" w:rsidRPr="00783EEF" w:rsidRDefault="00783EEF" w:rsidP="00783EEF">
      <w:pPr>
        <w:pStyle w:val="Funotentext"/>
        <w:rPr>
          <w:lang w:val="en-GB"/>
        </w:rPr>
      </w:pPr>
      <w:r>
        <w:rPr>
          <w:rStyle w:val="Funotenzeichen"/>
        </w:rPr>
        <w:footnoteRef/>
      </w:r>
      <w:r w:rsidRPr="00783EEF">
        <w:rPr>
          <w:lang w:val="en-GB"/>
        </w:rPr>
        <w:t xml:space="preserve"> NZIA Staff Working Document 2023: 71.</w:t>
      </w:r>
    </w:p>
  </w:footnote>
  <w:footnote w:id="1549">
    <w:p w14:paraId="7A1B2BC8" w14:textId="3041C110" w:rsidR="00783EEF" w:rsidRPr="00783EEF" w:rsidRDefault="00783EEF">
      <w:pPr>
        <w:pStyle w:val="Funotentext"/>
        <w:rPr>
          <w:lang w:val="en-GB"/>
        </w:rPr>
      </w:pPr>
      <w:r>
        <w:rPr>
          <w:rStyle w:val="Funotenzeichen"/>
        </w:rPr>
        <w:footnoteRef/>
      </w:r>
      <w:r w:rsidRPr="00783EEF">
        <w:rPr>
          <w:lang w:val="en-GB"/>
        </w:rPr>
        <w:t xml:space="preserve"> NZIA Staff Working Document 2023: 70</w:t>
      </w:r>
      <w:r>
        <w:rPr>
          <w:lang w:val="en-GB"/>
        </w:rPr>
        <w:t>.</w:t>
      </w:r>
    </w:p>
  </w:footnote>
  <w:footnote w:id="1550">
    <w:p w14:paraId="3B7CEE7F" w14:textId="31A9BE22" w:rsidR="00CB4416" w:rsidRPr="00005C35" w:rsidRDefault="00CB4416">
      <w:pPr>
        <w:pStyle w:val="Funotentext"/>
        <w:rPr>
          <w:lang w:val="en-GB"/>
        </w:rPr>
      </w:pPr>
      <w:r>
        <w:rPr>
          <w:rStyle w:val="Funotenzeichen"/>
        </w:rPr>
        <w:footnoteRef/>
      </w:r>
      <w:r w:rsidRPr="00005C35">
        <w:rPr>
          <w:lang w:val="en-GB"/>
        </w:rPr>
        <w:t xml:space="preserve"> </w:t>
      </w:r>
    </w:p>
  </w:footnote>
  <w:footnote w:id="1551">
    <w:p w14:paraId="7D72E8EE" w14:textId="2DCF8A75" w:rsidR="00FB1957" w:rsidRPr="00783EEF" w:rsidRDefault="00FB1957" w:rsidP="00FB1957">
      <w:pPr>
        <w:pStyle w:val="Funotentext"/>
        <w:rPr>
          <w:lang w:val="en-GB"/>
        </w:rPr>
      </w:pPr>
      <w:r>
        <w:rPr>
          <w:rStyle w:val="Funotenzeichen"/>
        </w:rPr>
        <w:footnoteRef/>
      </w:r>
      <w:r w:rsidRPr="00783EEF">
        <w:rPr>
          <w:lang w:val="en-GB"/>
        </w:rPr>
        <w:t xml:space="preserve"> NZIA Staff Working Document 2023: 18</w:t>
      </w:r>
      <w:r w:rsidR="001A66FF">
        <w:rPr>
          <w:lang w:val="en-GB"/>
        </w:rPr>
        <w:t>, 72-73</w:t>
      </w:r>
      <w:r w:rsidRPr="00783EEF">
        <w:rPr>
          <w:lang w:val="en-GB"/>
        </w:rPr>
        <w:t>.</w:t>
      </w:r>
    </w:p>
  </w:footnote>
  <w:footnote w:id="1552">
    <w:p w14:paraId="424176CA" w14:textId="7D052277" w:rsidR="003F6D2D" w:rsidRPr="00C61815" w:rsidRDefault="003F6D2D" w:rsidP="003F6D2D">
      <w:pPr>
        <w:pStyle w:val="Funotentext"/>
        <w:rPr>
          <w:lang w:val="en-GB"/>
        </w:rPr>
      </w:pPr>
      <w:r>
        <w:rPr>
          <w:rStyle w:val="Funotenzeichen"/>
        </w:rPr>
        <w:footnoteRef/>
      </w:r>
      <w:r w:rsidRPr="00C61815">
        <w:rPr>
          <w:lang w:val="en-GB"/>
        </w:rPr>
        <w:t xml:space="preserve"> COM (2023) 161 final., 16.03.2023, S. 2</w:t>
      </w:r>
      <w:r w:rsidR="007265D4" w:rsidRPr="00C61815">
        <w:rPr>
          <w:lang w:val="en-GB"/>
        </w:rPr>
        <w:t>6</w:t>
      </w:r>
      <w:r w:rsidRPr="00C61815">
        <w:rPr>
          <w:lang w:val="en-GB"/>
        </w:rPr>
        <w:t xml:space="preserve">, </w:t>
      </w:r>
      <w:proofErr w:type="spellStart"/>
      <w:r w:rsidRPr="00C61815">
        <w:rPr>
          <w:lang w:val="en-GB"/>
        </w:rPr>
        <w:t>siehe</w:t>
      </w:r>
      <w:proofErr w:type="spellEnd"/>
      <w:r w:rsidRPr="00C61815">
        <w:rPr>
          <w:lang w:val="en-GB"/>
        </w:rPr>
        <w:t xml:space="preserve">: https://single-market-economy.ec.europa.eu/publications/net-zero-industry-act_en - </w:t>
      </w:r>
      <w:proofErr w:type="spellStart"/>
      <w:r w:rsidRPr="00C61815">
        <w:rPr>
          <w:lang w:val="en-GB"/>
        </w:rPr>
        <w:t>Zugegriffen</w:t>
      </w:r>
      <w:proofErr w:type="spellEnd"/>
      <w:r w:rsidRPr="00C61815">
        <w:rPr>
          <w:lang w:val="en-GB"/>
        </w:rPr>
        <w:t>: 29.12.2023.</w:t>
      </w:r>
    </w:p>
  </w:footnote>
  <w:footnote w:id="1553">
    <w:p w14:paraId="674C68F7" w14:textId="35E5302E" w:rsidR="00B56739" w:rsidRPr="00B56739" w:rsidRDefault="00B56739">
      <w:pPr>
        <w:pStyle w:val="Funotentext"/>
        <w:rPr>
          <w:lang w:val="en-GB"/>
        </w:rPr>
      </w:pPr>
      <w:r>
        <w:rPr>
          <w:rStyle w:val="Funotenzeichen"/>
        </w:rPr>
        <w:footnoteRef/>
      </w:r>
      <w:r w:rsidRPr="00B56739">
        <w:rPr>
          <w:lang w:val="en-GB"/>
        </w:rPr>
        <w:t xml:space="preserve"> NZIA Staff Working Document 2023</w:t>
      </w:r>
      <w:r>
        <w:rPr>
          <w:lang w:val="en-GB"/>
        </w:rPr>
        <w:t>: 72-73.</w:t>
      </w:r>
    </w:p>
  </w:footnote>
  <w:footnote w:id="1554">
    <w:p w14:paraId="3160F160" w14:textId="50758041" w:rsidR="00B56739" w:rsidRPr="00B56739" w:rsidRDefault="00B56739">
      <w:pPr>
        <w:pStyle w:val="Funotentext"/>
        <w:rPr>
          <w:lang w:val="en-GB"/>
        </w:rPr>
      </w:pPr>
      <w:r>
        <w:rPr>
          <w:rStyle w:val="Funotenzeichen"/>
        </w:rPr>
        <w:footnoteRef/>
      </w:r>
      <w:r w:rsidRPr="00B56739">
        <w:rPr>
          <w:lang w:val="en-GB"/>
        </w:rPr>
        <w:t xml:space="preserve"> NZIA Staff Working Document 2023</w:t>
      </w:r>
      <w:r>
        <w:rPr>
          <w:lang w:val="en-GB"/>
        </w:rPr>
        <w:t>: 72.</w:t>
      </w:r>
    </w:p>
  </w:footnote>
  <w:footnote w:id="1555">
    <w:p w14:paraId="666C9E02" w14:textId="35977AD4" w:rsidR="001A66FF" w:rsidRPr="001A66FF" w:rsidRDefault="001A66FF">
      <w:pPr>
        <w:pStyle w:val="Funotentext"/>
        <w:rPr>
          <w:lang w:val="en-GB"/>
        </w:rPr>
      </w:pPr>
      <w:r>
        <w:rPr>
          <w:rStyle w:val="Funotenzeichen"/>
        </w:rPr>
        <w:footnoteRef/>
      </w:r>
      <w:r w:rsidRPr="001A66FF">
        <w:rPr>
          <w:lang w:val="en-GB"/>
        </w:rPr>
        <w:t xml:space="preserve"> </w:t>
      </w:r>
      <w:r w:rsidRPr="00C61815">
        <w:rPr>
          <w:lang w:val="en-GB"/>
        </w:rPr>
        <w:t>NZIA Staff Working Document 2023: 76.</w:t>
      </w:r>
    </w:p>
  </w:footnote>
  <w:footnote w:id="1556">
    <w:p w14:paraId="20374507" w14:textId="77777777" w:rsidR="00FB1957" w:rsidRPr="00B56739" w:rsidRDefault="00FB1957" w:rsidP="00FB1957">
      <w:pPr>
        <w:pStyle w:val="Funotentext"/>
        <w:rPr>
          <w:lang w:val="en-GB"/>
        </w:rPr>
      </w:pPr>
      <w:r>
        <w:rPr>
          <w:rStyle w:val="Funotenzeichen"/>
        </w:rPr>
        <w:footnoteRef/>
      </w:r>
      <w:r w:rsidRPr="00B56739">
        <w:rPr>
          <w:lang w:val="en-GB"/>
        </w:rPr>
        <w:t xml:space="preserve"> NZIA Staff Working Document 2023: 18.</w:t>
      </w:r>
    </w:p>
  </w:footnote>
  <w:footnote w:id="1557">
    <w:p w14:paraId="2B7BC879" w14:textId="4A1B5C3C" w:rsidR="007265D4" w:rsidRPr="003F6D2D" w:rsidRDefault="007265D4" w:rsidP="007265D4">
      <w:pPr>
        <w:pStyle w:val="Funotentext"/>
      </w:pPr>
      <w:r>
        <w:rPr>
          <w:rStyle w:val="Funotenzeichen"/>
        </w:rPr>
        <w:footnoteRef/>
      </w:r>
      <w:r w:rsidRPr="003F6D2D">
        <w:t xml:space="preserve"> COM (2023) 161 final.</w:t>
      </w:r>
      <w:r>
        <w:t>, 16.03.2023, S. 26, siehe</w:t>
      </w:r>
      <w:r w:rsidRPr="003F6D2D">
        <w:t>: https://single-market-economy.ec.europa.eu/publications/net-zero-industry-act_en - Zugegriffen: 29.12.2023.</w:t>
      </w:r>
    </w:p>
  </w:footnote>
  <w:footnote w:id="1558">
    <w:p w14:paraId="45EB52DB" w14:textId="70E7FD0D" w:rsidR="006B2AEF" w:rsidRPr="006B2AEF" w:rsidRDefault="006B2AEF">
      <w:pPr>
        <w:pStyle w:val="Funotentext"/>
        <w:rPr>
          <w:lang w:val="en-GB"/>
        </w:rPr>
      </w:pPr>
      <w:r>
        <w:rPr>
          <w:rStyle w:val="Funotenzeichen"/>
        </w:rPr>
        <w:footnoteRef/>
      </w:r>
      <w:r w:rsidRPr="006B2AEF">
        <w:rPr>
          <w:lang w:val="en-GB"/>
        </w:rPr>
        <w:t xml:space="preserve"> NZIA Staff Working Document 2023</w:t>
      </w:r>
      <w:r>
        <w:rPr>
          <w:lang w:val="en-GB"/>
        </w:rPr>
        <w:t>:</w:t>
      </w:r>
      <w:r w:rsidR="005F004A">
        <w:rPr>
          <w:lang w:val="en-GB"/>
        </w:rPr>
        <w:t>79.</w:t>
      </w:r>
    </w:p>
  </w:footnote>
  <w:footnote w:id="1559">
    <w:p w14:paraId="3871BF6F" w14:textId="38764773" w:rsidR="005F004A" w:rsidRPr="005F004A" w:rsidRDefault="005F004A">
      <w:pPr>
        <w:pStyle w:val="Funotentext"/>
        <w:rPr>
          <w:lang w:val="en-GB"/>
        </w:rPr>
      </w:pPr>
      <w:r>
        <w:rPr>
          <w:rStyle w:val="Funotenzeichen"/>
        </w:rPr>
        <w:footnoteRef/>
      </w:r>
      <w:r w:rsidRPr="005F004A">
        <w:rPr>
          <w:lang w:val="en-GB"/>
        </w:rPr>
        <w:t xml:space="preserve"> NZIA Staff Working Document 2023: </w:t>
      </w:r>
      <w:proofErr w:type="gramStart"/>
      <w:r>
        <w:rPr>
          <w:lang w:val="en-GB"/>
        </w:rPr>
        <w:t>83..</w:t>
      </w:r>
      <w:proofErr w:type="gramEnd"/>
    </w:p>
  </w:footnote>
  <w:footnote w:id="1560">
    <w:p w14:paraId="0BEB7C61" w14:textId="3298C201" w:rsidR="006B2AEF" w:rsidRPr="006B2AEF" w:rsidRDefault="006B2AEF">
      <w:pPr>
        <w:pStyle w:val="Funotentext"/>
        <w:rPr>
          <w:lang w:val="en-GB"/>
        </w:rPr>
      </w:pPr>
      <w:r>
        <w:rPr>
          <w:rStyle w:val="Funotenzeichen"/>
        </w:rPr>
        <w:footnoteRef/>
      </w:r>
      <w:r w:rsidRPr="006B2AEF">
        <w:rPr>
          <w:lang w:val="en-GB"/>
        </w:rPr>
        <w:t xml:space="preserve"> NZIA Staff Working Document 2023: 80-81.</w:t>
      </w:r>
    </w:p>
  </w:footnote>
  <w:footnote w:id="1561">
    <w:p w14:paraId="1B304559" w14:textId="4408D050" w:rsidR="005F004A" w:rsidRPr="005F004A" w:rsidRDefault="005F004A">
      <w:pPr>
        <w:pStyle w:val="Funotentext"/>
        <w:rPr>
          <w:lang w:val="en-GB"/>
        </w:rPr>
      </w:pPr>
      <w:r>
        <w:rPr>
          <w:rStyle w:val="Funotenzeichen"/>
        </w:rPr>
        <w:footnoteRef/>
      </w:r>
      <w:r w:rsidRPr="005F004A">
        <w:rPr>
          <w:lang w:val="en-GB"/>
        </w:rPr>
        <w:t xml:space="preserve"> NZIA Staff Working Document 2023: 82.</w:t>
      </w:r>
    </w:p>
  </w:footnote>
  <w:footnote w:id="1562">
    <w:p w14:paraId="1EB737C8" w14:textId="1559239B" w:rsidR="009D3639" w:rsidRPr="00C61815" w:rsidRDefault="009D3639">
      <w:pPr>
        <w:pStyle w:val="Funotentext"/>
        <w:rPr>
          <w:lang w:val="en-GB"/>
        </w:rPr>
      </w:pPr>
      <w:r>
        <w:rPr>
          <w:rStyle w:val="Funotenzeichen"/>
        </w:rPr>
        <w:footnoteRef/>
      </w:r>
      <w:r w:rsidRPr="00C61815">
        <w:rPr>
          <w:lang w:val="en-GB"/>
        </w:rPr>
        <w:t xml:space="preserve"> NZIA Staff Working Document 2023: 84.</w:t>
      </w:r>
    </w:p>
  </w:footnote>
  <w:footnote w:id="1563">
    <w:p w14:paraId="66774FA8" w14:textId="5B0E1A6C" w:rsidR="009D3639" w:rsidRPr="009D3639" w:rsidRDefault="009D3639">
      <w:pPr>
        <w:pStyle w:val="Funotentext"/>
        <w:rPr>
          <w:lang w:val="en-GB"/>
        </w:rPr>
      </w:pPr>
      <w:r>
        <w:rPr>
          <w:rStyle w:val="Funotenzeichen"/>
        </w:rPr>
        <w:footnoteRef/>
      </w:r>
      <w:r w:rsidRPr="009D3639">
        <w:rPr>
          <w:lang w:val="en-GB"/>
        </w:rPr>
        <w:t xml:space="preserve"> NZIA Staff Working Document 2023: 84.</w:t>
      </w:r>
    </w:p>
  </w:footnote>
  <w:footnote w:id="1564">
    <w:p w14:paraId="13194798" w14:textId="7E6B7B4A" w:rsidR="009D3639" w:rsidRPr="002839D9" w:rsidRDefault="009D3639">
      <w:pPr>
        <w:pStyle w:val="Funotentext"/>
        <w:rPr>
          <w:lang w:val="en-US"/>
        </w:rPr>
      </w:pPr>
      <w:r>
        <w:rPr>
          <w:rStyle w:val="Funotenzeichen"/>
        </w:rPr>
        <w:footnoteRef/>
      </w:r>
      <w:r w:rsidRPr="002839D9">
        <w:rPr>
          <w:lang w:val="en-US"/>
        </w:rPr>
        <w:t xml:space="preserve"> NZIA Staff Working Document 2023: 84.</w:t>
      </w:r>
    </w:p>
  </w:footnote>
  <w:footnote w:id="1565">
    <w:p w14:paraId="14FC58EF" w14:textId="77777777" w:rsidR="00112190" w:rsidRDefault="00112190" w:rsidP="00112190">
      <w:pPr>
        <w:pStyle w:val="Funotentext"/>
      </w:pPr>
      <w:r>
        <w:rPr>
          <w:rStyle w:val="Funotenzeichen"/>
        </w:rPr>
        <w:footnoteRef/>
      </w:r>
      <w:r>
        <w:t xml:space="preserve"> </w:t>
      </w:r>
      <w:bookmarkStart w:id="80" w:name="_Hlk155118206"/>
      <w:r w:rsidRPr="00EB7A56">
        <w:t>Siehe BMWK, Die Energie der Zukunft, 8. Monitoring Bericht zur Energiewende, Berichtsjahr 2018 und 2019, Stand 2021: S. 2</w:t>
      </w:r>
      <w:r>
        <w:t>9</w:t>
      </w:r>
      <w:r w:rsidRPr="00EB7A56">
        <w:t>.</w:t>
      </w:r>
      <w:bookmarkEnd w:id="80"/>
    </w:p>
  </w:footnote>
  <w:footnote w:id="1566">
    <w:p w14:paraId="2FEC8DE9" w14:textId="77777777" w:rsidR="00112190" w:rsidRDefault="00112190" w:rsidP="00112190">
      <w:pPr>
        <w:pStyle w:val="Funotentext"/>
      </w:pPr>
      <w:r>
        <w:rPr>
          <w:rStyle w:val="Funotenzeichen"/>
        </w:rPr>
        <w:footnoteRef/>
      </w:r>
      <w:r>
        <w:t xml:space="preserve"> Nacherzählt hier: Erwägungsgrund (6). </w:t>
      </w:r>
      <w:r w:rsidRPr="00D0285D">
        <w:t>Siehe: Verordnung (EU</w:t>
      </w:r>
      <w:r>
        <w:t>)</w:t>
      </w:r>
      <w:r w:rsidRPr="00D0285D">
        <w:t xml:space="preserve"> 2018/1999, 11. Dezember 2018. In: </w:t>
      </w:r>
      <w:hyperlink r:id="rId1199" w:history="1">
        <w:r w:rsidRPr="00EE187F">
          <w:rPr>
            <w:rStyle w:val="Hyperlink"/>
          </w:rPr>
          <w:t>https://eur-lex.europa.eu/legal-content/DE/TXT/PDF/?uri=CELEX:32018R1999</w:t>
        </w:r>
      </w:hyperlink>
      <w:r w:rsidRPr="00D0285D">
        <w:t xml:space="preserve"> – Zugegriffen: 28.12.2023.</w:t>
      </w:r>
    </w:p>
  </w:footnote>
  <w:footnote w:id="1567">
    <w:p w14:paraId="210CE941" w14:textId="77777777" w:rsidR="00112190" w:rsidRPr="00367DC0" w:rsidRDefault="00112190" w:rsidP="00112190">
      <w:pPr>
        <w:pStyle w:val="Funotentext"/>
      </w:pPr>
      <w:r>
        <w:rPr>
          <w:rStyle w:val="Funotenzeichen"/>
        </w:rPr>
        <w:footnoteRef/>
      </w:r>
      <w:r w:rsidRPr="00367DC0">
        <w:t xml:space="preserve"> </w:t>
      </w:r>
      <w:proofErr w:type="spellStart"/>
      <w:r w:rsidRPr="00367DC0">
        <w:t>Mtoe</w:t>
      </w:r>
      <w:proofErr w:type="spellEnd"/>
      <w:r w:rsidRPr="00367DC0">
        <w:t>. Siehe</w:t>
      </w:r>
      <w:r>
        <w:t xml:space="preserve"> Art. 3 Abs. 1 </w:t>
      </w:r>
      <w:proofErr w:type="spellStart"/>
      <w:r>
        <w:t>UAbs</w:t>
      </w:r>
      <w:proofErr w:type="spellEnd"/>
      <w:r>
        <w:t xml:space="preserve"> (a)</w:t>
      </w:r>
      <w:r w:rsidRPr="00367DC0">
        <w:t xml:space="preserve">: </w:t>
      </w:r>
      <w:hyperlink r:id="rId1200" w:history="1">
        <w:r w:rsidRPr="00367DC0">
          <w:rPr>
            <w:rStyle w:val="Hyperlink"/>
          </w:rPr>
          <w:t>https://eur-lex.europa.eu/LexUriServ/LexUriServ.do?uri=OJ:L:2012:315:0001:0056:en:PDF</w:t>
        </w:r>
      </w:hyperlink>
      <w:r w:rsidRPr="00367DC0">
        <w:t xml:space="preserve"> </w:t>
      </w:r>
      <w:r>
        <w:t xml:space="preserve">– Zugegriffen: 30.12.2023. </w:t>
      </w:r>
    </w:p>
  </w:footnote>
  <w:footnote w:id="1568">
    <w:p w14:paraId="075D32A4" w14:textId="77777777" w:rsidR="00112190" w:rsidRPr="00B816F4" w:rsidRDefault="00112190" w:rsidP="00112190">
      <w:pPr>
        <w:pStyle w:val="Funotentext"/>
      </w:pPr>
      <w:r>
        <w:rPr>
          <w:rStyle w:val="Funotenzeichen"/>
        </w:rPr>
        <w:footnoteRef/>
      </w:r>
      <w:r>
        <w:t xml:space="preserve"> Siehe z.B. </w:t>
      </w:r>
      <w:hyperlink r:id="rId1201" w:history="1">
        <w:r w:rsidRPr="00B816F4">
          <w:rPr>
            <w:rStyle w:val="Hyperlink"/>
          </w:rPr>
          <w:t>https://www.bfee-online.de/BfEE/DE/Effizienzpolitik/NationaleEnergieeffizienzpolitik/nationaleenergieeffizienzpolitik_node.html</w:t>
        </w:r>
      </w:hyperlink>
      <w:r w:rsidRPr="00B816F4">
        <w:t xml:space="preserve"> - Zu</w:t>
      </w:r>
      <w:r>
        <w:t xml:space="preserve">gegriffen: 30.12.2023. </w:t>
      </w:r>
    </w:p>
  </w:footnote>
  <w:footnote w:id="1569">
    <w:p w14:paraId="1D6C70C2" w14:textId="77777777" w:rsidR="00112190" w:rsidRDefault="00112190" w:rsidP="00112190">
      <w:pPr>
        <w:pStyle w:val="Funotentext"/>
      </w:pPr>
      <w:r>
        <w:rPr>
          <w:rStyle w:val="Funotenzeichen"/>
        </w:rPr>
        <w:footnoteRef/>
      </w:r>
      <w:r>
        <w:t xml:space="preserve"> Siehe: </w:t>
      </w:r>
      <w:hyperlink r:id="rId1202" w:history="1">
        <w:r w:rsidRPr="005735F8">
          <w:rPr>
            <w:rStyle w:val="Hyperlink"/>
          </w:rPr>
          <w:t>https://www.bmwk.de/Redaktion/DE/Publikationen/Energie/energieeffiezienzstrategie-2050.html</w:t>
        </w:r>
      </w:hyperlink>
      <w:r>
        <w:t xml:space="preserve"> - Zugegriffen: 30.12.2023. </w:t>
      </w:r>
    </w:p>
  </w:footnote>
  <w:footnote w:id="1570">
    <w:p w14:paraId="642E7846" w14:textId="77777777" w:rsidR="00112190" w:rsidRDefault="00112190" w:rsidP="00112190">
      <w:pPr>
        <w:pStyle w:val="Funotentext"/>
      </w:pPr>
      <w:r>
        <w:rPr>
          <w:rStyle w:val="Funotenzeichen"/>
        </w:rPr>
        <w:footnoteRef/>
      </w:r>
      <w:r>
        <w:t xml:space="preserve"> Siehe: </w:t>
      </w:r>
      <w:hyperlink r:id="rId1203" w:history="1">
        <w:r w:rsidRPr="005735F8">
          <w:rPr>
            <w:rStyle w:val="Hyperlink"/>
          </w:rPr>
          <w:t>https://www.bfee-online.de/BfEE/DE/Monitoring/MonitoringEnergiewende/monitoringenergiewende_node.html</w:t>
        </w:r>
      </w:hyperlink>
      <w:r>
        <w:t xml:space="preserve"> - Zugegriffen: 30.12.2023. </w:t>
      </w:r>
    </w:p>
  </w:footnote>
  <w:footnote w:id="1571">
    <w:p w14:paraId="65C8FF4D" w14:textId="77777777" w:rsidR="00112190" w:rsidRDefault="00112190" w:rsidP="00112190">
      <w:pPr>
        <w:pStyle w:val="Funotentext"/>
      </w:pPr>
      <w:r>
        <w:rPr>
          <w:rStyle w:val="Funotenzeichen"/>
        </w:rPr>
        <w:footnoteRef/>
      </w:r>
      <w:r>
        <w:t xml:space="preserve"> </w:t>
      </w:r>
      <w:r w:rsidRPr="006F68A1">
        <w:t xml:space="preserve">Richtlinie 2003/87/EG des Europäischen Parlaments und des Rates vom 13. Oktober 2003 über ein System für den Handel mit Treibhausgasemissionszertifikaten in der Union und zur Änderung der Richtlinie 96/61/EG des Rates, </w:t>
      </w:r>
      <w:proofErr w:type="spellStart"/>
      <w:r w:rsidRPr="006F68A1">
        <w:t>ABl.</w:t>
      </w:r>
      <w:proofErr w:type="spellEnd"/>
      <w:r w:rsidRPr="006F68A1">
        <w:t xml:space="preserve"> L 275 vom 25.10.2003, S. 32.</w:t>
      </w:r>
      <w:r>
        <w:t xml:space="preserve"> Siehe: </w:t>
      </w:r>
      <w:hyperlink r:id="rId1204" w:history="1">
        <w:r w:rsidRPr="001602B8">
          <w:rPr>
            <w:rStyle w:val="Hyperlink"/>
          </w:rPr>
          <w:t>https://eur-lex.europa.eu/legal-content/DE/TXT/PDF/?uri=CELEX:32003L0087</w:t>
        </w:r>
      </w:hyperlink>
      <w:r>
        <w:t xml:space="preserve"> – Zugegriffen: 07.04.2024.</w:t>
      </w:r>
    </w:p>
  </w:footnote>
  <w:footnote w:id="1572">
    <w:p w14:paraId="6AF7200F" w14:textId="77777777" w:rsidR="00112190" w:rsidRDefault="00112190" w:rsidP="00112190">
      <w:pPr>
        <w:pStyle w:val="Funotentext"/>
      </w:pPr>
      <w:r>
        <w:rPr>
          <w:rStyle w:val="Funotenzeichen"/>
        </w:rPr>
        <w:footnoteRef/>
      </w:r>
      <w:r>
        <w:t xml:space="preserve"> </w:t>
      </w:r>
      <w:bookmarkStart w:id="81" w:name="_Hlk155118626"/>
      <w:r w:rsidRPr="006F68A1">
        <w:t xml:space="preserve">Siehe BMWK, Die Energie der Zukunft, 8. Monitoring Bericht zur Energiewende, Berichtsjahr 2018 und 2019, Stand 2021: S. </w:t>
      </w:r>
      <w:r>
        <w:t>35-36</w:t>
      </w:r>
      <w:r w:rsidRPr="006F68A1">
        <w:t>.</w:t>
      </w:r>
      <w:bookmarkEnd w:id="81"/>
    </w:p>
  </w:footnote>
  <w:footnote w:id="1573">
    <w:p w14:paraId="2595DFA7" w14:textId="77777777" w:rsidR="00112190" w:rsidRDefault="00112190" w:rsidP="00112190">
      <w:pPr>
        <w:pStyle w:val="Funotentext"/>
      </w:pPr>
      <w:r>
        <w:rPr>
          <w:rStyle w:val="Funotenzeichen"/>
        </w:rPr>
        <w:footnoteRef/>
      </w:r>
      <w:r>
        <w:t xml:space="preserve"> </w:t>
      </w:r>
      <w:bookmarkStart w:id="82" w:name="_Hlk156497174"/>
      <w:r w:rsidRPr="00CD774F">
        <w:rPr>
          <w:u w:val="single"/>
        </w:rPr>
        <w:t>Konsolidierte Fassung Richtlinie 2003/87/EG</w:t>
      </w:r>
      <w:r w:rsidRPr="006F68A1">
        <w:t xml:space="preserve"> des Europäischen Parlaments und des Rates vom 13. Oktober 2003 </w:t>
      </w:r>
      <w:r>
        <w:t xml:space="preserve">ETS, Seefahrt. Luftfahrt und ETS 2, Innovationsfond und </w:t>
      </w:r>
      <w:proofErr w:type="gramStart"/>
      <w:r>
        <w:t>Modernisierungsfond :</w:t>
      </w:r>
      <w:proofErr w:type="gramEnd"/>
      <w:r>
        <w:t xml:space="preserve"> </w:t>
      </w:r>
      <w:hyperlink r:id="rId1205" w:history="1">
        <w:r w:rsidRPr="000700D9">
          <w:rPr>
            <w:rStyle w:val="Hyperlink"/>
          </w:rPr>
          <w:t>https://eur-lex.europa.eu/legal-content/DE/TXT/PDF/?uri=CELEX:02003L0087-20230605</w:t>
        </w:r>
      </w:hyperlink>
      <w:r>
        <w:t xml:space="preserve"> – Zugegriffen: 29.12.2023. </w:t>
      </w:r>
    </w:p>
    <w:bookmarkEnd w:id="82"/>
  </w:footnote>
  <w:footnote w:id="1574">
    <w:p w14:paraId="01B1DB6B" w14:textId="77777777" w:rsidR="00112190" w:rsidRDefault="00112190" w:rsidP="00112190">
      <w:pPr>
        <w:pStyle w:val="Funotentext"/>
      </w:pPr>
      <w:r>
        <w:rPr>
          <w:rStyle w:val="Funotenzeichen"/>
        </w:rPr>
        <w:footnoteRef/>
      </w:r>
      <w:r>
        <w:t xml:space="preserve"> Erwägungsgrund 5, Original Richtlinie 2003/87/EG, 13. Oktober 2003. Siehe: </w:t>
      </w:r>
      <w:hyperlink r:id="rId1206" w:history="1">
        <w:r w:rsidRPr="001602B8">
          <w:rPr>
            <w:rStyle w:val="Hyperlink"/>
          </w:rPr>
          <w:t>https://eur-lex.europa.eu/legal-content/DE/TXT/PDF/?uri=CELEX:32003L0087</w:t>
        </w:r>
      </w:hyperlink>
      <w:r>
        <w:t xml:space="preserve"> – Zugegriffen: 07.04.2024. </w:t>
      </w:r>
    </w:p>
  </w:footnote>
  <w:footnote w:id="1575">
    <w:p w14:paraId="1F3B51DE" w14:textId="77777777" w:rsidR="00112190" w:rsidRDefault="00112190" w:rsidP="00112190">
      <w:pPr>
        <w:pStyle w:val="Funotentext"/>
      </w:pPr>
      <w:r>
        <w:rPr>
          <w:rStyle w:val="Funotenzeichen"/>
        </w:rPr>
        <w:footnoteRef/>
      </w:r>
      <w:r>
        <w:t xml:space="preserve"> „</w:t>
      </w:r>
      <w:r w:rsidRPr="000C60E8">
        <w:t xml:space="preserve">So wurde der Anwendungsbereich des EU-ETS im Jahr 2013 ausgeweitet, seitdem müssen auch Anlagen zur Metallverarbeitung, Herstellung von Aluminium, </w:t>
      </w:r>
      <w:proofErr w:type="spellStart"/>
      <w:r w:rsidRPr="000C60E8">
        <w:t>Adipin</w:t>
      </w:r>
      <w:proofErr w:type="spellEnd"/>
      <w:r w:rsidRPr="000C60E8">
        <w:t xml:space="preserve">- und Salpetersäure, Ammoniak und andere Anlagen der chemischen Industrie ihre Emissionen berichten und eine entsprechende Menge an Emissionsberechtigungen abgeben. Weiterhin gilt seit der dritten Handelsperiode die Berichts- und Abgabepflicht nicht mehr nur für Kohlendioxid, sondern zusätzlich sowohl für die perfluorierten Kohlenwasserstoff-Emissionen der Primäraluminiumherstellung als auch für die Distickstoffmonoxid-Emissionen der </w:t>
      </w:r>
      <w:proofErr w:type="spellStart"/>
      <w:r w:rsidRPr="000C60E8">
        <w:t>Adipin</w:t>
      </w:r>
      <w:proofErr w:type="spellEnd"/>
      <w:r w:rsidRPr="000C60E8">
        <w:t>- und Salpetersäureherstellung. Bei Berücksichtigung der (geschätzten) Emissionen dieser Anlagen (sogenannte „</w:t>
      </w:r>
      <w:proofErr w:type="spellStart"/>
      <w:r w:rsidRPr="000C60E8">
        <w:t>scope</w:t>
      </w:r>
      <w:proofErr w:type="spellEnd"/>
      <w:r w:rsidRPr="000C60E8">
        <w:t xml:space="preserve">-Korrektur“) würden die Emissionen zwischen 2012 und 2013 nicht steigen, sondern sinken. Die </w:t>
      </w:r>
      <w:proofErr w:type="spellStart"/>
      <w:r w:rsidRPr="000C60E8">
        <w:t>scope</w:t>
      </w:r>
      <w:proofErr w:type="spellEnd"/>
      <w:r w:rsidRPr="000C60E8">
        <w:t>-Korrektur ist ein Schätzverfahren der Europäischen Umweltagentur.</w:t>
      </w:r>
      <w:r>
        <w:t xml:space="preserve">“ Siehe Umweltbundesamt, 23.11.2023, in: </w:t>
      </w:r>
      <w:hyperlink r:id="rId1207" w:anchor="vergleich-von-emissionen-und-emissionsobergrenzen-cap-im-eu-ets" w:history="1">
        <w:r w:rsidRPr="005735F8">
          <w:rPr>
            <w:rStyle w:val="Hyperlink"/>
          </w:rPr>
          <w:t>https://www.umweltbundesamt.de/daten/klima/der-europaeische-emissionshandel#vergleich-von-emissionen-und-emissionsobergrenzen-cap-im-eu-ets</w:t>
        </w:r>
      </w:hyperlink>
      <w:r>
        <w:t xml:space="preserve"> – Zugegriffen: 30.12.2023. </w:t>
      </w:r>
    </w:p>
  </w:footnote>
  <w:footnote w:id="1576">
    <w:p w14:paraId="41C07BC1" w14:textId="77777777" w:rsidR="00112190" w:rsidRDefault="00112190" w:rsidP="00112190">
      <w:pPr>
        <w:pStyle w:val="Funotentext"/>
      </w:pPr>
      <w:r>
        <w:rPr>
          <w:rStyle w:val="Funotenzeichen"/>
        </w:rPr>
        <w:footnoteRef/>
      </w:r>
      <w:r>
        <w:t xml:space="preserve"> </w:t>
      </w:r>
      <w:r w:rsidRPr="0077134B">
        <w:t>Siehe BMWK, Die Energie der Zukunft, 8. Monitoring Bericht zur Energiewende, Berichtsjahr 2018 und 2019, Stand 2021: S. 3</w:t>
      </w:r>
      <w:r>
        <w:t>8.</w:t>
      </w:r>
    </w:p>
  </w:footnote>
  <w:footnote w:id="1577">
    <w:p w14:paraId="10587E3F" w14:textId="77777777" w:rsidR="00112190" w:rsidRDefault="00112190" w:rsidP="00112190">
      <w:pPr>
        <w:pStyle w:val="Funotentext"/>
      </w:pPr>
      <w:r>
        <w:rPr>
          <w:rStyle w:val="Funotenzeichen"/>
        </w:rPr>
        <w:footnoteRef/>
      </w:r>
      <w:r>
        <w:t xml:space="preserve"> Siehe: </w:t>
      </w:r>
      <w:hyperlink r:id="rId1208" w:history="1">
        <w:r w:rsidRPr="000700D9">
          <w:rPr>
            <w:rStyle w:val="Hyperlink"/>
          </w:rPr>
          <w:t>https://eur-lex.europa.eu/legal-content/DE/TXT/PDF/?uri=CELEX:32019D0708&amp;from=DE</w:t>
        </w:r>
      </w:hyperlink>
      <w:r>
        <w:t xml:space="preserve"> – Zugegriffen: 29.12.2023. </w:t>
      </w:r>
    </w:p>
  </w:footnote>
  <w:footnote w:id="1578">
    <w:p w14:paraId="2DEFF647" w14:textId="77777777" w:rsidR="00112190" w:rsidRDefault="00112190" w:rsidP="00112190">
      <w:pPr>
        <w:pStyle w:val="Funotentext"/>
      </w:pPr>
      <w:r>
        <w:rPr>
          <w:rStyle w:val="Funotenzeichen"/>
        </w:rPr>
        <w:footnoteRef/>
      </w:r>
      <w:r>
        <w:t xml:space="preserve"> Die aktuelle Leitlinie ist: Leitlinien für bestimmte Beihilfemaßnahmen im Zusammenhang mit dem System für den Handel mit Treibhausgasemissionszertifikaten nach 2021 (2020/C 317/04): </w:t>
      </w:r>
      <w:hyperlink r:id="rId1209" w:history="1">
        <w:r w:rsidRPr="001602B8">
          <w:rPr>
            <w:rStyle w:val="Hyperlink"/>
          </w:rPr>
          <w:t>https://eur-lex.europa.eu/legal-content/DE/TXT/PDF/?uri=CELEX:52020XC0925(01)&amp;from=DE</w:t>
        </w:r>
      </w:hyperlink>
      <w:r>
        <w:t xml:space="preserve"> – Zugegriffen: 07.01.2024. </w:t>
      </w:r>
    </w:p>
  </w:footnote>
  <w:footnote w:id="1579">
    <w:p w14:paraId="69C7CEE4" w14:textId="77777777" w:rsidR="00112190" w:rsidRDefault="00112190" w:rsidP="00112190">
      <w:pPr>
        <w:pStyle w:val="Funotentext"/>
      </w:pPr>
      <w:r>
        <w:rPr>
          <w:rStyle w:val="Funotenzeichen"/>
        </w:rPr>
        <w:footnoteRef/>
      </w:r>
      <w:r>
        <w:t xml:space="preserve"> Siehe für 50 %: </w:t>
      </w:r>
      <w:hyperlink r:id="rId1210" w:history="1">
        <w:r w:rsidRPr="00183970">
          <w:rPr>
            <w:rStyle w:val="Hyperlink"/>
          </w:rPr>
          <w:t>https://www.bmwk-energiewende.de/EWD/Redaktion/Newsletter/2020/08/Meldung/direkt-erklaert.html</w:t>
        </w:r>
      </w:hyperlink>
      <w:r>
        <w:t xml:space="preserve"> - Zugegriffen: 20.10.2023. </w:t>
      </w:r>
      <w:r w:rsidRPr="00EB7A56">
        <w:t xml:space="preserve">Siehe </w:t>
      </w:r>
      <w:r>
        <w:t xml:space="preserve">für 40 % </w:t>
      </w:r>
      <w:r w:rsidRPr="00EB7A56">
        <w:t xml:space="preserve">BMWK, Die Energie der Zukunft, 8. Monitoring Bericht zur Energiewende, Berichtsjahr 2018 und 2019, Stand 2021: S. </w:t>
      </w:r>
      <w:r>
        <w:t xml:space="preserve">36. Hier wird 40 % genommen. </w:t>
      </w:r>
    </w:p>
  </w:footnote>
  <w:footnote w:id="1580">
    <w:p w14:paraId="3158FD83" w14:textId="77777777" w:rsidR="00112190" w:rsidRDefault="00112190" w:rsidP="00112190">
      <w:pPr>
        <w:pStyle w:val="Funotentext"/>
      </w:pPr>
      <w:r>
        <w:rPr>
          <w:rStyle w:val="Funotenzeichen"/>
        </w:rPr>
        <w:footnoteRef/>
      </w:r>
      <w:r>
        <w:t xml:space="preserve"> </w:t>
      </w:r>
      <w:r w:rsidRPr="00EF6573">
        <w:t xml:space="preserve">Verordnung (EU) 2018/842 des Europäischen Parlaments und des Rates, vom 30. Mai 2018, </w:t>
      </w:r>
      <w:proofErr w:type="spellStart"/>
      <w:r w:rsidRPr="00EF6573">
        <w:t>ABl.</w:t>
      </w:r>
      <w:proofErr w:type="spellEnd"/>
      <w:r w:rsidRPr="00EF6573">
        <w:t xml:space="preserve"> L 156/26. </w:t>
      </w:r>
      <w:r>
        <w:t xml:space="preserve">Einleitung, Para. (2). </w:t>
      </w:r>
    </w:p>
  </w:footnote>
  <w:footnote w:id="1581">
    <w:p w14:paraId="3E0247A8" w14:textId="77777777" w:rsidR="00112190" w:rsidRDefault="00112190" w:rsidP="00112190">
      <w:pPr>
        <w:pStyle w:val="Funotentext"/>
      </w:pPr>
      <w:r>
        <w:rPr>
          <w:rStyle w:val="Funotenzeichen"/>
        </w:rPr>
        <w:footnoteRef/>
      </w:r>
      <w:r>
        <w:t xml:space="preserve"> Siehe Pressemitteilung über einen ehrgeizigeren EU-Emissionshandel (ETS): </w:t>
      </w:r>
      <w:hyperlink r:id="rId1211" w:history="1">
        <w:r w:rsidRPr="00335629">
          <w:rPr>
            <w:rStyle w:val="Hyperlink"/>
          </w:rPr>
          <w:t>https://www.europarl.europa.eu/news/de/press-room/20221212IPR64527/klimaschutz-einigung-uber-ehrgeizigeren-eu-emissionshandel-ets</w:t>
        </w:r>
      </w:hyperlink>
      <w:r>
        <w:t xml:space="preserve"> - Zugegriffen: 01.11.2023. </w:t>
      </w:r>
    </w:p>
  </w:footnote>
  <w:footnote w:id="1582">
    <w:p w14:paraId="7883D34A" w14:textId="77777777" w:rsidR="00112190" w:rsidRDefault="00112190" w:rsidP="00112190">
      <w:pPr>
        <w:pStyle w:val="Funotentext"/>
      </w:pPr>
      <w:r>
        <w:rPr>
          <w:rStyle w:val="Funotenzeichen"/>
        </w:rPr>
        <w:footnoteRef/>
      </w:r>
      <w:r>
        <w:t xml:space="preserve"> Siehe die CORSIA Webseite der ICAO: </w:t>
      </w:r>
      <w:hyperlink r:id="rId1212" w:history="1">
        <w:r w:rsidRPr="00372C9A">
          <w:rPr>
            <w:rStyle w:val="Hyperlink"/>
          </w:rPr>
          <w:t>https://www.icao.int/environmental-protection/CORSIA/Pages/default.aspx</w:t>
        </w:r>
      </w:hyperlink>
      <w:r>
        <w:t xml:space="preserve"> - Zugegriffen: 26.12.2023. </w:t>
      </w:r>
    </w:p>
  </w:footnote>
  <w:footnote w:id="1583">
    <w:p w14:paraId="1600F359" w14:textId="361B3802" w:rsidR="00126E56" w:rsidRDefault="00126E56">
      <w:pPr>
        <w:pStyle w:val="Funotentext"/>
      </w:pPr>
      <w:r>
        <w:rPr>
          <w:rStyle w:val="Funotenzeichen"/>
        </w:rPr>
        <w:footnoteRef/>
      </w:r>
      <w:r>
        <w:t xml:space="preserve"> Siehe hier ein Überblickstext über CORSIA: </w:t>
      </w:r>
      <w:hyperlink r:id="rId1213" w:history="1">
        <w:r w:rsidRPr="00126E56">
          <w:rPr>
            <w:rStyle w:val="Hyperlink"/>
          </w:rPr>
          <w:t>https://unitingaviation.com/news/environment/the-evolution-of-market-based-measures-icaos-three-decade-climate-action-journey-to-corsia/</w:t>
        </w:r>
      </w:hyperlink>
      <w:r>
        <w:t xml:space="preserve"> – Zugegriffen: 15.05.2025. </w:t>
      </w:r>
    </w:p>
  </w:footnote>
  <w:footnote w:id="1584">
    <w:p w14:paraId="744DC739" w14:textId="77777777" w:rsidR="00112190" w:rsidRDefault="00112190" w:rsidP="00112190">
      <w:pPr>
        <w:pStyle w:val="Funotentext"/>
      </w:pPr>
      <w:r>
        <w:rPr>
          <w:rStyle w:val="Funotenzeichen"/>
        </w:rPr>
        <w:footnoteRef/>
      </w:r>
      <w:r>
        <w:t xml:space="preserve"> Siehe: </w:t>
      </w:r>
      <w:hyperlink r:id="rId1214" w:history="1">
        <w:r w:rsidRPr="00372C9A">
          <w:rPr>
            <w:rStyle w:val="Hyperlink"/>
          </w:rPr>
          <w:t>https://ec.europa.eu/commission/presscorner/detail/en/ip_22_7609</w:t>
        </w:r>
      </w:hyperlink>
      <w:r>
        <w:t xml:space="preserve"> - Zugegriffen: 26.12.2023. </w:t>
      </w:r>
    </w:p>
  </w:footnote>
  <w:footnote w:id="1585">
    <w:p w14:paraId="66E0D3F6" w14:textId="77777777" w:rsidR="00112190" w:rsidRDefault="00112190" w:rsidP="00112190">
      <w:pPr>
        <w:pStyle w:val="Funotentext"/>
      </w:pPr>
      <w:r>
        <w:rPr>
          <w:rStyle w:val="Funotenzeichen"/>
        </w:rPr>
        <w:footnoteRef/>
      </w:r>
      <w:r>
        <w:t xml:space="preserve"> ETS 2 Richtlinie: </w:t>
      </w:r>
      <w:hyperlink r:id="rId1215" w:history="1">
        <w:r w:rsidRPr="005735F8">
          <w:rPr>
            <w:rStyle w:val="Hyperlink"/>
          </w:rPr>
          <w:t>https://eur-lex.europa.eu/legal-content/DE/TXT/PDF/?uri=CELEX:32023L0959</w:t>
        </w:r>
      </w:hyperlink>
      <w:r>
        <w:t xml:space="preserve"> – Zugegriffen: 30.12.2023. </w:t>
      </w:r>
    </w:p>
  </w:footnote>
  <w:footnote w:id="1586">
    <w:p w14:paraId="5A3060C1" w14:textId="77777777" w:rsidR="00112190" w:rsidRDefault="00112190" w:rsidP="00112190">
      <w:pPr>
        <w:pStyle w:val="Funotentext"/>
      </w:pPr>
      <w:r>
        <w:rPr>
          <w:rStyle w:val="Funotenzeichen"/>
        </w:rPr>
        <w:footnoteRef/>
      </w:r>
      <w:r>
        <w:t xml:space="preserve"> Art. 30 k, S. 57. </w:t>
      </w:r>
      <w:r w:rsidRPr="0005483B">
        <w:t>Richtlinie (EU) 2023/959, 10. Mai 2023</w:t>
      </w:r>
      <w:r>
        <w:t xml:space="preserve">. Die Kriterien sind: „a) Der durchschnittliche </w:t>
      </w:r>
      <w:proofErr w:type="gramStart"/>
      <w:r>
        <w:t>TTF Gaspreis</w:t>
      </w:r>
      <w:proofErr w:type="gramEnd"/>
      <w:r>
        <w:t xml:space="preserve"> für die sechs Kalendermonate, die am 30. Juni 2026 enden, lag über dem durchschnittlichen </w:t>
      </w:r>
      <w:proofErr w:type="gramStart"/>
      <w:r>
        <w:t>TTF Gaspreis</w:t>
      </w:r>
      <w:proofErr w:type="gramEnd"/>
      <w:r>
        <w:t xml:space="preserve"> im Februar und März 2022; b) der durchschnittliche Preis für Rohöl der Sorte Brent für die sechs Kalendermonate, die am 30. Juni 2026 enden, war mehr als doppelt so hoch wie der durchschnittliche Preis für Rohöl der Sorte Brent in den fünf vorangegangenen Jahren. Der Bezugszeitraum von fünf Jahren ist der Fünfjahreszeitraum, der vor dem ersten Monat des Zeitraums der sechs Kalendermonate endet.“</w:t>
      </w:r>
    </w:p>
  </w:footnote>
  <w:footnote w:id="1587">
    <w:p w14:paraId="0CFCA488" w14:textId="77777777" w:rsidR="00112190" w:rsidRDefault="00112190" w:rsidP="00112190">
      <w:pPr>
        <w:pStyle w:val="Funotentext"/>
      </w:pPr>
      <w:r>
        <w:rPr>
          <w:rStyle w:val="Funotenzeichen"/>
        </w:rPr>
        <w:footnoteRef/>
      </w:r>
      <w:r>
        <w:t xml:space="preserve"> Siehe die EU Emissionshandels Übersichtswebseite: </w:t>
      </w:r>
      <w:hyperlink r:id="rId1216" w:history="1">
        <w:r w:rsidRPr="00335629">
          <w:rPr>
            <w:rStyle w:val="Hyperlink"/>
          </w:rPr>
          <w:t>https://climate.ec.europa.eu/eu-action/eu-emissions-trading-system-eu-ets_de</w:t>
        </w:r>
      </w:hyperlink>
      <w:r>
        <w:t xml:space="preserve"> - Zugegriffen: 01.11.2023. Siehe Pressemitteilung: </w:t>
      </w:r>
      <w:hyperlink r:id="rId1217" w:history="1">
        <w:r w:rsidRPr="00335629">
          <w:rPr>
            <w:rStyle w:val="Hyperlink"/>
          </w:rPr>
          <w:t>https://www.europarl.europa.eu/news/de/press-room/20221212IPR64527/klimaschutz-einigung-uber-ehrgeizigeren-eu-emissionshandel-ets</w:t>
        </w:r>
      </w:hyperlink>
      <w:r>
        <w:t xml:space="preserve"> - Zugegriffen: 01.11.2023. </w:t>
      </w:r>
    </w:p>
  </w:footnote>
  <w:footnote w:id="1588">
    <w:p w14:paraId="5340B5C5" w14:textId="77777777" w:rsidR="00112190" w:rsidRDefault="00112190" w:rsidP="00112190">
      <w:pPr>
        <w:pStyle w:val="Funotentext"/>
      </w:pPr>
      <w:r>
        <w:rPr>
          <w:rStyle w:val="Funotenzeichen"/>
        </w:rPr>
        <w:footnoteRef/>
      </w:r>
      <w:r>
        <w:t xml:space="preserve"> </w:t>
      </w:r>
      <w:r w:rsidRPr="00813825">
        <w:t>BMWK. Die Energie der Zukunft, 8. Monitoring Bereich zur Energiewende, Berichtsjahre 2018 und 2019, Stand 2021: 30.</w:t>
      </w:r>
    </w:p>
  </w:footnote>
  <w:footnote w:id="1589">
    <w:p w14:paraId="748A2187" w14:textId="77777777" w:rsidR="00112190" w:rsidRDefault="00112190" w:rsidP="00112190">
      <w:pPr>
        <w:pStyle w:val="Funotentext"/>
      </w:pPr>
      <w:r>
        <w:rPr>
          <w:rStyle w:val="Funotenzeichen"/>
        </w:rPr>
        <w:footnoteRef/>
      </w:r>
      <w:r>
        <w:t xml:space="preserve"> Siehe: </w:t>
      </w:r>
      <w:hyperlink r:id="rId1218" w:history="1">
        <w:r w:rsidRPr="00372C9A">
          <w:rPr>
            <w:rStyle w:val="Hyperlink"/>
          </w:rPr>
          <w:t>https://ec.europa.eu/commission/presscorner/detail/en/ip_22_7796</w:t>
        </w:r>
      </w:hyperlink>
      <w:r>
        <w:t xml:space="preserve"> - Zugegriffen: 26.12.2023. </w:t>
      </w:r>
    </w:p>
  </w:footnote>
  <w:footnote w:id="1590">
    <w:p w14:paraId="72352583" w14:textId="77777777" w:rsidR="00112190" w:rsidRDefault="00112190" w:rsidP="00112190">
      <w:pPr>
        <w:pStyle w:val="Funotentext"/>
      </w:pPr>
      <w:r>
        <w:rPr>
          <w:rStyle w:val="Funotenzeichen"/>
        </w:rPr>
        <w:footnoteRef/>
      </w:r>
      <w:r>
        <w:t xml:space="preserve"> Siehe Info vom 20.12.2023: </w:t>
      </w:r>
      <w:hyperlink r:id="rId1219" w:history="1">
        <w:r w:rsidRPr="00E92795">
          <w:rPr>
            <w:rStyle w:val="Hyperlink"/>
          </w:rPr>
          <w:t>https://ec.europa.eu/commission/presscorner/detail/en/IP_23_6644</w:t>
        </w:r>
      </w:hyperlink>
      <w:r>
        <w:t xml:space="preserve"> - Zugegriffen: 26.12.2023.</w:t>
      </w:r>
    </w:p>
  </w:footnote>
  <w:footnote w:id="1591">
    <w:p w14:paraId="7C56B349" w14:textId="3F4FEA57" w:rsidR="00892FED" w:rsidRDefault="00892FED">
      <w:pPr>
        <w:pStyle w:val="Funotentext"/>
      </w:pPr>
      <w:r>
        <w:rPr>
          <w:rStyle w:val="Funotenzeichen"/>
        </w:rPr>
        <w:footnoteRef/>
      </w:r>
      <w:r>
        <w:t xml:space="preserve"> Siehe Bundesumweltamt, Pressemitteilung 16.07.2024: </w:t>
      </w:r>
      <w:hyperlink r:id="rId1220" w:history="1">
        <w:r w:rsidRPr="00A0302A">
          <w:rPr>
            <w:rStyle w:val="Hyperlink"/>
          </w:rPr>
          <w:t>https://www.umweltbundesamt.de/presse/pressemitteilungen/europaeischer-emissionshandel-rekordrueckgang-der</w:t>
        </w:r>
      </w:hyperlink>
      <w:r>
        <w:t xml:space="preserve"> - Zugegriffen: 19.07.2024. Siehe dies als Meldung in der FAZ: Hanna Decker. Rekorderlöse aus Emissionshandel, FAZ, 17.07.2024. </w:t>
      </w:r>
    </w:p>
  </w:footnote>
  <w:footnote w:id="1592">
    <w:p w14:paraId="7BECFAF6" w14:textId="77777777" w:rsidR="00112190" w:rsidRPr="00B64029" w:rsidRDefault="00112190" w:rsidP="00112190">
      <w:pPr>
        <w:pStyle w:val="Funotentext"/>
      </w:pPr>
      <w:r>
        <w:rPr>
          <w:rStyle w:val="Funotenzeichen"/>
        </w:rPr>
        <w:footnoteRef/>
      </w:r>
      <w:r>
        <w:t xml:space="preserve"> </w:t>
      </w:r>
      <w:r w:rsidRPr="00B64029">
        <w:t>Verordnung (EU) 2023/956</w:t>
      </w:r>
      <w:r>
        <w:t xml:space="preserve">, 10. </w:t>
      </w:r>
      <w:r w:rsidRPr="00B64029">
        <w:t xml:space="preserve">Mail 2023, siehe: </w:t>
      </w:r>
      <w:hyperlink r:id="rId1221" w:history="1">
        <w:r w:rsidRPr="006A0612">
          <w:rPr>
            <w:rStyle w:val="Hyperlink"/>
          </w:rPr>
          <w:t>https://eur-lex.europa.eu/legal-content/DE/TXT/PDF/?uri=CELEX:32023R0956</w:t>
        </w:r>
      </w:hyperlink>
      <w:r>
        <w:t xml:space="preserve"> – Zugegriffen: 20.01.2024.</w:t>
      </w:r>
    </w:p>
  </w:footnote>
  <w:footnote w:id="1593">
    <w:p w14:paraId="4D64B09E" w14:textId="77777777" w:rsidR="00112190" w:rsidRDefault="00112190" w:rsidP="00112190">
      <w:pPr>
        <w:pStyle w:val="Funotentext"/>
      </w:pPr>
      <w:r>
        <w:rPr>
          <w:rStyle w:val="Funotenzeichen"/>
        </w:rPr>
        <w:footnoteRef/>
      </w:r>
      <w:r>
        <w:t xml:space="preserve"> Auf einen Blick. Überprüfung des EU-EHS: Fit für 55. Siehe: </w:t>
      </w:r>
      <w:hyperlink r:id="rId1222" w:history="1">
        <w:r w:rsidRPr="004226BE">
          <w:rPr>
            <w:rStyle w:val="Hyperlink"/>
          </w:rPr>
          <w:t>https://www.europarl.europa.eu/RegData/etudes/ATAG/2022/729455/EPRS_ATA(2022)729455_DE.pdf</w:t>
        </w:r>
      </w:hyperlink>
      <w:r>
        <w:t xml:space="preserve"> – Zugegriffen: 30.12.2023. </w:t>
      </w:r>
    </w:p>
  </w:footnote>
  <w:footnote w:id="1594">
    <w:p w14:paraId="2AD883FA" w14:textId="77777777" w:rsidR="00112190" w:rsidRDefault="00112190" w:rsidP="00112190">
      <w:pPr>
        <w:pStyle w:val="Funotentext"/>
      </w:pPr>
      <w:r>
        <w:rPr>
          <w:rStyle w:val="Funotenzeichen"/>
        </w:rPr>
        <w:footnoteRef/>
      </w:r>
      <w:r>
        <w:t xml:space="preserve"> </w:t>
      </w:r>
      <w:r w:rsidRPr="00DC1205">
        <w:t xml:space="preserve">BMWK. Die Energie der Zukunft, 8. Monitoring Bereich zur Energiewende, Berichtsjahre 2018 und 2019, Stand 2021: </w:t>
      </w:r>
      <w:r>
        <w:t>40-</w:t>
      </w:r>
      <w:proofErr w:type="gramStart"/>
      <w:r>
        <w:t>41.</w:t>
      </w:r>
      <w:r w:rsidRPr="00DC1205">
        <w:t>.</w:t>
      </w:r>
      <w:proofErr w:type="gramEnd"/>
    </w:p>
  </w:footnote>
  <w:footnote w:id="1595">
    <w:p w14:paraId="4F4BDAD9" w14:textId="77777777" w:rsidR="00112190" w:rsidRDefault="00112190" w:rsidP="00112190">
      <w:pPr>
        <w:pStyle w:val="Funotentext"/>
      </w:pPr>
      <w:r>
        <w:rPr>
          <w:rStyle w:val="Funotenzeichen"/>
        </w:rPr>
        <w:footnoteRef/>
      </w:r>
      <w:r>
        <w:t xml:space="preserve"> Hier: </w:t>
      </w:r>
      <w:hyperlink r:id="rId1223" w:history="1">
        <w:r w:rsidRPr="005735F8">
          <w:rPr>
            <w:rStyle w:val="Hyperlink"/>
          </w:rPr>
          <w:t>https://climate.ec.europa.eu/eu-action/eu-emissions-trading-system-eu-ets_de?prefLang=de</w:t>
        </w:r>
      </w:hyperlink>
      <w:r>
        <w:t xml:space="preserve"> – Zugegriffen: 30.12.2023. </w:t>
      </w:r>
    </w:p>
  </w:footnote>
  <w:footnote w:id="1596">
    <w:p w14:paraId="2C17862F" w14:textId="77777777" w:rsidR="00112190" w:rsidRDefault="00112190" w:rsidP="00112190">
      <w:pPr>
        <w:pStyle w:val="Funotentext"/>
      </w:pPr>
      <w:r>
        <w:rPr>
          <w:rStyle w:val="Funotenzeichen"/>
        </w:rPr>
        <w:footnoteRef/>
      </w:r>
      <w:r>
        <w:t xml:space="preserve"> Siehe die Webseite der Deutschen Emissionshandelsstelle (</w:t>
      </w:r>
      <w:proofErr w:type="spellStart"/>
      <w:r>
        <w:t>DEHSt</w:t>
      </w:r>
      <w:proofErr w:type="spellEnd"/>
      <w:r>
        <w:t xml:space="preserve">):  </w:t>
      </w:r>
      <w:hyperlink r:id="rId1224" w:history="1">
        <w:r w:rsidRPr="00335629">
          <w:rPr>
            <w:rStyle w:val="Hyperlink"/>
          </w:rPr>
          <w:t>https://www.dehst.de/DE/Nationaler-Emissionshandel/nationaler-emissionshandel_node.html</w:t>
        </w:r>
      </w:hyperlink>
      <w:r>
        <w:t xml:space="preserve"> – siehe dort auch: </w:t>
      </w:r>
      <w:hyperlink r:id="rId1225" w:history="1">
        <w:r w:rsidRPr="00DB1672">
          <w:rPr>
            <w:rStyle w:val="Hyperlink"/>
          </w:rPr>
          <w:t>https://www.dehst.de/DE/Nationaler-Emissionshandel/nEHS-verstehen/nehs-verstehen_node.html</w:t>
        </w:r>
      </w:hyperlink>
      <w:r>
        <w:t xml:space="preserve"> - Zugegriffen: 01.11.2023. Siehe zur Erklärung z.B. IHK Darmstadt: </w:t>
      </w:r>
      <w:hyperlink r:id="rId1226" w:history="1">
        <w:r w:rsidRPr="0088482B">
          <w:rPr>
            <w:rStyle w:val="Hyperlink"/>
          </w:rPr>
          <w:t>https://www.ihk.de/darmstadt/produktmarken/beraten-und-informieren/umwelt-energie/energie/co2-4728298?print=true&amp;printsrc=button</w:t>
        </w:r>
      </w:hyperlink>
      <w:r>
        <w:t xml:space="preserve"> – Zugegriffen: 03.11.2023.</w:t>
      </w:r>
    </w:p>
  </w:footnote>
  <w:footnote w:id="1597">
    <w:p w14:paraId="62538B40" w14:textId="6690F442" w:rsidR="00F417E4" w:rsidRDefault="00F417E4">
      <w:pPr>
        <w:pStyle w:val="Funotentext"/>
      </w:pPr>
      <w:r>
        <w:rPr>
          <w:rStyle w:val="Funotenzeichen"/>
        </w:rPr>
        <w:footnoteRef/>
      </w:r>
      <w:r>
        <w:t xml:space="preserve"> Siehe: </w:t>
      </w:r>
      <w:hyperlink r:id="rId1227" w:history="1">
        <w:r w:rsidRPr="000B5FAA">
          <w:rPr>
            <w:rStyle w:val="Hyperlink"/>
          </w:rPr>
          <w:t>https://www.recht.bund.de/bgbl/1/2025/70/VO.html</w:t>
        </w:r>
      </w:hyperlink>
      <w:r>
        <w:t xml:space="preserve"> - Zugegriffen: 12.04.2025. </w:t>
      </w:r>
    </w:p>
  </w:footnote>
  <w:footnote w:id="1598">
    <w:p w14:paraId="1D837A44" w14:textId="77777777" w:rsidR="00112190" w:rsidRPr="00891DC4" w:rsidRDefault="00112190" w:rsidP="00112190">
      <w:pPr>
        <w:pStyle w:val="Funotentext"/>
      </w:pPr>
      <w:r>
        <w:rPr>
          <w:rStyle w:val="Funotenzeichen"/>
        </w:rPr>
        <w:footnoteRef/>
      </w:r>
      <w:r>
        <w:t xml:space="preserve"> Siehe: Beschluss (EU) 2015/1814 des Europäischen Parlaments und des Rates vom 6. Oktober 2015, über die Einrichtung und Anwendung einer Marktstabilitätsreserve … </w:t>
      </w:r>
      <w:proofErr w:type="spellStart"/>
      <w:r w:rsidRPr="0056783A">
        <w:t>ABl.</w:t>
      </w:r>
      <w:proofErr w:type="spellEnd"/>
      <w:r w:rsidRPr="0056783A">
        <w:t xml:space="preserve"> L 264/1, 9.10.2015. </w:t>
      </w:r>
      <w:r w:rsidRPr="00891DC4">
        <w:t xml:space="preserve">URL: </w:t>
      </w:r>
      <w:hyperlink r:id="rId1228" w:history="1">
        <w:r w:rsidRPr="00891DC4">
          <w:rPr>
            <w:rStyle w:val="Hyperlink"/>
          </w:rPr>
          <w:t>https://eur-lex.europa.eu/legal-content/DE/TXT/PDF/?uri=CELEX:32015D1814</w:t>
        </w:r>
      </w:hyperlink>
      <w:r w:rsidRPr="00891DC4">
        <w:t xml:space="preserve"> </w:t>
      </w:r>
      <w:r>
        <w:t>–</w:t>
      </w:r>
      <w:r w:rsidRPr="00891DC4">
        <w:t xml:space="preserve"> Zu</w:t>
      </w:r>
      <w:r>
        <w:t xml:space="preserve">gegriffen: 01.11.2023. </w:t>
      </w:r>
    </w:p>
  </w:footnote>
  <w:footnote w:id="1599">
    <w:p w14:paraId="57F6373A" w14:textId="77777777" w:rsidR="00112190" w:rsidRDefault="00112190" w:rsidP="00112190">
      <w:pPr>
        <w:pStyle w:val="Funotentext"/>
      </w:pPr>
      <w:r>
        <w:rPr>
          <w:rStyle w:val="Funotenzeichen"/>
        </w:rPr>
        <w:footnoteRef/>
      </w:r>
      <w:r>
        <w:t xml:space="preserve"> Erwägungsgrund (4). Beschluss (EU) 2015/1814 des Europäischen Parlaments und des Rates vom 6. Oktober 2015, über die Einrichtung und Anwendung einer Marktstabilitätsreserve … </w:t>
      </w:r>
      <w:proofErr w:type="spellStart"/>
      <w:r w:rsidRPr="0056783A">
        <w:t>ABl.</w:t>
      </w:r>
      <w:proofErr w:type="spellEnd"/>
      <w:r w:rsidRPr="0056783A">
        <w:t xml:space="preserve"> L 264/1, 9.10.2015. </w:t>
      </w:r>
      <w:r w:rsidRPr="00891DC4">
        <w:t xml:space="preserve">URL: </w:t>
      </w:r>
      <w:hyperlink r:id="rId1229" w:history="1">
        <w:r w:rsidRPr="00891DC4">
          <w:rPr>
            <w:rStyle w:val="Hyperlink"/>
          </w:rPr>
          <w:t>https://eur-lex.europa.eu/legal-content/DE/TXT/PDF/?uri=CELEX:32015D1814</w:t>
        </w:r>
      </w:hyperlink>
      <w:r w:rsidRPr="00891DC4">
        <w:t xml:space="preserve"> </w:t>
      </w:r>
      <w:r>
        <w:t>–</w:t>
      </w:r>
      <w:r w:rsidRPr="00891DC4">
        <w:t xml:space="preserve"> Zu</w:t>
      </w:r>
      <w:r>
        <w:t xml:space="preserve">gegriffen: 01.11.2023. </w:t>
      </w:r>
    </w:p>
  </w:footnote>
  <w:footnote w:id="1600">
    <w:p w14:paraId="1BB19293" w14:textId="77777777" w:rsidR="00112190" w:rsidRDefault="00112190" w:rsidP="00112190">
      <w:pPr>
        <w:pStyle w:val="Funotentext"/>
      </w:pPr>
      <w:r>
        <w:rPr>
          <w:rStyle w:val="Funotenzeichen"/>
        </w:rPr>
        <w:footnoteRef/>
      </w:r>
      <w:r>
        <w:t xml:space="preserve"> Originalfassung </w:t>
      </w:r>
      <w:r w:rsidRPr="00F85FAB">
        <w:t>Beschluss (EU) 2015/1814</w:t>
      </w:r>
      <w:r>
        <w:t>., Erwägungsgrund (5)</w:t>
      </w:r>
    </w:p>
  </w:footnote>
  <w:footnote w:id="1601">
    <w:p w14:paraId="0650D777" w14:textId="77777777" w:rsidR="00112190" w:rsidRDefault="00112190" w:rsidP="00112190">
      <w:pPr>
        <w:pStyle w:val="Funotentext"/>
      </w:pPr>
      <w:r>
        <w:rPr>
          <w:rStyle w:val="Funotenzeichen"/>
        </w:rPr>
        <w:footnoteRef/>
      </w:r>
      <w:r>
        <w:t xml:space="preserve"> </w:t>
      </w:r>
      <w:bookmarkStart w:id="84" w:name="_Hlk156662599"/>
      <w:r w:rsidRPr="0057447D">
        <w:rPr>
          <w:u w:val="single"/>
        </w:rPr>
        <w:t>Marktstabilitätsreserve, konsolidierte</w:t>
      </w:r>
      <w:r w:rsidRPr="00BF3426">
        <w:rPr>
          <w:u w:val="single"/>
        </w:rPr>
        <w:t xml:space="preserve"> Fassung, Beschluss (EU) 2025/1814</w:t>
      </w:r>
      <w:r>
        <w:t xml:space="preserve">, siehe: </w:t>
      </w:r>
      <w:hyperlink r:id="rId1230" w:history="1">
        <w:r w:rsidRPr="00DB1672">
          <w:rPr>
            <w:rStyle w:val="Hyperlink"/>
          </w:rPr>
          <w:t>https://eur-lex.europa.eu/legal-content/DE/TXT/PDF/?uri=CELEX:02015D1814-20240101</w:t>
        </w:r>
      </w:hyperlink>
      <w:r>
        <w:t xml:space="preserve"> – Zugegriffen: 07.04.2024.</w:t>
      </w:r>
      <w:bookmarkEnd w:id="84"/>
    </w:p>
  </w:footnote>
  <w:footnote w:id="1602">
    <w:p w14:paraId="66669D56" w14:textId="77777777" w:rsidR="00112190" w:rsidRDefault="00112190" w:rsidP="00112190">
      <w:pPr>
        <w:pStyle w:val="Funotentext"/>
      </w:pPr>
      <w:r>
        <w:rPr>
          <w:rStyle w:val="Funotenzeichen"/>
        </w:rPr>
        <w:footnoteRef/>
      </w:r>
      <w:r>
        <w:t xml:space="preserve"> Siehe die Infos auf dieser Webseite: </w:t>
      </w:r>
      <w:hyperlink r:id="rId1231" w:history="1">
        <w:r w:rsidRPr="00DB1672">
          <w:rPr>
            <w:rStyle w:val="Hyperlink"/>
          </w:rPr>
          <w:t>https://climate.ec.europa.eu/eu-action/eu-emissions-trading-system-eu-ets/market-stability-reserve_de?prefLang=de</w:t>
        </w:r>
      </w:hyperlink>
      <w:r>
        <w:t xml:space="preserve"> – Zugegriffen: 07.01.2024. </w:t>
      </w:r>
    </w:p>
  </w:footnote>
  <w:footnote w:id="1603">
    <w:p w14:paraId="397BFAA0" w14:textId="0C215700" w:rsidR="00F417E4" w:rsidRDefault="00F417E4">
      <w:pPr>
        <w:pStyle w:val="Funotentext"/>
      </w:pPr>
      <w:r>
        <w:rPr>
          <w:rStyle w:val="Funotenzeichen"/>
        </w:rPr>
        <w:footnoteRef/>
      </w:r>
      <w:r>
        <w:t xml:space="preserve"> Siehe: </w:t>
      </w:r>
      <w:hyperlink r:id="rId1232" w:history="1">
        <w:r w:rsidRPr="000B5FAA">
          <w:rPr>
            <w:rStyle w:val="Hyperlink"/>
          </w:rPr>
          <w:t>https://www.lbbw.de/magazin/specials/emissionshandel/funktionsweise/emissionshandel-funktionsweise_aeyds3v85j_d.html</w:t>
        </w:r>
      </w:hyperlink>
      <w:r>
        <w:t xml:space="preserve"> - Zugegriffen: 11.04.2025. </w:t>
      </w:r>
    </w:p>
  </w:footnote>
  <w:footnote w:id="1604">
    <w:p w14:paraId="613A6667" w14:textId="02654DFC" w:rsidR="00EC1854" w:rsidRDefault="00EC1854">
      <w:pPr>
        <w:pStyle w:val="Funotentext"/>
      </w:pPr>
      <w:r>
        <w:rPr>
          <w:rStyle w:val="Funotenzeichen"/>
        </w:rPr>
        <w:footnoteRef/>
      </w:r>
      <w:r>
        <w:t xml:space="preserve"> Siehe: </w:t>
      </w:r>
      <w:hyperlink r:id="rId1233" w:history="1">
        <w:r w:rsidRPr="000B5FAA">
          <w:rPr>
            <w:rStyle w:val="Hyperlink"/>
          </w:rPr>
          <w:t>https://www.dehst.de/DE/Themen/EU-ETS-1/EU-ETS-1-Informationen/Versteigerung/versteigerung_node.html</w:t>
        </w:r>
      </w:hyperlink>
      <w:r>
        <w:t xml:space="preserve"> - Zugegriffen: 11.04.2025. </w:t>
      </w:r>
    </w:p>
  </w:footnote>
  <w:footnote w:id="1605">
    <w:p w14:paraId="78204C1C" w14:textId="18808692" w:rsidR="00EC1854" w:rsidRDefault="00EC1854">
      <w:pPr>
        <w:pStyle w:val="Funotentext"/>
      </w:pPr>
      <w:r>
        <w:rPr>
          <w:rStyle w:val="Funotenzeichen"/>
        </w:rPr>
        <w:footnoteRef/>
      </w:r>
      <w:r>
        <w:t xml:space="preserve"> Siehe: </w:t>
      </w:r>
      <w:hyperlink r:id="rId1234" w:history="1">
        <w:r w:rsidRPr="000B5FAA">
          <w:rPr>
            <w:rStyle w:val="Hyperlink"/>
          </w:rPr>
          <w:t>https://eur-lex.europa.eu/legal-content/DE/TXT/?uri=CELEX:32023R2830</w:t>
        </w:r>
      </w:hyperlink>
      <w:r>
        <w:t xml:space="preserve"> – Zugegriffen: 11.04.2025. </w:t>
      </w:r>
    </w:p>
  </w:footnote>
  <w:footnote w:id="1606">
    <w:p w14:paraId="48458CCD" w14:textId="456D3105" w:rsidR="00E2071A" w:rsidRDefault="00E2071A">
      <w:pPr>
        <w:pStyle w:val="Funotentext"/>
      </w:pPr>
      <w:r>
        <w:rPr>
          <w:rStyle w:val="Funotenzeichen"/>
        </w:rPr>
        <w:footnoteRef/>
      </w:r>
      <w:r>
        <w:t xml:space="preserve"> Siehe: </w:t>
      </w:r>
      <w:hyperlink r:id="rId1235" w:history="1">
        <w:r w:rsidRPr="00083B1E">
          <w:rPr>
            <w:rStyle w:val="Hyperlink"/>
          </w:rPr>
          <w:t>https://www.eex.com/en/market-data/market-data-hub/environmentals/spot</w:t>
        </w:r>
      </w:hyperlink>
      <w:r>
        <w:t xml:space="preserve"> - Zugegriffen: 21.05.2025. </w:t>
      </w:r>
    </w:p>
  </w:footnote>
  <w:footnote w:id="1607">
    <w:p w14:paraId="09AED36C" w14:textId="77777777" w:rsidR="00112190" w:rsidRDefault="00112190" w:rsidP="00112190">
      <w:pPr>
        <w:pStyle w:val="Funotentext"/>
      </w:pPr>
      <w:r>
        <w:rPr>
          <w:rStyle w:val="Funotenzeichen"/>
        </w:rPr>
        <w:footnoteRef/>
      </w:r>
      <w:r>
        <w:t xml:space="preserve"> Beschluss (EU) 2020/1722 der Kommission, 16. November 2020, über die unionsweite Menge der im Rahmen des EU-Emissionshandelssystem für 2021 zu vergebenen Zertifikaten, siehe: </w:t>
      </w:r>
      <w:hyperlink r:id="rId1236" w:history="1">
        <w:r w:rsidRPr="006A0612">
          <w:rPr>
            <w:rStyle w:val="Hyperlink"/>
          </w:rPr>
          <w:t>https://eur-lex.europa.eu/legal-content/DE/TXT/PDF/?uri=CELEX:32020D1722</w:t>
        </w:r>
      </w:hyperlink>
      <w:r>
        <w:t xml:space="preserve"> – Zugegriffen: 19.01.2024.</w:t>
      </w:r>
    </w:p>
  </w:footnote>
  <w:footnote w:id="1608">
    <w:p w14:paraId="12F18E49" w14:textId="77777777" w:rsidR="00112190" w:rsidRDefault="00112190" w:rsidP="00112190">
      <w:pPr>
        <w:pStyle w:val="Funotentext"/>
      </w:pPr>
      <w:r>
        <w:rPr>
          <w:rStyle w:val="Funotenzeichen"/>
        </w:rPr>
        <w:footnoteRef/>
      </w:r>
      <w:r>
        <w:t xml:space="preserve"> Siehe: </w:t>
      </w:r>
      <w:hyperlink r:id="rId1237" w:history="1">
        <w:r w:rsidRPr="006A0612">
          <w:rPr>
            <w:rStyle w:val="Hyperlink"/>
          </w:rPr>
          <w:t>https://climate.ec.europa.eu/system/files/2023-07/news_20230728_c_2023_4950_en.pdf</w:t>
        </w:r>
      </w:hyperlink>
      <w:r>
        <w:t xml:space="preserve"> - Zugegriffen: 19.01.2024. </w:t>
      </w:r>
    </w:p>
  </w:footnote>
  <w:footnote w:id="1609">
    <w:p w14:paraId="57EC34E6" w14:textId="77777777" w:rsidR="00112190" w:rsidRPr="000014DA" w:rsidRDefault="00112190" w:rsidP="00112190">
      <w:pPr>
        <w:pStyle w:val="Funotentext"/>
      </w:pPr>
      <w:r>
        <w:rPr>
          <w:rStyle w:val="Funotenzeichen"/>
        </w:rPr>
        <w:footnoteRef/>
      </w:r>
      <w:r w:rsidRPr="000014DA">
        <w:t xml:space="preserve"> Art. </w:t>
      </w:r>
      <w:r>
        <w:t>9</w:t>
      </w:r>
      <w:r w:rsidRPr="000014DA">
        <w:t xml:space="preserve">, siehe: </w:t>
      </w:r>
      <w:hyperlink r:id="rId1238" w:history="1">
        <w:r w:rsidRPr="006A0612">
          <w:rPr>
            <w:rStyle w:val="Hyperlink"/>
          </w:rPr>
          <w:t>https://eur-lex.europa.eu/legal-content/DE/TXT/PDF/?uri=CELEX:02003L0087-20230605</w:t>
        </w:r>
      </w:hyperlink>
      <w:r>
        <w:t xml:space="preserve"> – Zugegriffen: 19.01.2024. </w:t>
      </w:r>
    </w:p>
  </w:footnote>
  <w:footnote w:id="1610">
    <w:p w14:paraId="41B9F5B8" w14:textId="77777777" w:rsidR="000A562C" w:rsidRDefault="000A562C" w:rsidP="000A562C">
      <w:pPr>
        <w:pStyle w:val="Funotentext"/>
      </w:pPr>
      <w:r>
        <w:rPr>
          <w:rStyle w:val="Funotenzeichen"/>
        </w:rPr>
        <w:footnoteRef/>
      </w:r>
      <w:r>
        <w:t xml:space="preserve"> Monitoringbericht der Energiewende 2024: 328.</w:t>
      </w:r>
    </w:p>
  </w:footnote>
  <w:footnote w:id="1611">
    <w:p w14:paraId="36F9763D" w14:textId="77777777" w:rsidR="003A7FA2" w:rsidRDefault="003A7FA2" w:rsidP="003A7FA2">
      <w:pPr>
        <w:pStyle w:val="Funotentext"/>
      </w:pPr>
      <w:r>
        <w:rPr>
          <w:rStyle w:val="Funotenzeichen"/>
        </w:rPr>
        <w:footnoteRef/>
      </w:r>
      <w:r>
        <w:t xml:space="preserve"> 2024: 1.386.051.745 – 59.600.225 = 1.326.451.520</w:t>
      </w:r>
    </w:p>
    <w:p w14:paraId="1B39C453" w14:textId="77777777" w:rsidR="003A7FA2" w:rsidRDefault="003A7FA2" w:rsidP="003A7FA2">
      <w:pPr>
        <w:pStyle w:val="Funotentext"/>
      </w:pPr>
      <w:r>
        <w:t>2025: 1.326.451.520 – 57.037.415 = 1.269.414.105</w:t>
      </w:r>
    </w:p>
    <w:p w14:paraId="122D668B" w14:textId="77777777" w:rsidR="003A7FA2" w:rsidRDefault="003A7FA2" w:rsidP="003A7FA2">
      <w:pPr>
        <w:pStyle w:val="Funotentext"/>
      </w:pPr>
      <w:r>
        <w:t>2026: 1.269.414.105 – 54.584.806 = 1.214.829.299</w:t>
      </w:r>
    </w:p>
    <w:p w14:paraId="72C3936C" w14:textId="77777777" w:rsidR="003A7FA2" w:rsidRDefault="003A7FA2" w:rsidP="003A7FA2">
      <w:pPr>
        <w:pStyle w:val="Funotentext"/>
      </w:pPr>
      <w:r>
        <w:t>2027: 1.214.829.299 - 52.237.659 = 1.162.591.640</w:t>
      </w:r>
    </w:p>
    <w:p w14:paraId="53FB8786" w14:textId="77777777" w:rsidR="003A7FA2" w:rsidRDefault="003A7FA2" w:rsidP="003A7FA2">
      <w:pPr>
        <w:pStyle w:val="Funotentext"/>
      </w:pPr>
      <w:r>
        <w:t>2028: 1.162.591.640 - 51.154.032 = 1.111.437.608</w:t>
      </w:r>
    </w:p>
    <w:p w14:paraId="738B1218" w14:textId="77777777" w:rsidR="003A7FA2" w:rsidRDefault="003A7FA2" w:rsidP="003A7FA2">
      <w:pPr>
        <w:pStyle w:val="Funotentext"/>
      </w:pPr>
      <w:r>
        <w:t>2029: 1.111.437.608 - 48.903.254 = 1.062.534.354</w:t>
      </w:r>
    </w:p>
    <w:p w14:paraId="39420A92" w14:textId="77777777" w:rsidR="003A7FA2" w:rsidRDefault="003A7FA2" w:rsidP="003A7FA2">
      <w:pPr>
        <w:pStyle w:val="Funotentext"/>
      </w:pPr>
      <w:r>
        <w:t>2030: 1.062.534.354 - 46.751.511 = 1.015.782.843</w:t>
      </w:r>
    </w:p>
    <w:p w14:paraId="359C5397" w14:textId="77777777" w:rsidR="003A7FA2" w:rsidRDefault="003A7FA2" w:rsidP="003A7FA2">
      <w:pPr>
        <w:pStyle w:val="Funotentext"/>
      </w:pPr>
      <w:r>
        <w:t>2031: 1.015.782.843 - 44.694.445 = 971.088.398</w:t>
      </w:r>
    </w:p>
    <w:p w14:paraId="493F8572" w14:textId="77777777" w:rsidR="003A7FA2" w:rsidRDefault="003A7FA2" w:rsidP="003A7FA2">
      <w:pPr>
        <w:pStyle w:val="Funotentext"/>
      </w:pPr>
      <w:r>
        <w:t>2032: 971.088.398 - 42.727.889 = 928.360.509</w:t>
      </w:r>
    </w:p>
    <w:p w14:paraId="24EF4C18" w14:textId="77777777" w:rsidR="003A7FA2" w:rsidRDefault="003A7FA2" w:rsidP="003A7FA2">
      <w:pPr>
        <w:pStyle w:val="Funotentext"/>
      </w:pPr>
      <w:r>
        <w:t>2033: 928.360.509 - 40.847.862 = 887.512.647</w:t>
      </w:r>
    </w:p>
    <w:p w14:paraId="0B46FADB" w14:textId="77777777" w:rsidR="003A7FA2" w:rsidRDefault="003A7FA2" w:rsidP="003A7FA2">
      <w:pPr>
        <w:pStyle w:val="Funotentext"/>
      </w:pPr>
      <w:r>
        <w:t>2034: 887.512.647 - 39.050.556 = 848.462.091</w:t>
      </w:r>
    </w:p>
    <w:p w14:paraId="3D1257A2" w14:textId="77777777" w:rsidR="003A7FA2" w:rsidRDefault="003A7FA2" w:rsidP="003A7FA2">
      <w:pPr>
        <w:pStyle w:val="Funotentext"/>
      </w:pPr>
      <w:r>
        <w:t>2035: 848.462.091 - 37.332.332 = 811.129.759</w:t>
      </w:r>
    </w:p>
    <w:p w14:paraId="03B8C4E9" w14:textId="77777777" w:rsidR="003A7FA2" w:rsidRDefault="003A7FA2" w:rsidP="003A7FA2">
      <w:pPr>
        <w:pStyle w:val="Funotentext"/>
      </w:pPr>
      <w:r>
        <w:t>2036: 811.129.759 - 35.689.709 = 775.440.050</w:t>
      </w:r>
    </w:p>
    <w:p w14:paraId="6266D710" w14:textId="77777777" w:rsidR="003A7FA2" w:rsidRDefault="003A7FA2" w:rsidP="003A7FA2">
      <w:pPr>
        <w:pStyle w:val="Funotentext"/>
      </w:pPr>
      <w:r>
        <w:t>2037: 775.440.050 - 34.119.362 = 741.320.688</w:t>
      </w:r>
    </w:p>
    <w:p w14:paraId="1E557867" w14:textId="77777777" w:rsidR="003A7FA2" w:rsidRDefault="003A7FA2" w:rsidP="003A7FA2">
      <w:pPr>
        <w:pStyle w:val="Funotentext"/>
      </w:pPr>
      <w:r>
        <w:t>2038: 741.320.688 - 32.618.110 = 708.702.578</w:t>
      </w:r>
    </w:p>
    <w:p w14:paraId="4FF8B6FF" w14:textId="77777777" w:rsidR="003A7FA2" w:rsidRDefault="003A7FA2" w:rsidP="003A7FA2">
      <w:pPr>
        <w:pStyle w:val="Funotentext"/>
      </w:pPr>
      <w:r>
        <w:t>2039: 708.702.578 - 31.182.913 = 677.519.665</w:t>
      </w:r>
    </w:p>
    <w:p w14:paraId="6C131A42" w14:textId="13913B97" w:rsidR="003A7FA2" w:rsidRDefault="003A7FA2" w:rsidP="003A7FA2">
      <w:pPr>
        <w:pStyle w:val="Funotentext"/>
      </w:pPr>
      <w:r>
        <w:t>2040: 677.519.665 - 29.810.865 = 647.708.800</w:t>
      </w:r>
    </w:p>
  </w:footnote>
  <w:footnote w:id="1612">
    <w:p w14:paraId="28081C0D" w14:textId="11C3ACD4" w:rsidR="00333B10" w:rsidRDefault="00333B10">
      <w:pPr>
        <w:pStyle w:val="Funotentext"/>
      </w:pPr>
      <w:r>
        <w:rPr>
          <w:rStyle w:val="Funotenzeichen"/>
        </w:rPr>
        <w:footnoteRef/>
      </w:r>
      <w:r>
        <w:t xml:space="preserve"> Siehe: </w:t>
      </w:r>
      <w:hyperlink r:id="rId1239" w:anchor="luftverkehr-im-emissionshandel-" w:history="1">
        <w:r w:rsidRPr="000B5FAA">
          <w:rPr>
            <w:rStyle w:val="Hyperlink"/>
          </w:rPr>
          <w:t>https://www.umweltbundesamt.de/daten/klima/der-europaeische-emissionshandel#luftverkehr-im-emissionshandel-</w:t>
        </w:r>
      </w:hyperlink>
      <w:r>
        <w:t xml:space="preserve"> - Zugegriffen: 11.04.2025. </w:t>
      </w:r>
    </w:p>
  </w:footnote>
  <w:footnote w:id="1613">
    <w:p w14:paraId="0D20841E" w14:textId="77777777" w:rsidR="000D4EC8" w:rsidRDefault="000D4EC8" w:rsidP="000D4EC8">
      <w:pPr>
        <w:pStyle w:val="Funotentext"/>
      </w:pPr>
      <w:r>
        <w:rPr>
          <w:rStyle w:val="Funotenzeichen"/>
        </w:rPr>
        <w:footnoteRef/>
      </w:r>
      <w:r>
        <w:t xml:space="preserve"> Monitoringbericht der Energiewende 2024: 328.</w:t>
      </w:r>
    </w:p>
  </w:footnote>
  <w:footnote w:id="1614">
    <w:p w14:paraId="63F72491" w14:textId="7E45C910" w:rsidR="002D2C96" w:rsidRDefault="002D2C96">
      <w:pPr>
        <w:pStyle w:val="Funotentext"/>
      </w:pPr>
      <w:r>
        <w:rPr>
          <w:rStyle w:val="Funotenzeichen"/>
        </w:rPr>
        <w:footnoteRef/>
      </w:r>
      <w:r>
        <w:t xml:space="preserve"> Siehe: </w:t>
      </w:r>
      <w:hyperlink r:id="rId1240" w:history="1">
        <w:r w:rsidRPr="007C682A">
          <w:rPr>
            <w:rStyle w:val="Hyperlink"/>
          </w:rPr>
          <w:t>https://www.euractiv.de/section/finanzen-und-wirtschaft/news/experten-co2-zertifikate-fuer-industrie-und-strom-bis-2039-aufgebraucht/</w:t>
        </w:r>
      </w:hyperlink>
      <w:r>
        <w:t xml:space="preserve"> - Zugegriffen: 15.05.2025. </w:t>
      </w:r>
    </w:p>
  </w:footnote>
  <w:footnote w:id="1615">
    <w:p w14:paraId="3A6E44A4" w14:textId="77777777" w:rsidR="00C06294" w:rsidRDefault="00C06294" w:rsidP="00C06294">
      <w:pPr>
        <w:pStyle w:val="Funotentext"/>
      </w:pPr>
      <w:r>
        <w:rPr>
          <w:rStyle w:val="Funotenzeichen"/>
        </w:rPr>
        <w:footnoteRef/>
      </w:r>
      <w:r>
        <w:t xml:space="preserve"> Siehe Webseite von Vicki Duscha: </w:t>
      </w:r>
      <w:hyperlink r:id="rId1241" w:anchor="faq_faqitem_3-answer" w:history="1">
        <w:r w:rsidRPr="00EF6750">
          <w:rPr>
            <w:rStyle w:val="Hyperlink"/>
          </w:rPr>
          <w:t>https://www.isi.fraunhofer.de/de/competence-center/energiepolitik-energiemaerkte/mitarbeiter/duscha.html#faq_faqitem_3-answer</w:t>
        </w:r>
      </w:hyperlink>
      <w:r>
        <w:t xml:space="preserve"> – Zugegriffen: 11.10.2024.</w:t>
      </w:r>
    </w:p>
  </w:footnote>
  <w:footnote w:id="1616">
    <w:p w14:paraId="334C2D7B" w14:textId="77777777" w:rsidR="00C06294" w:rsidRDefault="00C06294" w:rsidP="00C06294">
      <w:pPr>
        <w:pStyle w:val="Funotentext"/>
      </w:pPr>
      <w:r>
        <w:rPr>
          <w:rStyle w:val="Funotenzeichen"/>
        </w:rPr>
        <w:footnoteRef/>
      </w:r>
      <w:r>
        <w:t xml:space="preserve"> Siehe Vicki Duscha, Fraunhofer ISI, im Interview in Geladen Podcast, 15.09.2024, siehe: </w:t>
      </w:r>
      <w:hyperlink r:id="rId1242" w:history="1">
        <w:r w:rsidRPr="00EF6750">
          <w:rPr>
            <w:rStyle w:val="Hyperlink"/>
          </w:rPr>
          <w:t>https://www.youtube.com/watch?v=YJTi-wseMUc</w:t>
        </w:r>
      </w:hyperlink>
      <w:r>
        <w:t xml:space="preserve"> – Zugegriffen: 11.10.2024.</w:t>
      </w:r>
    </w:p>
  </w:footnote>
  <w:footnote w:id="1617">
    <w:p w14:paraId="1BB6461B" w14:textId="77777777" w:rsidR="00112190" w:rsidRDefault="00112190" w:rsidP="00112190">
      <w:pPr>
        <w:pStyle w:val="Funotentext"/>
      </w:pPr>
      <w:r>
        <w:rPr>
          <w:rStyle w:val="Funotenzeichen"/>
        </w:rPr>
        <w:footnoteRef/>
      </w:r>
      <w:r>
        <w:t xml:space="preserve"> Siehe: </w:t>
      </w:r>
      <w:hyperlink r:id="rId1243" w:history="1">
        <w:r w:rsidRPr="00A1629F">
          <w:rPr>
            <w:rStyle w:val="Hyperlink"/>
          </w:rPr>
          <w:t>https://climate.ec.europa.eu/news-your-voice/news/ets-market-stability-reserve-reduce-auction-volume-over-272-million-allowances-between-september-2023-05-15_en</w:t>
        </w:r>
      </w:hyperlink>
      <w:r>
        <w:t xml:space="preserve"> - Zugegriffen: 19.01.2024. </w:t>
      </w:r>
    </w:p>
  </w:footnote>
  <w:footnote w:id="1618">
    <w:p w14:paraId="3AAC3886" w14:textId="77777777" w:rsidR="00112190" w:rsidRDefault="00112190" w:rsidP="00112190">
      <w:pPr>
        <w:pStyle w:val="Funotentext"/>
      </w:pPr>
      <w:r>
        <w:rPr>
          <w:rStyle w:val="Funotenzeichen"/>
        </w:rPr>
        <w:footnoteRef/>
      </w:r>
      <w:r>
        <w:t xml:space="preserve"> Siehe 1. Einführung: Mitteilung der Kommission (2023/C 172/01), siehe: </w:t>
      </w:r>
      <w:hyperlink r:id="rId1244" w:history="1">
        <w:r w:rsidRPr="006A0612">
          <w:rPr>
            <w:rStyle w:val="Hyperlink"/>
          </w:rPr>
          <w:t>https://eur-lex.europa.eu/legal-content/DE/TXT/PDF/?uri=CELEX:52023XC0515(01)</w:t>
        </w:r>
      </w:hyperlink>
      <w:r>
        <w:t xml:space="preserve"> – Zugegriffen: 19.01.2024. </w:t>
      </w:r>
    </w:p>
  </w:footnote>
  <w:footnote w:id="1619">
    <w:p w14:paraId="7C0147CA" w14:textId="77777777" w:rsidR="00112190" w:rsidRDefault="00112190" w:rsidP="00112190">
      <w:pPr>
        <w:pStyle w:val="Funotentext"/>
      </w:pPr>
      <w:r>
        <w:rPr>
          <w:rStyle w:val="Funotenzeichen"/>
        </w:rPr>
        <w:footnoteRef/>
      </w:r>
      <w:r>
        <w:t xml:space="preserve"> So dargestellt hier: </w:t>
      </w:r>
      <w:hyperlink r:id="rId1245" w:history="1">
        <w:r w:rsidRPr="00A1629F">
          <w:rPr>
            <w:rStyle w:val="Hyperlink"/>
          </w:rPr>
          <w:t>https://climate.ec.europa.eu/news-your-voice/news/ets-market-stability-reserve-reduce-auction-volume-over-272-million-allowances-between-september-2023-05-15_en</w:t>
        </w:r>
      </w:hyperlink>
      <w:r>
        <w:t xml:space="preserve"> - Zugegriffen: 19.01.2024.</w:t>
      </w:r>
    </w:p>
  </w:footnote>
  <w:footnote w:id="1620">
    <w:p w14:paraId="582C0BCA" w14:textId="77777777" w:rsidR="00112190" w:rsidRDefault="00112190" w:rsidP="00112190">
      <w:pPr>
        <w:pStyle w:val="Funotentext"/>
      </w:pPr>
      <w:r>
        <w:rPr>
          <w:rStyle w:val="Funotenzeichen"/>
        </w:rPr>
        <w:footnoteRef/>
      </w:r>
      <w:r>
        <w:t xml:space="preserve"> „Änderungen des Beschlusses (EU) 2015/1814, Artikel 1 des Beschlusses (EU) 2015/1814 wird wie folgt geändert: 1. In Absatz 5 Unterabsatz 1 wird folgender Satz angefügt: „Abweichend von Satz 1 und 2 werden bis 31. Dezember 2023 die in diesen Sätzen genannten Prozentsätze und die Zertifikatmenge von 100 Millionen verdoppelt.“ S. 22, Richtlinie (EU) 2018/410, vom 14. März 2018, zur Änderung der Richtlinie 2003/87/EG, siehe: </w:t>
      </w:r>
      <w:hyperlink r:id="rId1246" w:history="1">
        <w:r w:rsidRPr="006A0612">
          <w:rPr>
            <w:rStyle w:val="Hyperlink"/>
          </w:rPr>
          <w:t>https://eur-lex.europa.eu/legal-content/DE/TXT/PDF/?uri=CELEX:32018L0410</w:t>
        </w:r>
      </w:hyperlink>
      <w:r>
        <w:t xml:space="preserve"> – Zugegriffen: 19.01.2024. </w:t>
      </w:r>
    </w:p>
  </w:footnote>
  <w:footnote w:id="1621">
    <w:p w14:paraId="2CCD2484" w14:textId="77777777" w:rsidR="00112190" w:rsidRDefault="00112190" w:rsidP="00112190">
      <w:pPr>
        <w:pStyle w:val="Funotentext"/>
      </w:pPr>
      <w:r>
        <w:rPr>
          <w:rStyle w:val="Funotenzeichen"/>
        </w:rPr>
        <w:footnoteRef/>
      </w:r>
      <w:r>
        <w:t xml:space="preserve"> Beschluss (EU) 2023/852, 19. April 2023, siehe: </w:t>
      </w:r>
      <w:hyperlink r:id="rId1247" w:history="1">
        <w:r w:rsidRPr="00DB1672">
          <w:rPr>
            <w:rStyle w:val="Hyperlink"/>
          </w:rPr>
          <w:t>https://eur-lex.europa.eu/legal-content/DE/TXT/PDF/?uri=CELEX:32023D0852</w:t>
        </w:r>
      </w:hyperlink>
      <w:r>
        <w:t xml:space="preserve"> – Zugegriffen: 07.01.2024. </w:t>
      </w:r>
    </w:p>
  </w:footnote>
  <w:footnote w:id="1622">
    <w:p w14:paraId="54FEB784" w14:textId="77777777" w:rsidR="00112190" w:rsidRDefault="00112190" w:rsidP="00112190">
      <w:pPr>
        <w:pStyle w:val="Funotentext"/>
      </w:pPr>
      <w:r>
        <w:rPr>
          <w:rStyle w:val="Funotenzeichen"/>
        </w:rPr>
        <w:footnoteRef/>
      </w:r>
      <w:r>
        <w:t xml:space="preserve"> Siehe: </w:t>
      </w:r>
      <w:hyperlink r:id="rId1248" w:history="1">
        <w:r w:rsidRPr="006A0612">
          <w:rPr>
            <w:rStyle w:val="Hyperlink"/>
          </w:rPr>
          <w:t>https://www.europarl.europa.eu/RegData/etudes/ATAG/2023/739378/EPRS_ATA(2023)739378_DE.pdf</w:t>
        </w:r>
      </w:hyperlink>
      <w:r>
        <w:t xml:space="preserve"> – siehe auch: </w:t>
      </w:r>
      <w:hyperlink r:id="rId1249" w:history="1">
        <w:r w:rsidRPr="00335629">
          <w:rPr>
            <w:rStyle w:val="Hyperlink"/>
          </w:rPr>
          <w:t>https://www.europarl.europa.eu/thinktank/de/document/EPRS_ATA(2023)739378</w:t>
        </w:r>
      </w:hyperlink>
      <w:r>
        <w:t xml:space="preserve"> - Zugegriffen: 01.11.2023. </w:t>
      </w:r>
    </w:p>
  </w:footnote>
  <w:footnote w:id="1623">
    <w:p w14:paraId="4AD31B71" w14:textId="77777777" w:rsidR="00112190" w:rsidRDefault="00112190" w:rsidP="00112190">
      <w:pPr>
        <w:pStyle w:val="Funotentext"/>
      </w:pPr>
      <w:r>
        <w:rPr>
          <w:rStyle w:val="Funotenzeichen"/>
        </w:rPr>
        <w:footnoteRef/>
      </w:r>
      <w:r>
        <w:t xml:space="preserve"> Siehe: </w:t>
      </w:r>
      <w:hyperlink r:id="rId1250" w:history="1">
        <w:r w:rsidRPr="00AB4BBB">
          <w:rPr>
            <w:rStyle w:val="Hyperlink"/>
          </w:rPr>
          <w:t>https://www.consilium.europa.eu/de/press/press-releases/2023/03/28/fit-for-55-council-adopts-decision-on-market-stability-reserve/</w:t>
        </w:r>
      </w:hyperlink>
      <w:r>
        <w:t xml:space="preserve"> - Zugegriffen: 07.01.2024. </w:t>
      </w:r>
    </w:p>
  </w:footnote>
  <w:footnote w:id="1624">
    <w:p w14:paraId="1FD0ABC0" w14:textId="77777777" w:rsidR="00112190" w:rsidRDefault="00112190" w:rsidP="00112190">
      <w:pPr>
        <w:pStyle w:val="Funotentext"/>
      </w:pPr>
      <w:r>
        <w:rPr>
          <w:rStyle w:val="Funotenzeichen"/>
        </w:rPr>
        <w:footnoteRef/>
      </w:r>
      <w:r>
        <w:t xml:space="preserve"> Siehe: 4. Schlussfolgerung. Mitteilung der Kommission Veröffentlichung der Gesamtmenge der 2022 in Umlauf befindlichen Zertifikate für die Zwecke der Marktstabilitätsreserve im Rahmen des mit der Richtlinie 2003/87/EG geschaffenen EU-Emissionshandelssystems (2023/C 172/01), siehe: </w:t>
      </w:r>
      <w:hyperlink r:id="rId1251" w:history="1">
        <w:r w:rsidRPr="00A1629F">
          <w:rPr>
            <w:rStyle w:val="Hyperlink"/>
          </w:rPr>
          <w:t>https://eur-lex.europa.eu/legal-content/DE/TXT/PDF/?uri=CELEX:52023XC0515(01)</w:t>
        </w:r>
      </w:hyperlink>
      <w:r>
        <w:t xml:space="preserve"> – Zugegriffen: 19.01.2024. </w:t>
      </w:r>
    </w:p>
  </w:footnote>
  <w:footnote w:id="1625">
    <w:p w14:paraId="13197A94" w14:textId="287B85B2" w:rsidR="00E84C3D" w:rsidRDefault="00E84C3D">
      <w:pPr>
        <w:pStyle w:val="Funotentext"/>
      </w:pPr>
      <w:r>
        <w:rPr>
          <w:rStyle w:val="Funotenzeichen"/>
        </w:rPr>
        <w:footnoteRef/>
      </w:r>
      <w:r>
        <w:t xml:space="preserve"> Siehe: </w:t>
      </w:r>
      <w:hyperlink r:id="rId1252" w:history="1">
        <w:r w:rsidRPr="00083B1E">
          <w:rPr>
            <w:rStyle w:val="Hyperlink"/>
          </w:rPr>
          <w:t>https://climate.ec.europa.eu/news-your-voice/news/ets-market-stability-reserve-reduce-auction-volume-around-267-million-allowances-between-september-2024-06-01_en</w:t>
        </w:r>
      </w:hyperlink>
      <w:r>
        <w:t xml:space="preserve"> - Zugegriffen: 18.05.2025. </w:t>
      </w:r>
    </w:p>
  </w:footnote>
  <w:footnote w:id="1626">
    <w:p w14:paraId="2359953B" w14:textId="77777777" w:rsidR="00112190" w:rsidRDefault="00112190" w:rsidP="00112190">
      <w:pPr>
        <w:pStyle w:val="Funotentext"/>
      </w:pPr>
      <w:r>
        <w:rPr>
          <w:rStyle w:val="Funotenzeichen"/>
        </w:rPr>
        <w:footnoteRef/>
      </w:r>
      <w:r>
        <w:t xml:space="preserve"> Siehe: </w:t>
      </w:r>
      <w:hyperlink r:id="rId1253" w:anchor="vergleich-von-emissionen-und-emissionsobergrenzen-cap-im-eu-ets" w:history="1">
        <w:r w:rsidRPr="006A0612">
          <w:rPr>
            <w:rStyle w:val="Hyperlink"/>
          </w:rPr>
          <w:t>https://www.umweltbundesamt.de/daten/klima/der-europaeische-emissionshandel#vergleich-von-emissionen-und-emissionsobergrenzen-cap-im-eu-ets</w:t>
        </w:r>
      </w:hyperlink>
      <w:r>
        <w:t xml:space="preserve"> – Zugegriffen: 19.01.2024. </w:t>
      </w:r>
    </w:p>
  </w:footnote>
  <w:footnote w:id="1627">
    <w:p w14:paraId="3EBEBFEA" w14:textId="77777777" w:rsidR="00112190" w:rsidRDefault="00112190" w:rsidP="00112190">
      <w:pPr>
        <w:pStyle w:val="Funotentext"/>
      </w:pPr>
      <w:r>
        <w:rPr>
          <w:rStyle w:val="Funotenzeichen"/>
        </w:rPr>
        <w:footnoteRef/>
      </w:r>
      <w:r>
        <w:t xml:space="preserve"> Siehe: </w:t>
      </w:r>
      <w:hyperlink r:id="rId1254" w:anchor="vergleich-von-emissionen-und-emissionsobergrenzen-cap-im-eu-ets" w:history="1">
        <w:r w:rsidRPr="006A0612">
          <w:rPr>
            <w:rStyle w:val="Hyperlink"/>
          </w:rPr>
          <w:t>https://www.umweltbundesamt.de/daten/klima/der-europaeische-emissionshandel#vergleich-von-emissionen-und-emissionsobergrenzen-cap-im-eu-ets</w:t>
        </w:r>
      </w:hyperlink>
      <w:r>
        <w:t xml:space="preserve"> – Zugegriffen: 19.01.2024. </w:t>
      </w:r>
    </w:p>
  </w:footnote>
  <w:footnote w:id="1628">
    <w:p w14:paraId="16811969" w14:textId="5A6F39AA" w:rsidR="004D2D1D" w:rsidRPr="004D2D1D" w:rsidRDefault="004D2D1D" w:rsidP="004D2D1D">
      <w:pPr>
        <w:pStyle w:val="Funotentext"/>
      </w:pPr>
      <w:r>
        <w:rPr>
          <w:rStyle w:val="Funotenzeichen"/>
        </w:rPr>
        <w:footnoteRef/>
      </w:r>
      <w:r w:rsidRPr="004D2D1D">
        <w:t xml:space="preserve"> Sieh</w:t>
      </w:r>
      <w:r>
        <w:t>e Landtag Nordrhein-Westfalen, 18. Wahlperiode, Drucksachen 18/9763, 25.06.2024, Antwort auf eine kleine Anfrage:</w:t>
      </w:r>
      <w:r w:rsidRPr="004D2D1D">
        <w:t xml:space="preserve"> </w:t>
      </w:r>
      <w:hyperlink r:id="rId1255" w:history="1">
        <w:r w:rsidRPr="00530B5C">
          <w:rPr>
            <w:rStyle w:val="Hyperlink"/>
          </w:rPr>
          <w:t>https://www.landtag.nrw.de/portal/WWW/dokumentenarchiv/Dokument/MMD18-9763.pdf</w:t>
        </w:r>
      </w:hyperlink>
      <w:r>
        <w:t xml:space="preserve"> - Zugegriffen: 07.06.2025. </w:t>
      </w:r>
    </w:p>
  </w:footnote>
  <w:footnote w:id="1629">
    <w:p w14:paraId="36D558CA" w14:textId="77777777" w:rsidR="00112190" w:rsidRDefault="00112190" w:rsidP="00112190">
      <w:pPr>
        <w:pStyle w:val="Funotentext"/>
      </w:pPr>
      <w:r>
        <w:rPr>
          <w:rStyle w:val="Funotenzeichen"/>
        </w:rPr>
        <w:footnoteRef/>
      </w:r>
      <w:r>
        <w:t xml:space="preserve"> Siehe: </w:t>
      </w:r>
      <w:hyperlink r:id="rId1256" w:history="1">
        <w:r w:rsidRPr="006A0612">
          <w:rPr>
            <w:rStyle w:val="Hyperlink"/>
          </w:rPr>
          <w:t>https://eur-lex.europa.eu/legal-content/DE/TXT/PDF/?uri=CELEX:02015D1814-20240101</w:t>
        </w:r>
      </w:hyperlink>
      <w:r>
        <w:t xml:space="preserve"> – Zugegriffen: 19.01.2024. </w:t>
      </w:r>
    </w:p>
  </w:footnote>
  <w:footnote w:id="1630">
    <w:p w14:paraId="31BBFCA0" w14:textId="77777777" w:rsidR="00112190" w:rsidRPr="000014DA" w:rsidRDefault="00112190" w:rsidP="00112190">
      <w:pPr>
        <w:pStyle w:val="Funotentext"/>
      </w:pPr>
      <w:r>
        <w:rPr>
          <w:rStyle w:val="Funotenzeichen"/>
        </w:rPr>
        <w:footnoteRef/>
      </w:r>
      <w:r w:rsidRPr="000014DA">
        <w:t xml:space="preserve"> Art. 10a, siehe: </w:t>
      </w:r>
      <w:hyperlink r:id="rId1257" w:history="1">
        <w:r w:rsidRPr="006A0612">
          <w:rPr>
            <w:rStyle w:val="Hyperlink"/>
          </w:rPr>
          <w:t>https://eur-lex.europa.eu/legal-content/DE/TXT/PDF/?uri=CELEX:02003L0087-20230605</w:t>
        </w:r>
      </w:hyperlink>
      <w:r>
        <w:t xml:space="preserve"> – Zugegriffen: 19.01.2024. </w:t>
      </w:r>
    </w:p>
  </w:footnote>
  <w:footnote w:id="1631">
    <w:p w14:paraId="13D7454B" w14:textId="77777777" w:rsidR="00112190" w:rsidRDefault="00112190" w:rsidP="00112190">
      <w:pPr>
        <w:pStyle w:val="Funotentext"/>
      </w:pPr>
      <w:r>
        <w:rPr>
          <w:rStyle w:val="Funotenzeichen"/>
        </w:rPr>
        <w:footnoteRef/>
      </w:r>
      <w:r>
        <w:t xml:space="preserve"> Erwägungsgrund (6) </w:t>
      </w:r>
      <w:r w:rsidRPr="000907AD">
        <w:t>Konsolidierter Beschluss (EU) 2015/1814, 1.1.2024</w:t>
      </w:r>
      <w:r>
        <w:t xml:space="preserve">, </w:t>
      </w:r>
      <w:r w:rsidRPr="00C75364">
        <w:t xml:space="preserve">siehe: </w:t>
      </w:r>
      <w:hyperlink r:id="rId1258" w:history="1">
        <w:r w:rsidRPr="00C75364">
          <w:rPr>
            <w:rStyle w:val="Hyperlink"/>
          </w:rPr>
          <w:t>https://eur-lex.europa.eu/legal-content/DE/TXT/PDF/?uri=CELEX:02015D1814-20240101</w:t>
        </w:r>
      </w:hyperlink>
      <w:r w:rsidRPr="00C75364">
        <w:t xml:space="preserve"> – Zugegriffen: 07.04.2024</w:t>
      </w:r>
    </w:p>
  </w:footnote>
  <w:footnote w:id="1632">
    <w:p w14:paraId="448A0671" w14:textId="77777777" w:rsidR="00112190" w:rsidRDefault="00112190" w:rsidP="00112190">
      <w:pPr>
        <w:pStyle w:val="Funotentext"/>
      </w:pPr>
      <w:r>
        <w:rPr>
          <w:rStyle w:val="Funotenzeichen"/>
        </w:rPr>
        <w:footnoteRef/>
      </w:r>
      <w:r>
        <w:t xml:space="preserve"> Siehe FN 16, Mitteilung der Kommission, Veröffentlichung der Gesamtmenge der 2022 im Umlauf befindlichen … (2023/C 172/01), 15.05.2023.: </w:t>
      </w:r>
      <w:hyperlink r:id="rId1259" w:history="1">
        <w:r w:rsidRPr="006A0612">
          <w:rPr>
            <w:rStyle w:val="Hyperlink"/>
          </w:rPr>
          <w:t>https://eur-lex.europa.eu/legal-content/DE/TXT/PDF/?uri=CELEX:52023XC0515(01)</w:t>
        </w:r>
      </w:hyperlink>
      <w:r>
        <w:t xml:space="preserve"> – Zugegriffen: 19.01.2024. </w:t>
      </w:r>
    </w:p>
  </w:footnote>
  <w:footnote w:id="1633">
    <w:p w14:paraId="7E25FFBA" w14:textId="77777777" w:rsidR="00112190" w:rsidRDefault="00112190" w:rsidP="00112190">
      <w:pPr>
        <w:pStyle w:val="Funotentext"/>
      </w:pPr>
      <w:r>
        <w:rPr>
          <w:rStyle w:val="Funotenzeichen"/>
        </w:rPr>
        <w:footnoteRef/>
      </w:r>
      <w:r>
        <w:t xml:space="preserve"> Siehe FN 16, Mitteilung der Kommission, Veröffentlichung der Gesamtmenge der 2022 im Umlauf befindlichen … (2023/C 172/01), 15.05.2023.: </w:t>
      </w:r>
      <w:hyperlink r:id="rId1260" w:history="1">
        <w:r w:rsidRPr="006A0612">
          <w:rPr>
            <w:rStyle w:val="Hyperlink"/>
          </w:rPr>
          <w:t>https://eur-lex.europa.eu/legal-content/DE/TXT/PDF/?uri=CELEX:52023XC0515(01)</w:t>
        </w:r>
      </w:hyperlink>
      <w:r>
        <w:t xml:space="preserve"> – Zugegriffen: 19.01.2024. </w:t>
      </w:r>
    </w:p>
  </w:footnote>
  <w:footnote w:id="1634">
    <w:p w14:paraId="12D08B3E" w14:textId="77777777" w:rsidR="00112190" w:rsidRDefault="00112190" w:rsidP="00112190">
      <w:pPr>
        <w:pStyle w:val="Funotentext"/>
      </w:pPr>
      <w:r>
        <w:rPr>
          <w:rStyle w:val="Funotenzeichen"/>
        </w:rPr>
        <w:footnoteRef/>
      </w:r>
      <w:r>
        <w:t xml:space="preserve"> Siehe: </w:t>
      </w:r>
      <w:hyperlink r:id="rId1261" w:anchor="vergleich-von-emissionen-und-emissionsobergrenzen-cap-im-eu-ets" w:history="1">
        <w:r w:rsidRPr="006A0612">
          <w:rPr>
            <w:rStyle w:val="Hyperlink"/>
          </w:rPr>
          <w:t>https://www.umweltbundesamt.de/daten/klima/der-europaeische-emissionshandel#vergleich-von-emissionen-und-emissionsobergrenzen-cap-im-eu-ets</w:t>
        </w:r>
      </w:hyperlink>
      <w:r>
        <w:t xml:space="preserve"> – Zugegriffen: 19.01.2024. </w:t>
      </w:r>
    </w:p>
  </w:footnote>
  <w:footnote w:id="1635">
    <w:p w14:paraId="39C0F8E8" w14:textId="77777777" w:rsidR="00491118" w:rsidRPr="00D71FB5" w:rsidRDefault="00491118" w:rsidP="00491118">
      <w:pPr>
        <w:pStyle w:val="Funotentext"/>
      </w:pPr>
      <w:r>
        <w:rPr>
          <w:rStyle w:val="Funotenzeichen"/>
        </w:rPr>
        <w:footnoteRef/>
      </w:r>
      <w:r w:rsidRPr="00491118">
        <w:t xml:space="preserve"> Michael Claußner, Fabian Huneke. </w:t>
      </w:r>
      <w:r w:rsidRPr="00D71FB5">
        <w:t>Kompensation der</w:t>
      </w:r>
      <w:r>
        <w:t xml:space="preserve"> Kohle-Mehremissionen durch die Energiekrise. </w:t>
      </w:r>
      <w:r w:rsidRPr="00D71FB5">
        <w:t>Kurz</w:t>
      </w:r>
      <w:r>
        <w:t xml:space="preserve">studie. </w:t>
      </w:r>
      <w:r w:rsidRPr="00D71FB5">
        <w:t>Berlin,</w:t>
      </w:r>
      <w:r>
        <w:t xml:space="preserve"> Februar 2023, siehe:</w:t>
      </w:r>
      <w:r w:rsidRPr="00D71FB5">
        <w:t xml:space="preserve"> </w:t>
      </w:r>
      <w:hyperlink r:id="rId1262" w:history="1">
        <w:r w:rsidRPr="00083B1E">
          <w:rPr>
            <w:rStyle w:val="Hyperlink"/>
          </w:rPr>
          <w:t>https://green-planet-energy.de/fileadmin/docs/publikationen/Studien/2023-02-06_GPE_Kurzstudie_Kohle-Mehremissionen_EnergyBrainpool_V20.pdf</w:t>
        </w:r>
      </w:hyperlink>
      <w:r>
        <w:t xml:space="preserve"> - Zugegriffen: 21.05.2025. </w:t>
      </w:r>
    </w:p>
  </w:footnote>
  <w:footnote w:id="1636">
    <w:p w14:paraId="657A88FC" w14:textId="77777777" w:rsidR="00112190" w:rsidRDefault="00112190" w:rsidP="00112190">
      <w:pPr>
        <w:pStyle w:val="Funotentext"/>
      </w:pPr>
      <w:r>
        <w:rPr>
          <w:rStyle w:val="Funotenzeichen"/>
        </w:rPr>
        <w:footnoteRef/>
      </w:r>
      <w:r w:rsidRPr="00915B17">
        <w:t xml:space="preserve"> </w:t>
      </w:r>
      <w:bookmarkStart w:id="85" w:name="_Hlk156663037"/>
      <w:r w:rsidRPr="00915B17">
        <w:t>Art. 1 Abs (5a). Ma</w:t>
      </w:r>
      <w:r>
        <w:t>rktstabilitätsreserve, k</w:t>
      </w:r>
      <w:r w:rsidRPr="00865E93">
        <w:t xml:space="preserve">onsolidierte Fassung, Beschluss (EU) 2025/1814, siehe: </w:t>
      </w:r>
      <w:hyperlink r:id="rId1263" w:history="1">
        <w:r w:rsidRPr="00C75364">
          <w:rPr>
            <w:rStyle w:val="Hyperlink"/>
          </w:rPr>
          <w:t>https://eur-lex.europa.eu/legal-content/DE/TXT/PDF/?uri=CELEX:02015D1814-20240101</w:t>
        </w:r>
      </w:hyperlink>
      <w:r w:rsidRPr="00865E93">
        <w:t xml:space="preserve"> – Zugegriffen: 07.04.2024.</w:t>
      </w:r>
    </w:p>
    <w:bookmarkEnd w:id="85"/>
  </w:footnote>
  <w:footnote w:id="1637">
    <w:p w14:paraId="28E625FB" w14:textId="77777777" w:rsidR="00112190" w:rsidRDefault="00112190" w:rsidP="00112190">
      <w:pPr>
        <w:pStyle w:val="Funotentext"/>
      </w:pPr>
      <w:r>
        <w:rPr>
          <w:rStyle w:val="Funotenzeichen"/>
        </w:rPr>
        <w:footnoteRef/>
      </w:r>
      <w:r>
        <w:t xml:space="preserve"> </w:t>
      </w:r>
      <w:r w:rsidRPr="00865E93">
        <w:t>Art. 1 Abs (</w:t>
      </w:r>
      <w:r>
        <w:t>6</w:t>
      </w:r>
      <w:r w:rsidRPr="00865E93">
        <w:t xml:space="preserve">). </w:t>
      </w:r>
      <w:r>
        <w:t>Marktstabilitätsreserve, k</w:t>
      </w:r>
      <w:r w:rsidRPr="00865E93">
        <w:t xml:space="preserve">onsolidierte Fassung, Beschluss (EU) 2025/1814, siehe: </w:t>
      </w:r>
      <w:hyperlink r:id="rId1264" w:history="1">
        <w:r w:rsidRPr="00C75364">
          <w:rPr>
            <w:rStyle w:val="Hyperlink"/>
          </w:rPr>
          <w:t>https://eur-lex.europa.eu/legal-content/DE/TXT/PDF/?uri=CELEX:02015D1814-20240101</w:t>
        </w:r>
      </w:hyperlink>
      <w:r w:rsidRPr="00865E93">
        <w:t xml:space="preserve"> – Zugegriffen: 07.04.2024.</w:t>
      </w:r>
    </w:p>
  </w:footnote>
  <w:footnote w:id="1638">
    <w:p w14:paraId="204BE062" w14:textId="77777777" w:rsidR="00112190" w:rsidRPr="00267BAA" w:rsidRDefault="00112190" w:rsidP="00112190">
      <w:pPr>
        <w:rPr>
          <w:sz w:val="20"/>
          <w:szCs w:val="20"/>
        </w:rPr>
      </w:pPr>
      <w:r>
        <w:rPr>
          <w:rStyle w:val="Funotenzeichen"/>
        </w:rPr>
        <w:footnoteRef/>
      </w:r>
      <w:r>
        <w:t xml:space="preserve"> </w:t>
      </w:r>
      <w:r>
        <w:rPr>
          <w:sz w:val="20"/>
          <w:szCs w:val="20"/>
        </w:rPr>
        <w:t>Durch</w:t>
      </w:r>
      <w:r w:rsidRPr="00267BAA">
        <w:rPr>
          <w:sz w:val="20"/>
          <w:szCs w:val="20"/>
        </w:rPr>
        <w:t xml:space="preserve"> Richtlinie (EU) 2023/959, 10. Mai 2023 </w:t>
      </w:r>
      <w:r>
        <w:rPr>
          <w:sz w:val="20"/>
          <w:szCs w:val="20"/>
        </w:rPr>
        <w:t xml:space="preserve">wurde dies </w:t>
      </w:r>
      <w:r w:rsidRPr="00267BAA">
        <w:rPr>
          <w:sz w:val="20"/>
          <w:szCs w:val="20"/>
        </w:rPr>
        <w:t>entfernt</w:t>
      </w:r>
      <w:r>
        <w:rPr>
          <w:sz w:val="20"/>
          <w:szCs w:val="20"/>
        </w:rPr>
        <w:t>, siehe dort die neue Fassung auf S. 47</w:t>
      </w:r>
      <w:r w:rsidRPr="00267BAA">
        <w:rPr>
          <w:sz w:val="20"/>
          <w:szCs w:val="20"/>
        </w:rPr>
        <w:t xml:space="preserve">. </w:t>
      </w:r>
      <w:r>
        <w:rPr>
          <w:sz w:val="20"/>
          <w:szCs w:val="20"/>
        </w:rPr>
        <w:t xml:space="preserve">Siehe: </w:t>
      </w:r>
      <w:hyperlink r:id="rId1265" w:history="1">
        <w:r w:rsidRPr="006A0612">
          <w:rPr>
            <w:rStyle w:val="Hyperlink"/>
            <w:szCs w:val="20"/>
          </w:rPr>
          <w:t>https://eur-lex.europa.eu/legal-content/DE/TXT/PDF/?uri=CELEX:32023L0959</w:t>
        </w:r>
      </w:hyperlink>
      <w:r>
        <w:rPr>
          <w:sz w:val="20"/>
          <w:szCs w:val="20"/>
        </w:rPr>
        <w:t xml:space="preserve"> – Zugegriffen: 19.01.2024. </w:t>
      </w:r>
    </w:p>
  </w:footnote>
  <w:footnote w:id="1639">
    <w:p w14:paraId="19EBCD0C" w14:textId="77777777" w:rsidR="00112190" w:rsidRDefault="00112190" w:rsidP="00112190">
      <w:pPr>
        <w:pStyle w:val="Funotentext"/>
      </w:pPr>
      <w:r>
        <w:rPr>
          <w:rStyle w:val="Funotenzeichen"/>
        </w:rPr>
        <w:footnoteRef/>
      </w:r>
      <w:r>
        <w:t xml:space="preserve"> Willner/Perino 2022: 1-2.</w:t>
      </w:r>
    </w:p>
  </w:footnote>
  <w:footnote w:id="1640">
    <w:p w14:paraId="0625F6BE" w14:textId="77777777" w:rsidR="00112190" w:rsidRPr="00267BAA" w:rsidRDefault="00112190" w:rsidP="00112190">
      <w:pPr>
        <w:rPr>
          <w:sz w:val="20"/>
          <w:szCs w:val="20"/>
        </w:rPr>
      </w:pPr>
      <w:r>
        <w:rPr>
          <w:rStyle w:val="Funotenzeichen"/>
        </w:rPr>
        <w:footnoteRef/>
      </w:r>
      <w:r>
        <w:t xml:space="preserve"> </w:t>
      </w:r>
      <w:r w:rsidRPr="00915B17">
        <w:rPr>
          <w:sz w:val="20"/>
          <w:szCs w:val="20"/>
        </w:rPr>
        <w:t>Art. 29a, ETS-Richtlinie,</w:t>
      </w:r>
      <w:r>
        <w:t xml:space="preserve"> </w:t>
      </w:r>
      <w:r>
        <w:rPr>
          <w:sz w:val="20"/>
          <w:szCs w:val="20"/>
        </w:rPr>
        <w:t>k</w:t>
      </w:r>
      <w:r w:rsidRPr="00267BAA">
        <w:rPr>
          <w:sz w:val="20"/>
          <w:szCs w:val="20"/>
        </w:rPr>
        <w:t>onsolidierte Fassung, Stand: 05.06.2023, Richtlinie 2003/87/EG, 13. Oktober 2003.</w:t>
      </w:r>
    </w:p>
  </w:footnote>
  <w:footnote w:id="1641">
    <w:p w14:paraId="79777F08" w14:textId="77777777" w:rsidR="00112190" w:rsidRDefault="00112190" w:rsidP="00112190">
      <w:pPr>
        <w:pStyle w:val="Funotentext"/>
      </w:pPr>
      <w:r>
        <w:rPr>
          <w:rStyle w:val="Funotenzeichen"/>
        </w:rPr>
        <w:footnoteRef/>
      </w:r>
      <w:r>
        <w:t xml:space="preserve"> ETS-Richtlinie, k</w:t>
      </w:r>
      <w:r w:rsidRPr="00267BAA">
        <w:t>onsolidierte Fassung, Stand: 05.06.2023, Richtlinie 2003/87/EG</w:t>
      </w:r>
      <w:r>
        <w:t xml:space="preserve">. Art. 30h Abs. 1, </w:t>
      </w:r>
      <w:r w:rsidRPr="000014DA">
        <w:t xml:space="preserve">siehe: </w:t>
      </w:r>
      <w:hyperlink r:id="rId1266" w:history="1">
        <w:r w:rsidRPr="006A0612">
          <w:rPr>
            <w:rStyle w:val="Hyperlink"/>
          </w:rPr>
          <w:t>https://eur-lex.europa.eu/legal-content/DE/TXT/PDF/?uri=CELEX:02003L0087-20230605</w:t>
        </w:r>
      </w:hyperlink>
      <w:r>
        <w:t xml:space="preserve"> – Zugegriffen: 19.01.2024.</w:t>
      </w:r>
    </w:p>
  </w:footnote>
  <w:footnote w:id="1642">
    <w:p w14:paraId="785155F5" w14:textId="77777777" w:rsidR="00112190" w:rsidRDefault="00112190" w:rsidP="00112190">
      <w:pPr>
        <w:pStyle w:val="Funotentext"/>
      </w:pPr>
      <w:r>
        <w:rPr>
          <w:rStyle w:val="Funotenzeichen"/>
        </w:rPr>
        <w:footnoteRef/>
      </w:r>
      <w:r>
        <w:t xml:space="preserve"> ETS-Richtlinie, k</w:t>
      </w:r>
      <w:r w:rsidRPr="00267BAA">
        <w:t>onsolidierte Fassung, Stand: 05.06.2023, Richtlinie 2003/87/EG.</w:t>
      </w:r>
      <w:r>
        <w:t xml:space="preserve"> Art. 30h Abs. 2, </w:t>
      </w:r>
      <w:r w:rsidRPr="000014DA">
        <w:t xml:space="preserve">siehe: </w:t>
      </w:r>
      <w:hyperlink r:id="rId1267" w:history="1">
        <w:r w:rsidRPr="006A0612">
          <w:rPr>
            <w:rStyle w:val="Hyperlink"/>
          </w:rPr>
          <w:t>https://eur-lex.europa.eu/legal-content/DE/TXT/PDF/?uri=CELEX:02003L0087-20230605</w:t>
        </w:r>
      </w:hyperlink>
      <w:r>
        <w:t xml:space="preserve"> – Zugegriffen: 19.01.2024.</w:t>
      </w:r>
    </w:p>
  </w:footnote>
  <w:footnote w:id="1643">
    <w:p w14:paraId="635B822D" w14:textId="77777777" w:rsidR="00112190" w:rsidRDefault="00112190" w:rsidP="00112190">
      <w:pPr>
        <w:pStyle w:val="Funotentext"/>
      </w:pPr>
      <w:r>
        <w:rPr>
          <w:rStyle w:val="Funotenzeichen"/>
        </w:rPr>
        <w:footnoteRef/>
      </w:r>
      <w:r>
        <w:t xml:space="preserve"> ETS-Richtlinie, k</w:t>
      </w:r>
      <w:r w:rsidRPr="00267BAA">
        <w:t>onsolidierte Fassung, Stand: 05.06.2023, Richtlinie 2003/87/EG.</w:t>
      </w:r>
      <w:r>
        <w:t xml:space="preserve"> Art. 30h Abs. 3, </w:t>
      </w:r>
      <w:r w:rsidRPr="000014DA">
        <w:t xml:space="preserve">siehe: </w:t>
      </w:r>
      <w:hyperlink r:id="rId1268" w:history="1">
        <w:r w:rsidRPr="006A0612">
          <w:rPr>
            <w:rStyle w:val="Hyperlink"/>
          </w:rPr>
          <w:t>https://eur-lex.europa.eu/legal-content/DE/TXT/PDF/?uri=CELEX:02003L0087-20230605</w:t>
        </w:r>
      </w:hyperlink>
      <w:r>
        <w:t xml:space="preserve"> – Zugegriffen: 19.01.2024. </w:t>
      </w:r>
    </w:p>
  </w:footnote>
  <w:footnote w:id="1644">
    <w:p w14:paraId="489DE106" w14:textId="77777777" w:rsidR="00112190" w:rsidRDefault="00112190" w:rsidP="00112190">
      <w:pPr>
        <w:pStyle w:val="Funotentext"/>
      </w:pPr>
      <w:r>
        <w:rPr>
          <w:rStyle w:val="Funotenzeichen"/>
        </w:rPr>
        <w:footnoteRef/>
      </w:r>
      <w:r>
        <w:t xml:space="preserve"> Marktstabilitätsreserve, k</w:t>
      </w:r>
      <w:r w:rsidRPr="00625066">
        <w:t>onsolidierter Beschluss</w:t>
      </w:r>
      <w:r>
        <w:t xml:space="preserve">, Stand: 01.01.2024, </w:t>
      </w:r>
      <w:r w:rsidRPr="00625066">
        <w:t>(EU) 2015/1814,</w:t>
      </w:r>
      <w:r>
        <w:t xml:space="preserve"> </w:t>
      </w:r>
      <w:r w:rsidRPr="00625066">
        <w:t xml:space="preserve">Art. </w:t>
      </w:r>
      <w:r>
        <w:t>1a</w:t>
      </w:r>
      <w:r w:rsidRPr="00625066">
        <w:t xml:space="preserve"> Abs. </w:t>
      </w:r>
      <w:r>
        <w:t xml:space="preserve">7, </w:t>
      </w:r>
      <w:r w:rsidRPr="000014DA">
        <w:t xml:space="preserve">siehe: </w:t>
      </w:r>
      <w:hyperlink r:id="rId1269" w:history="1">
        <w:r w:rsidRPr="007701A4">
          <w:rPr>
            <w:rStyle w:val="Hyperlink"/>
          </w:rPr>
          <w:t>https://eur-lex.europa.eu/legal-content/DE/TXT/PDF/?uri=CELEX:02015D1814-20240101</w:t>
        </w:r>
      </w:hyperlink>
      <w:r>
        <w:t xml:space="preserve"> – Zugegriffen: 19.01.</w:t>
      </w:r>
      <w:proofErr w:type="gramStart"/>
      <w:r>
        <w:t>2024.</w:t>
      </w:r>
      <w:r w:rsidRPr="00625066">
        <w:t>.</w:t>
      </w:r>
      <w:proofErr w:type="gramEnd"/>
    </w:p>
  </w:footnote>
  <w:footnote w:id="1645">
    <w:p w14:paraId="7A9F061D" w14:textId="77777777" w:rsidR="003A68C5" w:rsidRDefault="003A68C5" w:rsidP="003A68C5">
      <w:pPr>
        <w:pStyle w:val="Funotentext"/>
      </w:pPr>
      <w:r>
        <w:rPr>
          <w:rStyle w:val="Funotenzeichen"/>
        </w:rPr>
        <w:footnoteRef/>
      </w:r>
      <w:r>
        <w:t xml:space="preserve"> Hanna Decker. EU deutet CO2-Preisbremse an. FAZ, 21.10.2025.</w:t>
      </w:r>
    </w:p>
  </w:footnote>
  <w:footnote w:id="1646">
    <w:p w14:paraId="6BCE7380" w14:textId="77777777" w:rsidR="00112190" w:rsidRPr="001E33AB" w:rsidRDefault="00112190" w:rsidP="00112190">
      <w:pPr>
        <w:pStyle w:val="Funotentext"/>
      </w:pPr>
      <w:r>
        <w:rPr>
          <w:rStyle w:val="Funotenzeichen"/>
        </w:rPr>
        <w:footnoteRef/>
      </w:r>
      <w:r>
        <w:t xml:space="preserve"> Christian Geinitz. Hohe CO2-Kosten könnten ins Leere laufen. </w:t>
      </w:r>
      <w:r w:rsidRPr="004C525C">
        <w:t xml:space="preserve">FAZ, 10.12.2020. </w:t>
      </w:r>
      <w:r w:rsidRPr="001E33AB">
        <w:t xml:space="preserve">URL: </w:t>
      </w:r>
      <w:hyperlink r:id="rId1270" w:anchor="void-" w:history="1">
        <w:r w:rsidRPr="001E33AB">
          <w:rPr>
            <w:rStyle w:val="Hyperlink"/>
          </w:rPr>
          <w:t>https://www.faz.net/aktuell/wirtschaft/brennstoffgesetz-hohe-co2-kosten-koennten-ins-leere-laufen-17094218.html?printPagedArticle=true#void-</w:t>
        </w:r>
      </w:hyperlink>
      <w:r w:rsidRPr="001E33AB">
        <w:t xml:space="preserve"> Zu</w:t>
      </w:r>
      <w:r>
        <w:t xml:space="preserve">gegriffen: 12.11.2023. </w:t>
      </w:r>
    </w:p>
  </w:footnote>
  <w:footnote w:id="1647">
    <w:p w14:paraId="6A31EAE9" w14:textId="77777777" w:rsidR="00112190" w:rsidRDefault="00112190" w:rsidP="00112190">
      <w:pPr>
        <w:pStyle w:val="Funotentext"/>
      </w:pPr>
      <w:r>
        <w:rPr>
          <w:rStyle w:val="Funotenzeichen"/>
        </w:rPr>
        <w:footnoteRef/>
      </w:r>
      <w:r>
        <w:t xml:space="preserve"> Siehe: </w:t>
      </w:r>
      <w:hyperlink r:id="rId1271" w:history="1">
        <w:r w:rsidRPr="008D0F9C">
          <w:rPr>
            <w:rStyle w:val="Hyperlink"/>
          </w:rPr>
          <w:t>https://www.dehst.de/DE/Nationaler-Emissionshandel/Carbon-Leakage/carbon-leakage_node.html</w:t>
        </w:r>
      </w:hyperlink>
      <w:r>
        <w:t xml:space="preserve"> - Zugegriffen: 24.02.2024. </w:t>
      </w:r>
    </w:p>
  </w:footnote>
  <w:footnote w:id="1648">
    <w:p w14:paraId="180DDEC3" w14:textId="77777777" w:rsidR="00112190" w:rsidRDefault="00112190" w:rsidP="00112190">
      <w:pPr>
        <w:pStyle w:val="Funotentext"/>
      </w:pPr>
      <w:r>
        <w:rPr>
          <w:rStyle w:val="Funotenzeichen"/>
        </w:rPr>
        <w:footnoteRef/>
      </w:r>
      <w:r>
        <w:t xml:space="preserve"> Siehe: </w:t>
      </w:r>
      <w:hyperlink r:id="rId1272" w:history="1">
        <w:r w:rsidRPr="008D0F9C">
          <w:rPr>
            <w:rStyle w:val="Hyperlink"/>
          </w:rPr>
          <w:t>https://ec.europa.eu/commission/presscorner/detail/en/ip_23_4105</w:t>
        </w:r>
      </w:hyperlink>
      <w:r>
        <w:t xml:space="preserve"> - Zugegriffen: 24.02.2024. </w:t>
      </w:r>
    </w:p>
  </w:footnote>
  <w:footnote w:id="1649">
    <w:p w14:paraId="6727AAD1" w14:textId="77777777" w:rsidR="00112190" w:rsidRDefault="00112190" w:rsidP="00112190">
      <w:pPr>
        <w:pStyle w:val="Funotentext"/>
      </w:pPr>
      <w:r>
        <w:rPr>
          <w:rStyle w:val="Funotenzeichen"/>
        </w:rPr>
        <w:footnoteRef/>
      </w:r>
      <w:r>
        <w:t xml:space="preserve"> Siehe: </w:t>
      </w:r>
      <w:hyperlink r:id="rId1273" w:anchor="__bgbl__%2F%2F*%5B%40attr_id%3D%27bgbl121s3129.pdf%27%5D__1708778385511" w:history="1">
        <w:r w:rsidRPr="008D0F9C">
          <w:rPr>
            <w:rStyle w:val="Hyperlink"/>
          </w:rPr>
          <w:t>https://www.bgbl.de/xaver/bgbl/start.xav?startbk=Bundesanzeiger_BGBl&amp;jumpTo=bgbl121s3129.pdf#__bgbl__%2F%2F*%5B%40attr_id%3D%27bgbl121s3129.pdf%27%5D__1708778385511</w:t>
        </w:r>
      </w:hyperlink>
      <w:r>
        <w:t xml:space="preserve"> – Zugegriffen: 24.02.2024. </w:t>
      </w:r>
    </w:p>
  </w:footnote>
  <w:footnote w:id="1650">
    <w:p w14:paraId="77D0F4CE" w14:textId="77777777" w:rsidR="00112190" w:rsidRDefault="00112190" w:rsidP="00112190">
      <w:pPr>
        <w:pStyle w:val="Funotentext"/>
      </w:pPr>
      <w:r>
        <w:rPr>
          <w:rStyle w:val="Funotenzeichen"/>
        </w:rPr>
        <w:footnoteRef/>
      </w:r>
      <w:r>
        <w:t xml:space="preserve"> Präsentation Katharina Bockisch, Einführung in die wesentlichen Regelungsinhalt der CL-Verordnung (BECV): </w:t>
      </w:r>
      <w:hyperlink r:id="rId1274" w:history="1">
        <w:r w:rsidRPr="008D0F9C">
          <w:rPr>
            <w:rStyle w:val="Hyperlink"/>
          </w:rPr>
          <w:t>https://www.dehst.de/SharedDocs/downloads/DE/praesentationen/nehs-infoveranstaltung-2022-2-cl.pdf?__blob=publicationFile&amp;v=3</w:t>
        </w:r>
      </w:hyperlink>
      <w:r>
        <w:t xml:space="preserve"> – Zugegriffen: 24.02.2024.</w:t>
      </w:r>
    </w:p>
  </w:footnote>
  <w:footnote w:id="1651">
    <w:p w14:paraId="264C7DB8" w14:textId="77777777" w:rsidR="00112190" w:rsidRDefault="00112190" w:rsidP="00112190">
      <w:pPr>
        <w:pStyle w:val="Funotentext"/>
      </w:pPr>
      <w:r>
        <w:rPr>
          <w:rStyle w:val="Funotenzeichen"/>
        </w:rPr>
        <w:footnoteRef/>
      </w:r>
      <w:r>
        <w:t xml:space="preserve"> Siehe auf der Hauptwebseite unten die Excel-Datei BECV – Liste beihilfefähiger Produkte, 30.03.2023, siehe: </w:t>
      </w:r>
      <w:hyperlink r:id="rId1275" w:history="1">
        <w:r w:rsidRPr="001D514D">
          <w:rPr>
            <w:rStyle w:val="Hyperlink"/>
          </w:rPr>
          <w:t>https://www.dehst.de/DE/Nationaler-Emissionshandel/Carbon-Leakage/carbon-leakage_node.html</w:t>
        </w:r>
      </w:hyperlink>
      <w:r>
        <w:t xml:space="preserve"> - Zugegriffen: 24.02.2024. Auch in Brennstoffemissionsgesetz (BEHG) findet sich unten eine solche Liste, ein Link dazu findet sich ebenfalls auf dieser </w:t>
      </w:r>
      <w:proofErr w:type="spellStart"/>
      <w:r>
        <w:t>DEHSt</w:t>
      </w:r>
      <w:proofErr w:type="spellEnd"/>
      <w:r>
        <w:t xml:space="preserve"> Webseite.  </w:t>
      </w:r>
    </w:p>
  </w:footnote>
  <w:footnote w:id="1652">
    <w:p w14:paraId="5F7FD17C" w14:textId="77777777" w:rsidR="00112190" w:rsidRDefault="00112190" w:rsidP="00112190">
      <w:pPr>
        <w:pStyle w:val="Funotentext"/>
      </w:pPr>
      <w:r>
        <w:rPr>
          <w:rStyle w:val="Funotenzeichen"/>
        </w:rPr>
        <w:footnoteRef/>
      </w:r>
      <w:r>
        <w:t xml:space="preserve"> Siehe: </w:t>
      </w:r>
      <w:hyperlink r:id="rId1276" w:history="1">
        <w:r w:rsidRPr="00EF68D4">
          <w:rPr>
            <w:rStyle w:val="Hyperlink"/>
          </w:rPr>
          <w:t>https://www.dehst.de/DE/Strompreiskompensation/SPK_verstehen/spk-verstehen_node.html</w:t>
        </w:r>
      </w:hyperlink>
      <w:r>
        <w:t xml:space="preserve"> - Zugegriffen: 25.02.2024.</w:t>
      </w:r>
    </w:p>
  </w:footnote>
  <w:footnote w:id="1653">
    <w:p w14:paraId="4594737D" w14:textId="77777777" w:rsidR="00112190" w:rsidRDefault="00112190" w:rsidP="00112190">
      <w:pPr>
        <w:pStyle w:val="Funotentext"/>
      </w:pPr>
      <w:r>
        <w:rPr>
          <w:rStyle w:val="Funotenzeichen"/>
        </w:rPr>
        <w:footnoteRef/>
      </w:r>
      <w:r>
        <w:t xml:space="preserve"> Siehe: </w:t>
      </w:r>
      <w:hyperlink r:id="rId1277" w:history="1">
        <w:r w:rsidRPr="00EF68D4">
          <w:rPr>
            <w:rStyle w:val="Hyperlink"/>
          </w:rPr>
          <w:t>https://www.dehst.de/DE/Strompreiskompensation/SPK_verstehen/spk-verstehen_node.html</w:t>
        </w:r>
      </w:hyperlink>
      <w:r>
        <w:t xml:space="preserve"> - Zugegriffen: 25.02.2024.</w:t>
      </w:r>
    </w:p>
  </w:footnote>
  <w:footnote w:id="1654">
    <w:p w14:paraId="6B1F5C66" w14:textId="77777777" w:rsidR="00112190" w:rsidRDefault="00112190" w:rsidP="00112190">
      <w:pPr>
        <w:pStyle w:val="Funotentext"/>
      </w:pPr>
      <w:r>
        <w:rPr>
          <w:rStyle w:val="Funotenzeichen"/>
        </w:rPr>
        <w:footnoteRef/>
      </w:r>
      <w:r>
        <w:t xml:space="preserve"> Leitlinien für bestimmte Beihilfemaßnahmen im Zusammenhang mit dem System für den Handel mit</w:t>
      </w:r>
    </w:p>
    <w:p w14:paraId="2D2894AA" w14:textId="77777777" w:rsidR="00112190" w:rsidRDefault="00112190" w:rsidP="00112190">
      <w:pPr>
        <w:pStyle w:val="Funotentext"/>
      </w:pPr>
      <w:r>
        <w:t>Treibhausgasemissionszertifikaten nach 2021</w:t>
      </w:r>
    </w:p>
    <w:p w14:paraId="08DC0EE9" w14:textId="77777777" w:rsidR="00112190" w:rsidRDefault="00112190" w:rsidP="00112190">
      <w:pPr>
        <w:pStyle w:val="Funotentext"/>
      </w:pPr>
      <w:r>
        <w:t xml:space="preserve">(2020/C 317/04), siehe: </w:t>
      </w:r>
      <w:hyperlink r:id="rId1278" w:history="1">
        <w:r w:rsidRPr="00EF68D4">
          <w:rPr>
            <w:rStyle w:val="Hyperlink"/>
          </w:rPr>
          <w:t>https://eur-lex.europa.eu/legal-content/DE/TXT/PDF/?uri=CELEX:52020XC0925(01)&amp;from=DE</w:t>
        </w:r>
      </w:hyperlink>
      <w:r>
        <w:t xml:space="preserve"> – Zugegriffen: 24.02.2024.</w:t>
      </w:r>
    </w:p>
  </w:footnote>
  <w:footnote w:id="1655">
    <w:p w14:paraId="7D34A941" w14:textId="77777777" w:rsidR="00112190" w:rsidRDefault="00112190" w:rsidP="00112190">
      <w:pPr>
        <w:pStyle w:val="Funotentext"/>
      </w:pPr>
      <w:r>
        <w:rPr>
          <w:rStyle w:val="Funotenzeichen"/>
        </w:rPr>
        <w:footnoteRef/>
      </w:r>
      <w:r>
        <w:t xml:space="preserve"> Siehe: </w:t>
      </w:r>
      <w:hyperlink r:id="rId1279" w:history="1">
        <w:r w:rsidRPr="00EF68D4">
          <w:rPr>
            <w:rStyle w:val="Hyperlink"/>
          </w:rPr>
          <w:t>https://www.bundesanzeiger.de/pub/publication/pBGETer9tMfhgyQW8zK/content/pBGETer9tMfhgyQW8zK/BAnz%20AT%2001.09.2022%20B1.pdf?inline</w:t>
        </w:r>
      </w:hyperlink>
      <w:r>
        <w:t xml:space="preserve"> – Zugegriffen: 24.02.2024. </w:t>
      </w:r>
    </w:p>
  </w:footnote>
  <w:footnote w:id="1656">
    <w:p w14:paraId="684E0DAF" w14:textId="77777777" w:rsidR="00112190" w:rsidRDefault="00112190" w:rsidP="00112190">
      <w:pPr>
        <w:pStyle w:val="Funotentext"/>
      </w:pPr>
      <w:r>
        <w:rPr>
          <w:rStyle w:val="Funotenzeichen"/>
        </w:rPr>
        <w:footnoteRef/>
      </w:r>
      <w:r>
        <w:t xml:space="preserve"> Siehe: </w:t>
      </w:r>
      <w:hyperlink r:id="rId1280" w:history="1">
        <w:r w:rsidRPr="00EF68D4">
          <w:rPr>
            <w:rStyle w:val="Hyperlink"/>
          </w:rPr>
          <w:t>https://www.dehst.de/SharedDocs/downloads/DE/spk/spk-transparenzbericht-2021.pdf?__blob=publicationFile&amp;v=3</w:t>
        </w:r>
      </w:hyperlink>
      <w:r>
        <w:t xml:space="preserve"> – Zugegriffen: 24.02.2024.</w:t>
      </w:r>
    </w:p>
  </w:footnote>
  <w:footnote w:id="1657">
    <w:p w14:paraId="156FE225" w14:textId="77777777" w:rsidR="00112190" w:rsidRPr="000014DA" w:rsidRDefault="00112190" w:rsidP="00112190">
      <w:pPr>
        <w:pStyle w:val="Funotentext"/>
      </w:pPr>
      <w:r>
        <w:rPr>
          <w:rStyle w:val="Funotenzeichen"/>
        </w:rPr>
        <w:footnoteRef/>
      </w:r>
      <w:r w:rsidRPr="000014DA">
        <w:t xml:space="preserve"> </w:t>
      </w:r>
      <w:r>
        <w:t xml:space="preserve">Kapitel </w:t>
      </w:r>
      <w:proofErr w:type="spellStart"/>
      <w:r>
        <w:t>IVa</w:t>
      </w:r>
      <w:proofErr w:type="spellEnd"/>
      <w:r>
        <w:t>, Artikel 30a</w:t>
      </w:r>
      <w:r w:rsidRPr="000014DA">
        <w:t xml:space="preserve">, </w:t>
      </w:r>
      <w:bookmarkStart w:id="86" w:name="_Hlk156672670"/>
      <w:r>
        <w:t>ETS-Richtlinie, k</w:t>
      </w:r>
      <w:r w:rsidRPr="00267BAA">
        <w:t>onsolidierte Fassung, Stand: 05.06.2023, Richtlinie 2003/87/EG</w:t>
      </w:r>
      <w:r>
        <w:t>,</w:t>
      </w:r>
      <w:r w:rsidRPr="000014DA">
        <w:t xml:space="preserve"> siehe: </w:t>
      </w:r>
      <w:hyperlink r:id="rId1281" w:history="1">
        <w:r w:rsidRPr="006A0612">
          <w:rPr>
            <w:rStyle w:val="Hyperlink"/>
          </w:rPr>
          <w:t>https://eur-lex.europa.eu/legal-content/DE/TXT/PDF/?uri=CELEX:02003L0087-20230605</w:t>
        </w:r>
      </w:hyperlink>
      <w:r>
        <w:t xml:space="preserve"> – Zugegriffen: 19.01.2024. </w:t>
      </w:r>
    </w:p>
    <w:bookmarkEnd w:id="86"/>
  </w:footnote>
  <w:footnote w:id="1658">
    <w:p w14:paraId="00436AAE" w14:textId="77777777" w:rsidR="00112190" w:rsidRDefault="00112190" w:rsidP="00112190">
      <w:pPr>
        <w:pStyle w:val="Funotentext"/>
      </w:pPr>
      <w:r>
        <w:rPr>
          <w:rStyle w:val="Funotenzeichen"/>
        </w:rPr>
        <w:footnoteRef/>
      </w:r>
      <w:r>
        <w:t xml:space="preserve"> Art. 30 c, dort werden weitere Kürzungsfaktoren genannt, ETS-Richtlinie, k</w:t>
      </w:r>
      <w:r w:rsidRPr="00267BAA">
        <w:t>onsolidierte Fassung, Stand: 05.06.2023, Richtlinie 2003/87/EG</w:t>
      </w:r>
      <w:r>
        <w:t>,</w:t>
      </w:r>
      <w:r w:rsidRPr="00C75364">
        <w:t xml:space="preserve"> siehe: </w:t>
      </w:r>
      <w:hyperlink r:id="rId1282" w:history="1">
        <w:r w:rsidRPr="00264106">
          <w:rPr>
            <w:rStyle w:val="Hyperlink"/>
          </w:rPr>
          <w:t>https://eur-lex.europa.eu/legal-content/DE/TXT/PDF/?uri=CELEX:02003L0087-20230605</w:t>
        </w:r>
      </w:hyperlink>
      <w:r w:rsidRPr="00C75364">
        <w:t xml:space="preserve"> – Zugegriffen: 19.01.2024.</w:t>
      </w:r>
    </w:p>
  </w:footnote>
  <w:footnote w:id="1659">
    <w:p w14:paraId="35604265" w14:textId="77777777" w:rsidR="00112190" w:rsidRDefault="00112190" w:rsidP="00112190">
      <w:pPr>
        <w:pStyle w:val="Funotentext"/>
      </w:pPr>
      <w:r>
        <w:rPr>
          <w:rStyle w:val="Funotenzeichen"/>
        </w:rPr>
        <w:footnoteRef/>
      </w:r>
      <w:r>
        <w:t xml:space="preserve"> Erwägungsgrund (9), Original-</w:t>
      </w:r>
      <w:r w:rsidRPr="006F68A1">
        <w:t xml:space="preserve">Richtlinie 2003/87/EG des Europäischen Parlaments und des Rates vom 13. Oktober 2003 über ein System für den Handel mit Treibhausgasemissionszertifikaten in der Union und zur Änderung der Richtlinie 96/61/EG des Rates, </w:t>
      </w:r>
      <w:proofErr w:type="spellStart"/>
      <w:r w:rsidRPr="006F68A1">
        <w:t>ABl.</w:t>
      </w:r>
      <w:proofErr w:type="spellEnd"/>
      <w:r w:rsidRPr="006F68A1">
        <w:t xml:space="preserve"> L 275 vom 25.10.2003, S. 32.</w:t>
      </w:r>
      <w:r>
        <w:t xml:space="preserve"> Siehe: </w:t>
      </w:r>
      <w:hyperlink r:id="rId1283" w:history="1">
        <w:r w:rsidRPr="001602B8">
          <w:rPr>
            <w:rStyle w:val="Hyperlink"/>
          </w:rPr>
          <w:t>https://eur-lex.europa.eu/legal-content/DE/TXT/PDF/?uri=CELEX:32003L0087</w:t>
        </w:r>
      </w:hyperlink>
      <w:r>
        <w:t xml:space="preserve"> – Zugegriffen: 07.04.2024.</w:t>
      </w:r>
    </w:p>
  </w:footnote>
  <w:footnote w:id="1660">
    <w:p w14:paraId="48DFE479" w14:textId="77777777" w:rsidR="00112190" w:rsidRDefault="00112190" w:rsidP="00112190">
      <w:pPr>
        <w:pStyle w:val="Funotentext"/>
      </w:pPr>
      <w:r>
        <w:rPr>
          <w:rStyle w:val="Funotenzeichen"/>
        </w:rPr>
        <w:footnoteRef/>
      </w:r>
      <w:r>
        <w:t xml:space="preserve"> Ebd., Erwägungsgrund (9).</w:t>
      </w:r>
    </w:p>
  </w:footnote>
  <w:footnote w:id="1661">
    <w:p w14:paraId="504CDEA2" w14:textId="77777777" w:rsidR="00112190" w:rsidRDefault="00112190" w:rsidP="00112190">
      <w:pPr>
        <w:pStyle w:val="Funotentext"/>
      </w:pPr>
      <w:r>
        <w:rPr>
          <w:rStyle w:val="Funotenzeichen"/>
        </w:rPr>
        <w:footnoteRef/>
      </w:r>
      <w:r>
        <w:t xml:space="preserve"> Ebd., Erwägungsgrund (10).</w:t>
      </w:r>
    </w:p>
  </w:footnote>
  <w:footnote w:id="1662">
    <w:p w14:paraId="3005BD2D" w14:textId="77777777" w:rsidR="00112190" w:rsidRDefault="00112190" w:rsidP="00112190">
      <w:pPr>
        <w:pStyle w:val="Funotentext"/>
      </w:pPr>
      <w:r>
        <w:rPr>
          <w:rStyle w:val="Funotenzeichen"/>
        </w:rPr>
        <w:footnoteRef/>
      </w:r>
      <w:r>
        <w:t xml:space="preserve"> Erwägungsgrund (5) in Beschluss (EU) 2023/852 des Europäischen Parlaments und des Rates, 19. April 2023. Siehe: </w:t>
      </w:r>
      <w:hyperlink r:id="rId1284" w:history="1">
        <w:r w:rsidRPr="00DB1672">
          <w:rPr>
            <w:rStyle w:val="Hyperlink"/>
          </w:rPr>
          <w:t>https://eur-lex.europa.eu/legal-content/DE/TXT/PDF/?uri=CELEX:32023D0852</w:t>
        </w:r>
      </w:hyperlink>
      <w:r>
        <w:t xml:space="preserve"> – Zugegriffen: 18.01.2024. </w:t>
      </w:r>
    </w:p>
  </w:footnote>
  <w:footnote w:id="1663">
    <w:p w14:paraId="67373665" w14:textId="77777777" w:rsidR="00112190" w:rsidRDefault="00112190" w:rsidP="00112190">
      <w:pPr>
        <w:pStyle w:val="Funotentext"/>
      </w:pPr>
      <w:r>
        <w:rPr>
          <w:rStyle w:val="Funotenzeichen"/>
        </w:rPr>
        <w:footnoteRef/>
      </w:r>
      <w:r>
        <w:t xml:space="preserve"> </w:t>
      </w:r>
      <w:proofErr w:type="gramStart"/>
      <w:r>
        <w:t>ESMA Webseite</w:t>
      </w:r>
      <w:proofErr w:type="gramEnd"/>
      <w:r>
        <w:t xml:space="preserve">: </w:t>
      </w:r>
      <w:hyperlink r:id="rId1285" w:history="1">
        <w:r w:rsidRPr="00DB1672">
          <w:rPr>
            <w:rStyle w:val="Hyperlink"/>
          </w:rPr>
          <w:t>https://www.esma.europa.eu/</w:t>
        </w:r>
      </w:hyperlink>
      <w:r>
        <w:t xml:space="preserve"> - siehe den Report in: </w:t>
      </w:r>
      <w:hyperlink r:id="rId1286" w:history="1">
        <w:r w:rsidRPr="00DB1672">
          <w:rPr>
            <w:rStyle w:val="Hyperlink"/>
          </w:rPr>
          <w:t>https://www.esma.europa.eu/press-news/esma-news/esma-publishes-its-final-report-eu-carbon-market</w:t>
        </w:r>
      </w:hyperlink>
      <w:r>
        <w:t xml:space="preserve"> - Zugegriffen: 07.01.2024. </w:t>
      </w:r>
    </w:p>
  </w:footnote>
  <w:footnote w:id="1664">
    <w:p w14:paraId="4C2EB2BB" w14:textId="77777777" w:rsidR="00112190" w:rsidRPr="003242F6" w:rsidRDefault="00112190" w:rsidP="00112190">
      <w:pPr>
        <w:pStyle w:val="Funotentext"/>
      </w:pPr>
      <w:r>
        <w:rPr>
          <w:rStyle w:val="Funotenzeichen"/>
        </w:rPr>
        <w:footnoteRef/>
      </w:r>
      <w:r w:rsidRPr="003242F6">
        <w:t xml:space="preserve"> Perino et al. 2023: 138.</w:t>
      </w:r>
      <w:r>
        <w:t xml:space="preserve"> </w:t>
      </w:r>
      <w:r w:rsidRPr="00AC0CB0">
        <w:t>Siehe auch die Ariadne Analyse von Perino et al. (2021)</w:t>
      </w:r>
    </w:p>
  </w:footnote>
  <w:footnote w:id="1665">
    <w:p w14:paraId="368B9B4F" w14:textId="77777777" w:rsidR="00112190" w:rsidRPr="003B29A1" w:rsidRDefault="00112190" w:rsidP="00112190">
      <w:pPr>
        <w:pStyle w:val="Funotentext"/>
      </w:pPr>
      <w:r>
        <w:rPr>
          <w:rStyle w:val="Funotenzeichen"/>
        </w:rPr>
        <w:footnoteRef/>
      </w:r>
      <w:r w:rsidRPr="003B29A1">
        <w:t xml:space="preserve"> Siehe: </w:t>
      </w:r>
      <w:hyperlink r:id="rId1287" w:history="1">
        <w:r w:rsidRPr="003B29A1">
          <w:rPr>
            <w:rStyle w:val="Hyperlink"/>
          </w:rPr>
          <w:t>https://www.vci.de/langfassungen/langfassungen-pdf/220407-vci-bewertung-msr-revision-2.pdf</w:t>
        </w:r>
      </w:hyperlink>
      <w:r w:rsidRPr="003B29A1">
        <w:t xml:space="preserve"> </w:t>
      </w:r>
      <w:r>
        <w:t xml:space="preserve">- Zugegriffen: 07.01.2024. </w:t>
      </w:r>
    </w:p>
  </w:footnote>
  <w:footnote w:id="1666">
    <w:p w14:paraId="24D1E457" w14:textId="77777777" w:rsidR="00112190" w:rsidRDefault="00112190" w:rsidP="00112190">
      <w:pPr>
        <w:pStyle w:val="Funotentext"/>
      </w:pPr>
      <w:r>
        <w:rPr>
          <w:rStyle w:val="Funotenzeichen"/>
        </w:rPr>
        <w:footnoteRef/>
      </w:r>
      <w:r>
        <w:t xml:space="preserve"> Siehe: </w:t>
      </w:r>
      <w:hyperlink r:id="rId1288" w:history="1">
        <w:r w:rsidRPr="00DB1672">
          <w:rPr>
            <w:rStyle w:val="Hyperlink"/>
          </w:rPr>
          <w:t>https://www.dehst.de/DE/Strompreiskompensation/SPK_verstehen/spk-verstehen_node.html</w:t>
        </w:r>
      </w:hyperlink>
      <w:r>
        <w:t xml:space="preserve"> - Zugegriffen: 07.01.2024. </w:t>
      </w:r>
    </w:p>
  </w:footnote>
  <w:footnote w:id="1667">
    <w:p w14:paraId="2331B1C1" w14:textId="77777777" w:rsidR="00112190" w:rsidRDefault="00112190" w:rsidP="00112190">
      <w:pPr>
        <w:pStyle w:val="Funotentext"/>
      </w:pPr>
      <w:r>
        <w:rPr>
          <w:rStyle w:val="Funotenzeichen"/>
        </w:rPr>
        <w:footnoteRef/>
      </w:r>
      <w:r>
        <w:t xml:space="preserve"> Siehe den Bericht in: </w:t>
      </w:r>
      <w:hyperlink r:id="rId1289" w:history="1">
        <w:r w:rsidRPr="00DB1672">
          <w:rPr>
            <w:rStyle w:val="Hyperlink"/>
          </w:rPr>
          <w:t>https://op.europa.eu/en/publication-detail/-/publication/5fac10fc-353a-11ec-bd8e-01aa75ed71a1</w:t>
        </w:r>
      </w:hyperlink>
      <w:r>
        <w:t xml:space="preserve"> - Zugegriffen: 07.01.2024. </w:t>
      </w:r>
    </w:p>
  </w:footnote>
  <w:footnote w:id="1668">
    <w:p w14:paraId="447CEBEA" w14:textId="77777777" w:rsidR="00112190" w:rsidRDefault="00112190" w:rsidP="00112190">
      <w:pPr>
        <w:pStyle w:val="Funotentext"/>
      </w:pPr>
      <w:r>
        <w:rPr>
          <w:rStyle w:val="Funotenzeichen"/>
        </w:rPr>
        <w:footnoteRef/>
      </w:r>
      <w:r>
        <w:t xml:space="preserve"> Die Deutsche Oppenheim Family Office, die zur Deutschen Bank gehört, bietet Investitionen in die Zertifikate an. Siehe Philipp Krohn. Der CO2-Preis als Geldanlage. FAZ, 13.03.2024. In: </w:t>
      </w:r>
      <w:hyperlink r:id="rId1290" w:history="1">
        <w:r w:rsidRPr="001344B6">
          <w:rPr>
            <w:rStyle w:val="Hyperlink"/>
          </w:rPr>
          <w:t>https://www.faz.net/-gv6-bnqyy</w:t>
        </w:r>
      </w:hyperlink>
      <w:r>
        <w:t xml:space="preserve"> – Zugegriffen: 24.03.2024. </w:t>
      </w:r>
    </w:p>
  </w:footnote>
  <w:footnote w:id="1669">
    <w:p w14:paraId="07734FB2" w14:textId="77777777" w:rsidR="00112190" w:rsidRPr="003B29A1" w:rsidRDefault="00112190" w:rsidP="00112190">
      <w:pPr>
        <w:pStyle w:val="Funotentext"/>
      </w:pPr>
      <w:r>
        <w:rPr>
          <w:rStyle w:val="Funotenzeichen"/>
        </w:rPr>
        <w:footnoteRef/>
      </w:r>
      <w:r w:rsidRPr="003B29A1">
        <w:t xml:space="preserve"> Siehe</w:t>
      </w:r>
      <w:r>
        <w:t xml:space="preserve"> zu diesem gesamten Abschnitt</w:t>
      </w:r>
      <w:r w:rsidRPr="003B29A1">
        <w:t xml:space="preserve">: </w:t>
      </w:r>
      <w:hyperlink r:id="rId1291" w:history="1">
        <w:r w:rsidRPr="003B29A1">
          <w:rPr>
            <w:rStyle w:val="Hyperlink"/>
          </w:rPr>
          <w:t>https://www.vci.de/langfassungen/langfassungen-pdf/220407-vci-bewertung-msr-revision-2.pdf</w:t>
        </w:r>
      </w:hyperlink>
      <w:r w:rsidRPr="003B29A1">
        <w:t xml:space="preserve"> </w:t>
      </w:r>
      <w:r>
        <w:t xml:space="preserve">- Zugegriffen: 07.01.2024. </w:t>
      </w:r>
    </w:p>
  </w:footnote>
  <w:footnote w:id="1670">
    <w:p w14:paraId="6DC5116A" w14:textId="77777777" w:rsidR="00112190" w:rsidRPr="00394321" w:rsidRDefault="00112190" w:rsidP="00112190">
      <w:pPr>
        <w:pStyle w:val="Funotentext"/>
      </w:pPr>
      <w:r>
        <w:rPr>
          <w:rStyle w:val="Funotenzeichen"/>
        </w:rPr>
        <w:footnoteRef/>
      </w:r>
      <w:r w:rsidRPr="00394321">
        <w:t xml:space="preserve"> </w:t>
      </w:r>
      <w:r>
        <w:t xml:space="preserve">Sie zu diesem ganzen Abschnitt: </w:t>
      </w:r>
      <w:bookmarkStart w:id="87" w:name="_Hlk156842016"/>
      <w:r w:rsidRPr="00394321">
        <w:t xml:space="preserve">Ernst and Young, Peter Taubitz, Carsten </w:t>
      </w:r>
      <w:r>
        <w:t xml:space="preserve">Buhl, 4. April 2023. </w:t>
      </w:r>
      <w:r w:rsidRPr="00394321">
        <w:t>Wenn betroffene Unternehmen frühzeitig handeln, können sie trotz hohen CO₂-Preises ihre Wettbewerbsfähigkeit sicherstellen.</w:t>
      </w:r>
      <w:r>
        <w:t xml:space="preserve"> Siehe: </w:t>
      </w:r>
      <w:hyperlink r:id="rId1292" w:history="1">
        <w:r w:rsidRPr="00DB1672">
          <w:rPr>
            <w:rStyle w:val="Hyperlink"/>
          </w:rPr>
          <w:t>https://www.ey.com/de_de/decarbonization/eu-ets-wie-stark-steigen-die-co-preise-bis-2030</w:t>
        </w:r>
      </w:hyperlink>
      <w:r>
        <w:t xml:space="preserve"> - Zugegriffen: 07.01.2024. </w:t>
      </w:r>
      <w:bookmarkEnd w:id="87"/>
    </w:p>
  </w:footnote>
  <w:footnote w:id="1671">
    <w:p w14:paraId="65C6C2D4" w14:textId="77777777" w:rsidR="00B949FF" w:rsidRPr="000842C6" w:rsidRDefault="00B949FF" w:rsidP="00B949FF">
      <w:pPr>
        <w:pStyle w:val="Funotentext"/>
      </w:pPr>
      <w:r>
        <w:rPr>
          <w:rStyle w:val="Funotenzeichen"/>
        </w:rPr>
        <w:footnoteRef/>
      </w:r>
      <w:r w:rsidRPr="000842C6">
        <w:t xml:space="preserve"> </w:t>
      </w:r>
      <w:r>
        <w:t xml:space="preserve">S. 7, Effort Sharing Briefing für das Parlament: </w:t>
      </w:r>
      <w:r w:rsidRPr="000842C6">
        <w:t xml:space="preserve"> </w:t>
      </w:r>
      <w:hyperlink r:id="rId1293" w:history="1">
        <w:r w:rsidRPr="005735F8">
          <w:rPr>
            <w:rStyle w:val="Hyperlink"/>
          </w:rPr>
          <w:t>https://www.europarl.europa.eu/RegData/etudes/BRIE/2021/698812/EPRS_BRI(2021)698812_EN.pdf</w:t>
        </w:r>
      </w:hyperlink>
      <w:r>
        <w:t xml:space="preserve"> – Zugegriffen: 30.12.2023. </w:t>
      </w:r>
    </w:p>
  </w:footnote>
  <w:footnote w:id="1672">
    <w:p w14:paraId="183AA4BB" w14:textId="77777777" w:rsidR="00112190" w:rsidRDefault="00112190" w:rsidP="00112190">
      <w:pPr>
        <w:pStyle w:val="Funotentext"/>
      </w:pPr>
      <w:r>
        <w:rPr>
          <w:rStyle w:val="Funotenzeichen"/>
        </w:rPr>
        <w:footnoteRef/>
      </w:r>
      <w:r>
        <w:t xml:space="preserve"> Siehe: </w:t>
      </w:r>
      <w:proofErr w:type="spellStart"/>
      <w:r>
        <w:t>DEHSt</w:t>
      </w:r>
      <w:proofErr w:type="spellEnd"/>
      <w:r>
        <w:t xml:space="preserve"> Sanktionierung: </w:t>
      </w:r>
      <w:hyperlink r:id="rId1294" w:history="1">
        <w:r w:rsidRPr="001602B8">
          <w:rPr>
            <w:rStyle w:val="Hyperlink"/>
          </w:rPr>
          <w:t>https://www.dehst.de/DE/Europaeischer-Emissionshandel/Sanktionierung/sanktionierung_node.html</w:t>
        </w:r>
      </w:hyperlink>
      <w:r>
        <w:t xml:space="preserve"> - Zugegriffen: 07.04.2024. </w:t>
      </w:r>
    </w:p>
  </w:footnote>
  <w:footnote w:id="1673">
    <w:p w14:paraId="1CCE6683" w14:textId="77777777" w:rsidR="00112190" w:rsidRDefault="00112190" w:rsidP="00112190">
      <w:pPr>
        <w:pStyle w:val="Funotentext"/>
      </w:pPr>
      <w:r>
        <w:rPr>
          <w:rStyle w:val="Funotenzeichen"/>
        </w:rPr>
        <w:footnoteRef/>
      </w:r>
      <w:r>
        <w:t xml:space="preserve"> Siehe: </w:t>
      </w:r>
      <w:proofErr w:type="spellStart"/>
      <w:r>
        <w:t>DEHSt</w:t>
      </w:r>
      <w:proofErr w:type="spellEnd"/>
      <w:r>
        <w:t xml:space="preserve"> Sanktionierung: </w:t>
      </w:r>
      <w:hyperlink r:id="rId1295" w:history="1">
        <w:r w:rsidRPr="001602B8">
          <w:rPr>
            <w:rStyle w:val="Hyperlink"/>
          </w:rPr>
          <w:t>https://www.dehst.de/DE/Europaeischer-Emissionshandel/Sanktionierung/sanktionierung_node.html</w:t>
        </w:r>
      </w:hyperlink>
      <w:r>
        <w:t xml:space="preserve"> - Zugegriffen: 07.04.2024. </w:t>
      </w:r>
    </w:p>
  </w:footnote>
  <w:footnote w:id="1674">
    <w:p w14:paraId="1D16BA95" w14:textId="77777777" w:rsidR="00112190" w:rsidRDefault="00112190" w:rsidP="00112190">
      <w:pPr>
        <w:pStyle w:val="Funotentext"/>
      </w:pPr>
      <w:r>
        <w:rPr>
          <w:rStyle w:val="Funotenzeichen"/>
        </w:rPr>
        <w:footnoteRef/>
      </w:r>
      <w:r w:rsidRPr="00BE27F7">
        <w:t xml:space="preserve"> </w:t>
      </w:r>
      <w:proofErr w:type="spellStart"/>
      <w:r w:rsidRPr="00BE27F7">
        <w:t>Kafsack</w:t>
      </w:r>
      <w:proofErr w:type="spellEnd"/>
      <w:r w:rsidRPr="00BE27F7">
        <w:t xml:space="preserve">, Hendrik. </w:t>
      </w:r>
      <w:r>
        <w:t xml:space="preserve">Der deutsche Kohleausstieg verpufft. FAZ, 20.10.2023. </w:t>
      </w:r>
    </w:p>
  </w:footnote>
  <w:footnote w:id="1675">
    <w:p w14:paraId="3EF44116" w14:textId="3787E324" w:rsidR="0036667E" w:rsidRDefault="0036667E">
      <w:pPr>
        <w:pStyle w:val="Funotentext"/>
      </w:pPr>
      <w:r>
        <w:rPr>
          <w:rStyle w:val="Funotenzeichen"/>
        </w:rPr>
        <w:footnoteRef/>
      </w:r>
      <w:r>
        <w:t xml:space="preserve"> Siehe: </w:t>
      </w:r>
      <w:hyperlink r:id="rId1296" w:history="1">
        <w:r w:rsidRPr="00530B5C">
          <w:rPr>
            <w:rStyle w:val="Hyperlink"/>
          </w:rPr>
          <w:t>https://www.n-tv.de/ticker/Bundesregierung-beantragt-Loeschung-von-Emissionszertifikaten-nach-Kohleausstieg-article25674863.html</w:t>
        </w:r>
      </w:hyperlink>
      <w:r>
        <w:t xml:space="preserve"> - Zugegriffen: 07.06.2025. </w:t>
      </w:r>
    </w:p>
  </w:footnote>
  <w:footnote w:id="1676">
    <w:p w14:paraId="62FD519F" w14:textId="52806BF2" w:rsidR="00CB0E93" w:rsidRDefault="00CB0E93">
      <w:pPr>
        <w:pStyle w:val="Funotentext"/>
      </w:pPr>
      <w:r>
        <w:rPr>
          <w:rStyle w:val="Funotenzeichen"/>
        </w:rPr>
        <w:footnoteRef/>
      </w:r>
      <w:r>
        <w:t xml:space="preserve"> So die Argumentation hier: </w:t>
      </w:r>
      <w:hyperlink r:id="rId1297" w:history="1">
        <w:r w:rsidRPr="00530B5C">
          <w:rPr>
            <w:rStyle w:val="Hyperlink"/>
          </w:rPr>
          <w:t>https://www.landtag.nrw.de/portal/WWW/dokumentenarchiv/Dokument/MMD18-9763.pdf</w:t>
        </w:r>
      </w:hyperlink>
      <w:r>
        <w:t xml:space="preserve"> - Zugegriffen: 07.06.2025. </w:t>
      </w:r>
    </w:p>
  </w:footnote>
  <w:footnote w:id="1677">
    <w:p w14:paraId="0C00950A" w14:textId="77777777" w:rsidR="00112190" w:rsidRDefault="00112190" w:rsidP="00112190">
      <w:pPr>
        <w:pStyle w:val="Funotentext"/>
      </w:pPr>
      <w:r>
        <w:rPr>
          <w:rStyle w:val="Funotenzeichen"/>
        </w:rPr>
        <w:footnoteRef/>
      </w:r>
      <w:r>
        <w:t xml:space="preserve"> Siehe: </w:t>
      </w:r>
      <w:hyperlink r:id="rId1298" w:history="1">
        <w:r w:rsidRPr="00335629">
          <w:rPr>
            <w:rStyle w:val="Hyperlink"/>
          </w:rPr>
          <w:t>https://de.wikipedia.org/wiki/Kyoto-Protokoll</w:t>
        </w:r>
      </w:hyperlink>
      <w:r>
        <w:t xml:space="preserve"> - Zugegriffen: 01.11.2023.  </w:t>
      </w:r>
    </w:p>
  </w:footnote>
  <w:footnote w:id="1678">
    <w:p w14:paraId="0D6248DF" w14:textId="77777777" w:rsidR="00112190" w:rsidRDefault="00112190" w:rsidP="00112190">
      <w:pPr>
        <w:pStyle w:val="Funotentext"/>
      </w:pPr>
      <w:r>
        <w:rPr>
          <w:rStyle w:val="Funotenzeichen"/>
        </w:rPr>
        <w:footnoteRef/>
      </w:r>
      <w:r>
        <w:t xml:space="preserve"> </w:t>
      </w:r>
      <w:r w:rsidRPr="00C25F9F">
        <w:t>BMWK. Die Energie der Zukunft, 8. Monitoring Bereich zur Energiewende, Berichtsjahre 2018 und 2019, Stand 2021: 3</w:t>
      </w:r>
      <w:r>
        <w:t>9</w:t>
      </w:r>
      <w:r w:rsidRPr="00C25F9F">
        <w:t>.</w:t>
      </w:r>
    </w:p>
  </w:footnote>
  <w:footnote w:id="1679">
    <w:p w14:paraId="0E925B3F" w14:textId="77777777" w:rsidR="00112190" w:rsidRDefault="00112190" w:rsidP="00112190">
      <w:pPr>
        <w:pStyle w:val="Funotentext"/>
      </w:pPr>
      <w:r>
        <w:rPr>
          <w:rStyle w:val="Funotenzeichen"/>
        </w:rPr>
        <w:footnoteRef/>
      </w:r>
      <w:r>
        <w:t xml:space="preserve"> Webseite Kommission Fit </w:t>
      </w:r>
      <w:proofErr w:type="spellStart"/>
      <w:r>
        <w:t>for</w:t>
      </w:r>
      <w:proofErr w:type="spellEnd"/>
      <w:r>
        <w:t xml:space="preserve"> 55: </w:t>
      </w:r>
      <w:hyperlink r:id="rId1299" w:history="1">
        <w:r w:rsidRPr="00335629">
          <w:rPr>
            <w:rStyle w:val="Hyperlink"/>
          </w:rPr>
          <w:t>https://commission.europa.eu/strategy-and-policy/priorities-2019-2024/european-green-deal/delivering-european-green-deal/fit-55-delivering-proposals_en</w:t>
        </w:r>
      </w:hyperlink>
      <w:r>
        <w:t xml:space="preserve"> - Zugegriffen: 01.10.2023. </w:t>
      </w:r>
    </w:p>
  </w:footnote>
  <w:footnote w:id="1680">
    <w:p w14:paraId="1FC33743" w14:textId="77777777" w:rsidR="00112190" w:rsidRPr="003D1B8B" w:rsidRDefault="00112190" w:rsidP="00112190">
      <w:pPr>
        <w:pStyle w:val="Funotentext"/>
      </w:pPr>
      <w:r>
        <w:rPr>
          <w:rStyle w:val="Funotenzeichen"/>
        </w:rPr>
        <w:footnoteRef/>
      </w:r>
      <w:r w:rsidRPr="003D1B8B">
        <w:t xml:space="preserve"> Webseite Parlament Fit </w:t>
      </w:r>
      <w:proofErr w:type="spellStart"/>
      <w:r w:rsidRPr="003D1B8B">
        <w:t>for</w:t>
      </w:r>
      <w:proofErr w:type="spellEnd"/>
      <w:r w:rsidRPr="003D1B8B">
        <w:t xml:space="preserve"> </w:t>
      </w:r>
      <w:r>
        <w:t xml:space="preserve">55: </w:t>
      </w:r>
      <w:hyperlink r:id="rId1300" w:history="1">
        <w:r w:rsidRPr="00335629">
          <w:rPr>
            <w:rStyle w:val="Hyperlink"/>
          </w:rPr>
          <w:t>https://www.consilium.europa.eu/en/policies/green-deal/fit-for-55-the-eu-plan-for-a-green-transition/</w:t>
        </w:r>
      </w:hyperlink>
      <w:r>
        <w:t xml:space="preserve"> - Zugegriffen: 01.11.2023. </w:t>
      </w:r>
    </w:p>
  </w:footnote>
  <w:footnote w:id="1681">
    <w:p w14:paraId="1F2BC1BC" w14:textId="77777777" w:rsidR="00112190" w:rsidRDefault="00112190" w:rsidP="00112190">
      <w:pPr>
        <w:pStyle w:val="Funotentext"/>
      </w:pPr>
      <w:r>
        <w:rPr>
          <w:rStyle w:val="Funotenzeichen"/>
        </w:rPr>
        <w:footnoteRef/>
      </w:r>
      <w:r>
        <w:t xml:space="preserve"> Siehe: </w:t>
      </w:r>
      <w:hyperlink r:id="rId1301" w:history="1">
        <w:r w:rsidRPr="00E92795">
          <w:rPr>
            <w:rStyle w:val="Hyperlink"/>
          </w:rPr>
          <w:t>https://commission.europa.eu/strategy-and-policy/priorities-2019-2024/european-green-deal/delivering-european-green-deal_en</w:t>
        </w:r>
      </w:hyperlink>
      <w:r>
        <w:t xml:space="preserve"> - Zugegriffen: 22.12.2023. </w:t>
      </w:r>
    </w:p>
  </w:footnote>
  <w:footnote w:id="1682">
    <w:p w14:paraId="6CB40C35" w14:textId="77777777" w:rsidR="00112190" w:rsidRPr="003A751C" w:rsidRDefault="00112190" w:rsidP="00112190">
      <w:pPr>
        <w:pStyle w:val="Funotentext"/>
      </w:pPr>
      <w:r>
        <w:rPr>
          <w:rStyle w:val="Funotenzeichen"/>
        </w:rPr>
        <w:footnoteRef/>
      </w:r>
      <w:r w:rsidRPr="003A751C">
        <w:t xml:space="preserve"> Siehe Wikipedia: </w:t>
      </w:r>
      <w:hyperlink r:id="rId1302" w:history="1">
        <w:r w:rsidRPr="003A751C">
          <w:rPr>
            <w:rStyle w:val="Hyperlink"/>
          </w:rPr>
          <w:t>https://de.wikipedia.org/wiki/Richtlinie_2003/96/EG_(Energiesteuerrichtlinie)</w:t>
        </w:r>
      </w:hyperlink>
      <w:r w:rsidRPr="003A751C">
        <w:t xml:space="preserve"> </w:t>
      </w:r>
      <w:r>
        <w:t>–</w:t>
      </w:r>
      <w:r w:rsidRPr="003A751C">
        <w:t xml:space="preserve"> Zu</w:t>
      </w:r>
      <w:r>
        <w:t xml:space="preserve">gegriffen: 24.03.2024. Siehe die Energiesteuerrichtlinie 2003 hier: </w:t>
      </w:r>
      <w:hyperlink r:id="rId1303" w:history="1">
        <w:r w:rsidRPr="001344B6">
          <w:rPr>
            <w:rStyle w:val="Hyperlink"/>
          </w:rPr>
          <w:t>https://eur-lex.europa.eu/LexUriServ/LexUriServ.do?uri=OJ:L:2003:283:0051:0070:DE:PDF</w:t>
        </w:r>
      </w:hyperlink>
      <w:r>
        <w:t xml:space="preserve"> – Zugegriffen: 24.03.2024.</w:t>
      </w:r>
    </w:p>
  </w:footnote>
  <w:footnote w:id="1683">
    <w:p w14:paraId="52452EF6" w14:textId="77777777" w:rsidR="00112190" w:rsidRDefault="00112190" w:rsidP="00112190">
      <w:pPr>
        <w:pStyle w:val="Funotentext"/>
      </w:pPr>
      <w:r>
        <w:rPr>
          <w:rStyle w:val="Funotenzeichen"/>
        </w:rPr>
        <w:footnoteRef/>
      </w:r>
      <w:r w:rsidRPr="003A751C">
        <w:t xml:space="preserve"> Sean Goulding Carroll. </w:t>
      </w:r>
      <w:r>
        <w:t xml:space="preserve">EU-Mindeststeuern auf Energie: Keine Einigung in Sicht. 9. November 2023. In: </w:t>
      </w:r>
      <w:hyperlink r:id="rId1304" w:history="1">
        <w:r w:rsidRPr="001344B6">
          <w:rPr>
            <w:rStyle w:val="Hyperlink"/>
          </w:rPr>
          <w:t>https://www.euractiv.de/section/verkehr/news/eu-mindeststeuern-auf-energie-keine-einigung-in-sicht/</w:t>
        </w:r>
      </w:hyperlink>
      <w:r>
        <w:t xml:space="preserve"> - Zugegriffen: 24.03.2024. </w:t>
      </w:r>
    </w:p>
  </w:footnote>
  <w:footnote w:id="1684">
    <w:p w14:paraId="776D3930" w14:textId="2CF9142F" w:rsidR="00B949FF" w:rsidRDefault="00B949FF">
      <w:pPr>
        <w:pStyle w:val="Funotentext"/>
      </w:pPr>
      <w:r>
        <w:rPr>
          <w:rStyle w:val="Funotenzeichen"/>
        </w:rPr>
        <w:footnoteRef/>
      </w:r>
      <w:r>
        <w:t xml:space="preserve"> Siehe: </w:t>
      </w:r>
      <w:hyperlink r:id="rId1305" w:history="1">
        <w:r w:rsidRPr="007C682A">
          <w:rPr>
            <w:rStyle w:val="Hyperlink"/>
          </w:rPr>
          <w:t>https://transport.ec.europa.eu/transport-themes/clean-transport/alternative-fuels-sustainable-mobility-europe/alternative-fuels-infrastructure_en</w:t>
        </w:r>
      </w:hyperlink>
      <w:r>
        <w:t xml:space="preserve"> - Zugegriffen: 15.05.2025. </w:t>
      </w:r>
    </w:p>
  </w:footnote>
  <w:footnote w:id="1685">
    <w:p w14:paraId="4EF1EDBC" w14:textId="77777777" w:rsidR="00A97CAF" w:rsidRPr="004C3843" w:rsidRDefault="00A97CAF" w:rsidP="00A97CAF">
      <w:pPr>
        <w:pStyle w:val="Funotentext"/>
      </w:pPr>
      <w:r>
        <w:rPr>
          <w:rStyle w:val="Funotenzeichen"/>
        </w:rPr>
        <w:footnoteRef/>
      </w:r>
      <w:r w:rsidRPr="009B2ACD">
        <w:t xml:space="preserve"> </w:t>
      </w:r>
      <w:proofErr w:type="spellStart"/>
      <w:r w:rsidRPr="009B2ACD">
        <w:t>Kafsack</w:t>
      </w:r>
      <w:proofErr w:type="spellEnd"/>
      <w:r w:rsidRPr="009B2ACD">
        <w:t xml:space="preserve">, Hendrik. </w:t>
      </w:r>
      <w:r w:rsidRPr="004C3843">
        <w:t>Strikte CO2-Grenzwerte für L</w:t>
      </w:r>
      <w:r>
        <w:t xml:space="preserve">astwagen und Busse beschlossen, FAZ, 17.10.2023. </w:t>
      </w:r>
    </w:p>
  </w:footnote>
  <w:footnote w:id="1686">
    <w:p w14:paraId="323A158C" w14:textId="77777777" w:rsidR="00A97CAF" w:rsidRDefault="00A97CAF" w:rsidP="00A97CAF">
      <w:pPr>
        <w:pStyle w:val="Funotentext"/>
      </w:pPr>
      <w:r>
        <w:rPr>
          <w:rStyle w:val="Funotenzeichen"/>
        </w:rPr>
        <w:footnoteRef/>
      </w:r>
      <w:r>
        <w:t xml:space="preserve"> Siehe: </w:t>
      </w:r>
      <w:hyperlink r:id="rId1306" w:history="1">
        <w:r w:rsidRPr="00E503C7">
          <w:rPr>
            <w:rStyle w:val="Hyperlink"/>
          </w:rPr>
          <w:t>https://www.consilium.europa.eu/en/press/press-releases/2023/03/28/fit-for-55-council-adopts-regulation-on-co2-emissions-for-new-cars-and-vans/</w:t>
        </w:r>
      </w:hyperlink>
      <w:r>
        <w:t xml:space="preserve"> - Zugegriffen: 02.12.2023. </w:t>
      </w:r>
    </w:p>
  </w:footnote>
  <w:footnote w:id="1687">
    <w:p w14:paraId="795963F0" w14:textId="77777777" w:rsidR="00A97CAF" w:rsidRDefault="00A97CAF" w:rsidP="00A97CAF">
      <w:pPr>
        <w:pStyle w:val="Funotentext"/>
      </w:pPr>
      <w:r>
        <w:rPr>
          <w:rStyle w:val="Funotenzeichen"/>
        </w:rPr>
        <w:footnoteRef/>
      </w:r>
      <w:r>
        <w:t xml:space="preserve"> So zumindest die Pressemitteilung zur Euro 7 Norm, siehe</w:t>
      </w:r>
      <w:r w:rsidRPr="00D07AFE">
        <w:t xml:space="preserve"> </w:t>
      </w:r>
      <w:hyperlink r:id="rId1307" w:history="1">
        <w:r w:rsidRPr="00372C9A">
          <w:rPr>
            <w:rStyle w:val="Hyperlink"/>
          </w:rPr>
          <w:t>https://ec.europa.eu/commission/presscorner/detail/en/ip_22_6495</w:t>
        </w:r>
      </w:hyperlink>
      <w:r>
        <w:t xml:space="preserve"> - Zugegriffen: 27.12.2023. </w:t>
      </w:r>
    </w:p>
  </w:footnote>
  <w:footnote w:id="1688">
    <w:p w14:paraId="432767D0" w14:textId="77777777" w:rsidR="00112190" w:rsidRPr="0050271A" w:rsidRDefault="00112190" w:rsidP="00112190">
      <w:pPr>
        <w:pStyle w:val="Funotentext"/>
      </w:pPr>
      <w:r>
        <w:rPr>
          <w:rStyle w:val="Funotenzeichen"/>
        </w:rPr>
        <w:footnoteRef/>
      </w:r>
      <w:r w:rsidRPr="0050271A">
        <w:t xml:space="preserve"> Si</w:t>
      </w:r>
      <w:r>
        <w:t xml:space="preserve">ehe: </w:t>
      </w:r>
      <w:hyperlink r:id="rId1308" w:history="1">
        <w:r w:rsidRPr="005832D0">
          <w:rPr>
            <w:rStyle w:val="Hyperlink"/>
          </w:rPr>
          <w:t>https://www.consilium.europa.eu/en/policies/green-deal/fit-for-55-the-eu-plan-for-a-green-transition/</w:t>
        </w:r>
      </w:hyperlink>
      <w:r>
        <w:t xml:space="preserve"> - Zugegriffen: 07.01.2024. </w:t>
      </w:r>
    </w:p>
  </w:footnote>
  <w:footnote w:id="1689">
    <w:p w14:paraId="59C6653C" w14:textId="77777777" w:rsidR="00112190" w:rsidRDefault="00112190" w:rsidP="00112190">
      <w:pPr>
        <w:pStyle w:val="Funotentext"/>
      </w:pPr>
      <w:r>
        <w:rPr>
          <w:rStyle w:val="Funotenzeichen"/>
        </w:rPr>
        <w:footnoteRef/>
      </w:r>
      <w:r>
        <w:t xml:space="preserve"> Siehe: </w:t>
      </w:r>
      <w:hyperlink r:id="rId1309" w:history="1">
        <w:r w:rsidRPr="00356F51">
          <w:rPr>
            <w:rStyle w:val="Hyperlink"/>
          </w:rPr>
          <w:t>https://eur-lex.europa.eu/legal-content/DE/TXT/?uri=uriserv%3AOJ.L_.2023.130.01.0052.01.DEU&amp;toc=OJ%3AL%3A2023%3A130%3ATOC</w:t>
        </w:r>
      </w:hyperlink>
      <w:r>
        <w:t xml:space="preserve"> – Zugegriffen: 19.01.2024. </w:t>
      </w:r>
    </w:p>
  </w:footnote>
  <w:footnote w:id="1690">
    <w:p w14:paraId="2B26A45C" w14:textId="77777777" w:rsidR="00112190" w:rsidRDefault="00112190" w:rsidP="00112190">
      <w:pPr>
        <w:pStyle w:val="Funotentext"/>
      </w:pPr>
      <w:r>
        <w:rPr>
          <w:rStyle w:val="Funotenzeichen"/>
        </w:rPr>
        <w:footnoteRef/>
      </w:r>
      <w:r>
        <w:t xml:space="preserve"> </w:t>
      </w:r>
      <w:r w:rsidRPr="00EF5200">
        <w:rPr>
          <w:u w:val="single"/>
        </w:rPr>
        <w:t>CBAM konsolidierte Fassung</w:t>
      </w:r>
      <w:r>
        <w:t xml:space="preserve">, Verordnung (EU) 2023/956, 10. Mai 2023, siehe: </w:t>
      </w:r>
      <w:hyperlink r:id="rId1310" w:history="1">
        <w:r w:rsidRPr="00356F51">
          <w:rPr>
            <w:rStyle w:val="Hyperlink"/>
          </w:rPr>
          <w:t>https://eur-lex.europa.eu/legal-content/DE/TXT/PDF/?uri=CELEX:02023R0956-20230516</w:t>
        </w:r>
      </w:hyperlink>
      <w:r>
        <w:t xml:space="preserve"> – Zugegriffen: 19.01.2024. </w:t>
      </w:r>
    </w:p>
  </w:footnote>
  <w:footnote w:id="1691">
    <w:p w14:paraId="047C370A" w14:textId="77777777" w:rsidR="00112190" w:rsidRPr="0050271A" w:rsidRDefault="00112190" w:rsidP="00112190">
      <w:pPr>
        <w:pStyle w:val="Funotentext"/>
      </w:pPr>
      <w:r>
        <w:rPr>
          <w:rStyle w:val="Funotenzeichen"/>
        </w:rPr>
        <w:footnoteRef/>
      </w:r>
      <w:r w:rsidRPr="0050271A">
        <w:t xml:space="preserve"> </w:t>
      </w:r>
      <w:bookmarkStart w:id="89" w:name="_Hlk155996355"/>
      <w:proofErr w:type="gramStart"/>
      <w:r>
        <w:t>CBAM Seite</w:t>
      </w:r>
      <w:proofErr w:type="gramEnd"/>
      <w:r>
        <w:t xml:space="preserve">: </w:t>
      </w:r>
      <w:hyperlink r:id="rId1311" w:history="1">
        <w:r w:rsidRPr="005832D0">
          <w:rPr>
            <w:rStyle w:val="Hyperlink"/>
          </w:rPr>
          <w:t>https://taxation-customs.ec.europa.eu/carbon-border-adjustment-mechanism_en</w:t>
        </w:r>
      </w:hyperlink>
      <w:r>
        <w:t xml:space="preserve"> - Zugegriffen: 07.01.2024. </w:t>
      </w:r>
      <w:bookmarkEnd w:id="89"/>
    </w:p>
  </w:footnote>
  <w:footnote w:id="1692">
    <w:p w14:paraId="2C583767" w14:textId="77777777" w:rsidR="00112190" w:rsidRDefault="00112190" w:rsidP="00112190">
      <w:pPr>
        <w:pStyle w:val="Funotentext"/>
      </w:pPr>
      <w:r>
        <w:rPr>
          <w:rStyle w:val="Funotenzeichen"/>
        </w:rPr>
        <w:footnoteRef/>
      </w:r>
      <w:r w:rsidRPr="00172B29">
        <w:rPr>
          <w:lang w:val="en-GB"/>
        </w:rPr>
        <w:t xml:space="preserve"> </w:t>
      </w:r>
      <w:r>
        <w:rPr>
          <w:lang w:val="en-GB"/>
        </w:rPr>
        <w:t xml:space="preserve">S. 20, </w:t>
      </w:r>
      <w:r w:rsidRPr="00FA5344">
        <w:rPr>
          <w:u w:val="single"/>
          <w:lang w:val="en-GB"/>
        </w:rPr>
        <w:t>Guidance Document on CBAM Implementation for Installation Operators outside the EU</w:t>
      </w:r>
      <w:r w:rsidRPr="00172B29">
        <w:rPr>
          <w:lang w:val="en-GB"/>
        </w:rPr>
        <w:t xml:space="preserve">, 08. </w:t>
      </w:r>
      <w:r w:rsidRPr="00172B29">
        <w:t>Dezember 2023, siehe</w:t>
      </w:r>
      <w:hyperlink r:id="rId1312" w:history="1">
        <w:r w:rsidRPr="00172B29">
          <w:rPr>
            <w:rStyle w:val="Hyperlink"/>
          </w:rPr>
          <w:t>: https://taxation-customs.ec.europa.eu/system/files/2023-12/Guidance%20document%20on%20CBAM%20implementation%20for%20installation%20operators%20outside%20the%20EU.pdf</w:t>
        </w:r>
      </w:hyperlink>
      <w:r w:rsidRPr="00172B29">
        <w:t xml:space="preserve"> – Zugegriffen: 23.01.2024.</w:t>
      </w:r>
    </w:p>
  </w:footnote>
  <w:footnote w:id="1693">
    <w:p w14:paraId="4F5229CF" w14:textId="77777777" w:rsidR="00112190" w:rsidRDefault="00112190" w:rsidP="00112190">
      <w:pPr>
        <w:pStyle w:val="Funotentext"/>
      </w:pPr>
      <w:r>
        <w:rPr>
          <w:rStyle w:val="Funotenzeichen"/>
        </w:rPr>
        <w:footnoteRef/>
      </w:r>
      <w:r>
        <w:t xml:space="preserve"> Präambel, Erwägungsgründe 31-40, siehe:</w:t>
      </w:r>
      <w:r w:rsidRPr="002C4D63">
        <w:t xml:space="preserve"> </w:t>
      </w:r>
      <w:proofErr w:type="gramStart"/>
      <w:r w:rsidRPr="002C4D63">
        <w:t>CBAM Verordnung</w:t>
      </w:r>
      <w:proofErr w:type="gramEnd"/>
      <w:r w:rsidRPr="002C4D63">
        <w:t xml:space="preserve"> (EU) 2023/956, 10. Mai 2023, Originalversion: </w:t>
      </w:r>
      <w:hyperlink r:id="rId1313" w:history="1">
        <w:r w:rsidRPr="002C4D63">
          <w:rPr>
            <w:rStyle w:val="Hyperlink"/>
          </w:rPr>
          <w:t>https://eur-lex.europa.eu/legal-content/DE/TXT/?uri=uriserv:OJ.L_.2023.130.01.0052.01.DEU</w:t>
        </w:r>
      </w:hyperlink>
      <w:r w:rsidRPr="002C4D63">
        <w:t xml:space="preserve"> – Zugegriffen: 24.03.</w:t>
      </w:r>
      <w:r>
        <w:t>2024</w:t>
      </w:r>
      <w:r w:rsidRPr="002C4D63">
        <w:t xml:space="preserve">. </w:t>
      </w:r>
      <w:r>
        <w:t>Zitat: „(32) Bei Anwendung des ersten Kriteriums würden sich die folgenden Industriesektoren nach kumulierten Emissionen auflisten lassen: Eisen und Stahl, Raffinerien, Zement, Aluminium, organische Grundchemikalien, Wasserstoff und Düngemittel. (33) Aufgrund ihrer besonderen Merkmale sollten jedoch bestimmte in dem Delegierten Beschluss (EU) 2019/708 aufgelistete Sektoren zum jetzigen Zeitpunkt nicht Gegenstand der vorliegenden Verordnung sein. (34) Insbesondere sollten organische chemische Erzeugnisse nicht unter die vorliegende Verordnung fallen, da es aufgrund technischer Einschränkungen zum Zeitpunkt der Annahme der vorliegenden Verordnung nicht möglich ist, die mit diesen eingeführten Waren verbundenen grauen Emissionen klar festzulegen. Der für diese Waren nach dem EU-EHS anwendbare Richtwert ist ein Parameter, der keine eindeutige Zuordnung der grauen Emissionen, die mit einzelnen eingeführten Waren verbunden sind, ermöglicht. Für eine genauere Zuordnung zu organischen chemischen Erzeugnissen werden mehr Daten und Analysen benötigt. (35) Ähnliche technische Einschränkungen bestehen auch bei Raffinerieerzeugnissen; auch hier ist eine eindeutige Zuordnung von Treibhausgasemissionen zu den einzelnen gewonnenen Erzeugnissen nicht möglich. Gleichzeitig sind die betreffenden Richtwerte im EU-EHS nicht direkt auf spezifische Erzeugnisse wie Benzin, Diesel oder Kerosin bezogen, sondern auf die gesamte Raffinerieproduktion. (36) Aluminiumerzeugnisse sollten im CBAM erfasst werden, da hier ein hohes Risiko der Verlagerung von CO2-Emissionen besteht. Darüber hinaus stehen Aluminiumerzeugnisse in manchen industriellen Anwendungen wegen ihrer sehr ähnlichen Merkmale in direkter Konkurrenz zu Stahlerzeugnissen. (37) Zum Zeitpunkt der Annahme der vorliegenden Verordnung waren die Einfuhren von Wasserstoff in die Union relativ gering. Es wird jedoch davon ausgegangen, dass sich diese Situation in den kommenden Jahren erheblich ändern wird, da mit dem Paket „Fit für 55“ der Union die Nutzung von erneuerbarem Wasserstoff gefördert wird. Was die Dekarbonisierung der Industrie insgesamt betrifft, so wird die Nachfrage nach erneuerbarem Wasserstoff zunehmen und folglich zu nicht integrierten Herstellungsverfahren bei nachgelagerten Erzeugnissen führen, bei denen Wasserstoff ein Vorläufer ist. Die Aufnahme von Wasserstoff in den Anwendungsbereich des CBAM ist das geeignete Mittel, um die Dekarbonisierung von Wasserstoff weiter zu fördern. (38) Entsprechend sollten bestimmte Erzeugnisse trotz der geringen Menge an verbundenen grauen Emissionen, die während ihres Herstellungsverfahrens entstehen, in den Anwendungsbereich des CBAM fallen, da es im Ausschlussfall wahrscheinlicher wäre, dass versucht wird, die Einbeziehung von Stahlerzeugnissen in das System zu umgehen, indem das Handelsgefüge in Richtung nachgelagerter Erzeugnisse verschoben wird. (39) Andererseits sollte die vorliegende Verordnung zunächst nicht für bestimmte Waren gelten, deren Herstellung keine bedeutenden Emissionen erzeugt, wie beispielsweise Eisenschrott, einige Ferrolegierungen und bestimmte Düngemittel. (40) Die Einfuhr von Strom sollte unter die vorliegende Verordnung fallen, da dieser Sektor für 30 Prozent der gesamten Treibhausgasemissionen in der Union verantwortlich ist. Die angehobenen Klimaziele der Union würden die Differenz bei den CO2-Kosten zwischen der Stromerzeugung in der Union und in Drittländern noch vergrößern. Diese Differenz sowie die Fortschritte bei der Vernetzung des Stromnetzes der Union mit dem der Nachbarländer würde das Risiko der Verlagerung von CO2-Emissionen durch wachsende Einfuhren von Strom, von denen ein wesentlicher Teil in Kohlekraftwerken erzeugt wird, noch erhöhen.“</w:t>
      </w:r>
    </w:p>
  </w:footnote>
  <w:footnote w:id="1694">
    <w:p w14:paraId="4B6EE09D" w14:textId="2CD4D8CC" w:rsidR="00DB1CC5" w:rsidRDefault="00DB1CC5">
      <w:pPr>
        <w:pStyle w:val="Funotentext"/>
      </w:pPr>
      <w:r>
        <w:rPr>
          <w:rStyle w:val="Funotenzeichen"/>
        </w:rPr>
        <w:footnoteRef/>
      </w:r>
      <w:r>
        <w:t xml:space="preserve"> EU-Kommission will die Stahlindustrie abschotten. FAZ, 20.03.2025. </w:t>
      </w:r>
    </w:p>
  </w:footnote>
  <w:footnote w:id="1695">
    <w:p w14:paraId="5F229B91" w14:textId="1EC5CE16" w:rsidR="00DB1CC5" w:rsidRDefault="00DB1CC5">
      <w:pPr>
        <w:pStyle w:val="Funotentext"/>
      </w:pPr>
      <w:r>
        <w:rPr>
          <w:rStyle w:val="Funotenzeichen"/>
        </w:rPr>
        <w:footnoteRef/>
      </w:r>
      <w:r>
        <w:t xml:space="preserve"> S. 29, siehe: </w:t>
      </w:r>
      <w:hyperlink r:id="rId1314" w:history="1">
        <w:r w:rsidRPr="00F77D64">
          <w:rPr>
            <w:rStyle w:val="Hyperlink"/>
          </w:rPr>
          <w:t>https://www.wvstahl.de/wp-content/uploads/WV-Stahl_Fakten-2023_Web.pdf</w:t>
        </w:r>
      </w:hyperlink>
      <w:r>
        <w:t xml:space="preserve"> - Zugegriffen: 10.06.2025. </w:t>
      </w:r>
    </w:p>
  </w:footnote>
  <w:footnote w:id="1696">
    <w:p w14:paraId="4F63AE9A" w14:textId="0AF0F600" w:rsidR="00BD11D9" w:rsidRDefault="00BD11D9">
      <w:pPr>
        <w:pStyle w:val="Funotentext"/>
      </w:pPr>
      <w:r>
        <w:rPr>
          <w:rStyle w:val="Funotenzeichen"/>
        </w:rPr>
        <w:footnoteRef/>
      </w:r>
      <w:r>
        <w:t xml:space="preserve"> Siehe: </w:t>
      </w:r>
      <w:hyperlink r:id="rId1315" w:history="1">
        <w:r w:rsidRPr="00F77D64">
          <w:rPr>
            <w:rStyle w:val="Hyperlink"/>
          </w:rPr>
          <w:t>https://formatresearch.com/de/2025/03/12/lue-ha-esportato-ferro-e-acciaio-per-un-valore-di-778-miliardi-di-euro-nel-2024-eurostat/</w:t>
        </w:r>
      </w:hyperlink>
      <w:r>
        <w:t xml:space="preserve"> - Zugegriffen: 10.06.2025. </w:t>
      </w:r>
    </w:p>
  </w:footnote>
  <w:footnote w:id="1697">
    <w:p w14:paraId="0CA07719" w14:textId="766AAE31" w:rsidR="00BD11D9" w:rsidRDefault="00BD11D9">
      <w:pPr>
        <w:pStyle w:val="Funotentext"/>
      </w:pPr>
      <w:r>
        <w:rPr>
          <w:rStyle w:val="Funotenzeichen"/>
        </w:rPr>
        <w:footnoteRef/>
      </w:r>
      <w:r>
        <w:t xml:space="preserve"> Siehe: </w:t>
      </w:r>
      <w:hyperlink r:id="rId1316" w:history="1">
        <w:r w:rsidRPr="00F77D64">
          <w:rPr>
            <w:rStyle w:val="Hyperlink"/>
          </w:rPr>
          <w:t>https://www.bmwk.de/Redaktion/DE/Artikel/Branchenfokus/branchenfokus-stahl-und-metall-01.html</w:t>
        </w:r>
      </w:hyperlink>
      <w:r>
        <w:t xml:space="preserve"> - Zugegriffen: 10.06.2025. </w:t>
      </w:r>
    </w:p>
  </w:footnote>
  <w:footnote w:id="1698">
    <w:p w14:paraId="28453663" w14:textId="71256D14" w:rsidR="00985AF8" w:rsidRDefault="00985AF8">
      <w:pPr>
        <w:pStyle w:val="Funotentext"/>
      </w:pPr>
      <w:r>
        <w:rPr>
          <w:rStyle w:val="Funotenzeichen"/>
        </w:rPr>
        <w:footnoteRef/>
      </w:r>
      <w:r>
        <w:t xml:space="preserve"> Siehe: </w:t>
      </w:r>
      <w:hyperlink r:id="rId1317" w:history="1">
        <w:r w:rsidRPr="00F77D64">
          <w:rPr>
            <w:rStyle w:val="Hyperlink"/>
          </w:rPr>
          <w:t>https://www.wvstahl.de/wp-content/uploads/WV-Stahl_Daten-und-Fakten-2024_RZ-Web.pdf</w:t>
        </w:r>
      </w:hyperlink>
      <w:r>
        <w:t xml:space="preserve"> - Zugegriffen: 09.06.2025. </w:t>
      </w:r>
    </w:p>
  </w:footnote>
  <w:footnote w:id="1699">
    <w:p w14:paraId="39B9B851" w14:textId="51B030BA" w:rsidR="00513791" w:rsidRDefault="00513791">
      <w:pPr>
        <w:pStyle w:val="Funotentext"/>
      </w:pPr>
      <w:r>
        <w:rPr>
          <w:rStyle w:val="Funotenzeichen"/>
        </w:rPr>
        <w:footnoteRef/>
      </w:r>
      <w:r>
        <w:t xml:space="preserve"> S. 10, siehe: </w:t>
      </w:r>
      <w:hyperlink r:id="rId1318" w:history="1">
        <w:r w:rsidRPr="00F77D64">
          <w:rPr>
            <w:rStyle w:val="Hyperlink"/>
          </w:rPr>
          <w:t>https://www.wvstahl.de/wp-content/uploads/20250429_Statistisches-Jahresbuch_final.pdf</w:t>
        </w:r>
      </w:hyperlink>
      <w:r>
        <w:t xml:space="preserve"> - Zugegriffen: 09.06.2025. </w:t>
      </w:r>
    </w:p>
  </w:footnote>
  <w:footnote w:id="1700">
    <w:p w14:paraId="46898C2A" w14:textId="7E8F783A" w:rsidR="006A3683" w:rsidRDefault="006A3683">
      <w:pPr>
        <w:pStyle w:val="Funotentext"/>
      </w:pPr>
      <w:r>
        <w:rPr>
          <w:rStyle w:val="Funotenzeichen"/>
        </w:rPr>
        <w:footnoteRef/>
      </w:r>
      <w:r>
        <w:t xml:space="preserve"> S. 27, siehe: </w:t>
      </w:r>
      <w:hyperlink r:id="rId1319" w:history="1">
        <w:r w:rsidRPr="00F77D64">
          <w:rPr>
            <w:rStyle w:val="Hyperlink"/>
          </w:rPr>
          <w:t>https://www.wvstahl.de/wp-content/uploads/20250429_Statistisches-Jahresbuch_final.pdf</w:t>
        </w:r>
      </w:hyperlink>
      <w:r>
        <w:t xml:space="preserve"> - Zugegriffen: 09.06.2025. </w:t>
      </w:r>
    </w:p>
  </w:footnote>
  <w:footnote w:id="1701">
    <w:p w14:paraId="4CF75413" w14:textId="42795693" w:rsidR="00985AF8" w:rsidRDefault="00985AF8">
      <w:pPr>
        <w:pStyle w:val="Funotentext"/>
      </w:pPr>
      <w:r>
        <w:rPr>
          <w:rStyle w:val="Funotenzeichen"/>
        </w:rPr>
        <w:footnoteRef/>
      </w:r>
      <w:r>
        <w:t xml:space="preserve"> Siehe: </w:t>
      </w:r>
      <w:hyperlink r:id="rId1320" w:history="1">
        <w:r w:rsidRPr="00F77D64">
          <w:rPr>
            <w:rStyle w:val="Hyperlink"/>
          </w:rPr>
          <w:t>https://www.bmwk.de/Redaktion/DE/Publikationen/Wirtschaft/handlungskonzept-stahl.html</w:t>
        </w:r>
      </w:hyperlink>
      <w:r>
        <w:t xml:space="preserve"> - Zugegriffen: 10.06.2025. </w:t>
      </w:r>
    </w:p>
  </w:footnote>
  <w:footnote w:id="1702">
    <w:p w14:paraId="322802D6" w14:textId="77777777" w:rsidR="008F60E0" w:rsidRDefault="008F60E0" w:rsidP="008F60E0">
      <w:pPr>
        <w:pStyle w:val="Funotentext"/>
      </w:pPr>
      <w:r>
        <w:rPr>
          <w:rStyle w:val="Funotenzeichen"/>
        </w:rPr>
        <w:footnoteRef/>
      </w:r>
      <w:r>
        <w:t xml:space="preserve"> BDI. Energiewende auf Kurs bringen 2025: 4, 41.</w:t>
      </w:r>
    </w:p>
  </w:footnote>
  <w:footnote w:id="1703">
    <w:p w14:paraId="51520465" w14:textId="446EDA3B" w:rsidR="004777AD" w:rsidRDefault="004777AD">
      <w:pPr>
        <w:pStyle w:val="Funotentext"/>
      </w:pPr>
      <w:r>
        <w:rPr>
          <w:rStyle w:val="Funotenzeichen"/>
        </w:rPr>
        <w:footnoteRef/>
      </w:r>
      <w:r>
        <w:t xml:space="preserve"> S. 10, siehe: </w:t>
      </w:r>
      <w:hyperlink r:id="rId1321" w:history="1">
        <w:r w:rsidRPr="00F77D64">
          <w:rPr>
            <w:rStyle w:val="Hyperlink"/>
          </w:rPr>
          <w:t>https://www.wvstahl.de/wp-content/uploads/20250429_Statistisches-Jahresbuch_final.pdf</w:t>
        </w:r>
      </w:hyperlink>
      <w:r>
        <w:t xml:space="preserve"> - Zugegriffen: 09.06.2025. </w:t>
      </w:r>
    </w:p>
  </w:footnote>
  <w:footnote w:id="1704">
    <w:p w14:paraId="1E1AB74E" w14:textId="77777777" w:rsidR="00112190" w:rsidRDefault="00112190" w:rsidP="00112190">
      <w:pPr>
        <w:pStyle w:val="Funotentext"/>
      </w:pPr>
      <w:r>
        <w:rPr>
          <w:rStyle w:val="Funotenzeichen"/>
        </w:rPr>
        <w:footnoteRef/>
      </w:r>
      <w:r>
        <w:t xml:space="preserve"> Zitiert aus der </w:t>
      </w:r>
      <w:proofErr w:type="gramStart"/>
      <w:r>
        <w:t>CBAM Verordnung</w:t>
      </w:r>
      <w:proofErr w:type="gramEnd"/>
      <w:r w:rsidRPr="00331EEF">
        <w:t xml:space="preserve"> (EU) 2023/956 </w:t>
      </w:r>
      <w:r>
        <w:t xml:space="preserve">„(10) Die Initiative für ein CO2-Grenzausgleichssystem (Carbon Border Adjustment </w:t>
      </w:r>
      <w:proofErr w:type="spellStart"/>
      <w:r>
        <w:t>Mechanism</w:t>
      </w:r>
      <w:proofErr w:type="spellEnd"/>
      <w:r>
        <w:t xml:space="preserve">, CBAM) ist Teil des Legislativpakets „Fit für 55“. Das CBAM soll ein wesentlicher Bestandteil des Instrumentariums der Union sein, mit dem das Ziel einer klimaneutralen Union bis spätestens 2050 im Einklang mit dem Übereinkommen von Paris erreicht und den sich aus den angehobenen Klimazielen der Union ergebenden Risiken der Verlagerung von CO2-Emissionen entgegengewirkt werden soll. Das CBAM wird voraussichtlich auch zur Förderung der Dekarbonisierung in Drittländern beitragen. (11) Die bestehenden Mechanismen zur Eindämmung des Risikos der Verlagerung von CO2-Emissionen in den Sektoren oder Teilsektoren, in denen dieses Risiko besteht, sind die übergangsweise kostenlose Zuteilung von EU-EHS-Zertifikaten und finanzielle Maßnahmen zum Ausgleich der indirekten Emissionskosten, die durch die Weitergabe der Kosten von Treibhausgasemissionen über die Strompreise entstehen. Diese Mechanismen sind in Artikel 10a Absatz 6 bzw. Artikel 10b der Richtlinie 2003/87/EG festgelegt. Die kostenlose Zuteilung von EU-EHS-Zertifikaten auf der Ebene der leistungsstärksten Unternehmen war ein politisches Instrument für bestimmte Industriezweige, um dem Risiko der Verlagerung von CO2-Emissionen entgegenzuwirken. Im Vergleich zu einer vollständigen Versteigerung schwächt eine solche kostenlose Zuteilung jedoch das Preissignal des Mechanismus und mindert damit die Anreize für Investitionen in eine weitere Senkung der Treibhausgasemissionen. (12) Das CBAM soll diese bestehenden Mechanismen ersetzen, indem dem Risiko der Verlagerung von CO2-Emissionen auf andere Weise begegnet wird, nämlich durch die Sicherstellung einer gleich hohen CO2-Bepreisung von Einfuhren und inländischen Erzeugnissen. Um einen allmählichen Übergang vom derzeitigen System der kostenlosen Zertifikate zum CBAM sicherzustellen, sollte das CBAM schrittweise eingeführt werden, während die kostenlosen Zertifikate in den Sektoren, die unter das CBAM fallen, schrittweise auslaufen.“ Zitiert aus: </w:t>
      </w:r>
      <w:hyperlink r:id="rId1322" w:history="1">
        <w:r w:rsidRPr="001344B6">
          <w:rPr>
            <w:rStyle w:val="Hyperlink"/>
          </w:rPr>
          <w:t>https://eur-lex.europa.eu/legal-content/DE/TXT/?uri=uriserv:OJ.L_.2023.130.01.0052.01.DEU</w:t>
        </w:r>
      </w:hyperlink>
      <w:r>
        <w:t xml:space="preserve"> – Zugegriffen: 24.03.2024. </w:t>
      </w:r>
    </w:p>
  </w:footnote>
  <w:footnote w:id="1705">
    <w:p w14:paraId="01F6DB4B" w14:textId="77777777" w:rsidR="00112190" w:rsidRDefault="00112190" w:rsidP="00112190">
      <w:pPr>
        <w:pStyle w:val="Funotentext"/>
      </w:pPr>
      <w:r>
        <w:rPr>
          <w:rStyle w:val="Funotenzeichen"/>
        </w:rPr>
        <w:footnoteRef/>
      </w:r>
      <w:r>
        <w:t xml:space="preserve"> Siehe zu diesem gesamten Abschnitt die Darstellung in: </w:t>
      </w:r>
      <w:hyperlink r:id="rId1323" w:history="1">
        <w:r w:rsidRPr="00356F51">
          <w:rPr>
            <w:rStyle w:val="Hyperlink"/>
          </w:rPr>
          <w:t>https://taxation-customs.ec.europa.eu/carbon-border-adjustment-mechanism_en</w:t>
        </w:r>
      </w:hyperlink>
      <w:r>
        <w:t xml:space="preserve"> - Zugegriffen: 19.01.2024. </w:t>
      </w:r>
    </w:p>
  </w:footnote>
  <w:footnote w:id="1706">
    <w:p w14:paraId="7647894F" w14:textId="77777777" w:rsidR="00112190" w:rsidRDefault="00112190" w:rsidP="00112190">
      <w:pPr>
        <w:pStyle w:val="Funotentext"/>
      </w:pPr>
      <w:r>
        <w:rPr>
          <w:rStyle w:val="Funotenzeichen"/>
        </w:rPr>
        <w:footnoteRef/>
      </w:r>
      <w:r w:rsidRPr="00CC4317">
        <w:rPr>
          <w:lang w:val="en-GB"/>
        </w:rPr>
        <w:t xml:space="preserve"> </w:t>
      </w:r>
      <w:r>
        <w:rPr>
          <w:lang w:val="en-GB"/>
        </w:rPr>
        <w:t xml:space="preserve">S. 14, FN 12, in: </w:t>
      </w:r>
      <w:r w:rsidRPr="00CC4317">
        <w:rPr>
          <w:u w:val="single"/>
          <w:lang w:val="en-GB"/>
        </w:rPr>
        <w:t>Guidance Document on CBAM Implementation for Importers of Goods</w:t>
      </w:r>
      <w:r w:rsidRPr="00CC4317">
        <w:rPr>
          <w:lang w:val="en-GB"/>
        </w:rPr>
        <w:t xml:space="preserve"> into the EU, 13. </w:t>
      </w:r>
      <w:r w:rsidRPr="00CC4317">
        <w:t xml:space="preserve">Dezember 2023, siehe:  </w:t>
      </w:r>
      <w:hyperlink r:id="rId1324" w:history="1">
        <w:r w:rsidRPr="008C0B11">
          <w:rPr>
            <w:rStyle w:val="Hyperlink"/>
          </w:rPr>
          <w:t>https://taxation-customs.ec.europa.eu/system/files/2023-12/Guidance%20document%20on%20CBAM%20implementation%20for%20importers%20of%20goods%20into%20the%20EU.pdf</w:t>
        </w:r>
      </w:hyperlink>
      <w:r w:rsidRPr="00CC4317">
        <w:t xml:space="preserve"> – Zugegriffen: 23.01.2024.</w:t>
      </w:r>
    </w:p>
  </w:footnote>
  <w:footnote w:id="1707">
    <w:p w14:paraId="316B9D54" w14:textId="77777777" w:rsidR="00112190" w:rsidRDefault="00112190" w:rsidP="00112190">
      <w:pPr>
        <w:pStyle w:val="Funotentext"/>
      </w:pPr>
      <w:r>
        <w:rPr>
          <w:rStyle w:val="Funotenzeichen"/>
        </w:rPr>
        <w:footnoteRef/>
      </w:r>
      <w:r>
        <w:t xml:space="preserve"> </w:t>
      </w:r>
      <w:bookmarkStart w:id="90" w:name="_Hlk157455636"/>
      <w:r w:rsidRPr="00CA5FE4">
        <w:t>CBAM konsolidierte Fassung, Verordnung (EU) 2023/956, 10. Mai 2023</w:t>
      </w:r>
      <w:r>
        <w:t>.</w:t>
      </w:r>
      <w:bookmarkEnd w:id="90"/>
    </w:p>
  </w:footnote>
  <w:footnote w:id="1708">
    <w:p w14:paraId="087F7337" w14:textId="77777777" w:rsidR="00112190" w:rsidRDefault="00112190" w:rsidP="00112190">
      <w:pPr>
        <w:pStyle w:val="Funotentext"/>
      </w:pPr>
      <w:r>
        <w:rPr>
          <w:rStyle w:val="Funotenzeichen"/>
        </w:rPr>
        <w:footnoteRef/>
      </w:r>
      <w:r>
        <w:t xml:space="preserve"> Anhang II, S. 42, </w:t>
      </w:r>
      <w:r w:rsidRPr="00CA5FE4">
        <w:t>CBAM konsolidierte Fassung, Verordnung (EU) 2023/956, 10. Mai 2023</w:t>
      </w:r>
      <w:r>
        <w:t>.</w:t>
      </w:r>
    </w:p>
  </w:footnote>
  <w:footnote w:id="1709">
    <w:p w14:paraId="1C73B456" w14:textId="77777777" w:rsidR="00112190" w:rsidRDefault="00112190" w:rsidP="00112190">
      <w:pPr>
        <w:pStyle w:val="Funotentext"/>
      </w:pPr>
      <w:r>
        <w:rPr>
          <w:rStyle w:val="Funotenzeichen"/>
        </w:rPr>
        <w:footnoteRef/>
      </w:r>
      <w:r>
        <w:t xml:space="preserve"> </w:t>
      </w:r>
      <w:proofErr w:type="gramStart"/>
      <w:r w:rsidRPr="005C7944">
        <w:rPr>
          <w:u w:val="single"/>
        </w:rPr>
        <w:t>CBAM Durchführungsverordnung</w:t>
      </w:r>
      <w:proofErr w:type="gramEnd"/>
      <w:r w:rsidRPr="005C7944">
        <w:t xml:space="preserve"> (EU) 2023/1773 der Kommission, 17. August 2023, siehe: </w:t>
      </w:r>
      <w:hyperlink r:id="rId1325" w:history="1">
        <w:r w:rsidRPr="008C0B11">
          <w:rPr>
            <w:rStyle w:val="Hyperlink"/>
          </w:rPr>
          <w:t>https://eur-lex.europa.eu/legal-content/DE/TXT/PDF/?uri=CELEX:32023R1773</w:t>
        </w:r>
      </w:hyperlink>
      <w:r w:rsidRPr="005C7944">
        <w:t xml:space="preserve"> – Zugegriffen: 19.01.2024.</w:t>
      </w:r>
    </w:p>
  </w:footnote>
  <w:footnote w:id="1710">
    <w:p w14:paraId="1DDA194B" w14:textId="77777777" w:rsidR="00112190" w:rsidRPr="00924BE5" w:rsidRDefault="00112190" w:rsidP="00112190">
      <w:pPr>
        <w:pStyle w:val="Funotentext"/>
        <w:rPr>
          <w:lang w:val="en-GB"/>
        </w:rPr>
      </w:pPr>
      <w:r>
        <w:rPr>
          <w:rStyle w:val="Funotenzeichen"/>
        </w:rPr>
        <w:footnoteRef/>
      </w:r>
      <w:r w:rsidRPr="00924BE5">
        <w:rPr>
          <w:lang w:val="en-GB"/>
        </w:rPr>
        <w:t xml:space="preserve"> S. 17, Guidance Importe</w:t>
      </w:r>
      <w:r>
        <w:rPr>
          <w:lang w:val="en-GB"/>
        </w:rPr>
        <w:t>r</w:t>
      </w:r>
      <w:r w:rsidRPr="00924BE5">
        <w:rPr>
          <w:lang w:val="en-GB"/>
        </w:rPr>
        <w:t>s of G</w:t>
      </w:r>
      <w:r>
        <w:rPr>
          <w:lang w:val="en-GB"/>
        </w:rPr>
        <w:t xml:space="preserve">oods. </w:t>
      </w:r>
    </w:p>
  </w:footnote>
  <w:footnote w:id="1711">
    <w:p w14:paraId="530901C0" w14:textId="77777777" w:rsidR="00112190" w:rsidRPr="00BB76AC" w:rsidRDefault="00112190" w:rsidP="00112190">
      <w:pPr>
        <w:pStyle w:val="Funotentext"/>
      </w:pPr>
      <w:r>
        <w:rPr>
          <w:rStyle w:val="Funotenzeichen"/>
        </w:rPr>
        <w:footnoteRef/>
      </w:r>
      <w:r w:rsidRPr="00BB76AC">
        <w:t xml:space="preserve"> S. 87-88. </w:t>
      </w:r>
      <w:proofErr w:type="spellStart"/>
      <w:r w:rsidRPr="00BB76AC">
        <w:t>Guidance</w:t>
      </w:r>
      <w:proofErr w:type="spellEnd"/>
      <w:r w:rsidRPr="00BB76AC">
        <w:t xml:space="preserve"> Installation Operators.</w:t>
      </w:r>
    </w:p>
  </w:footnote>
  <w:footnote w:id="1712">
    <w:p w14:paraId="6D88E6F2" w14:textId="77777777" w:rsidR="00872F84" w:rsidRDefault="00872F84" w:rsidP="00872F84">
      <w:pPr>
        <w:pStyle w:val="Funotentext"/>
      </w:pPr>
      <w:r>
        <w:rPr>
          <w:rStyle w:val="Funotenzeichen"/>
        </w:rPr>
        <w:footnoteRef/>
      </w:r>
      <w:r>
        <w:t xml:space="preserve"> S. 39, </w:t>
      </w:r>
      <w:proofErr w:type="gramStart"/>
      <w:r w:rsidRPr="0053611C">
        <w:t>BMWK Leitmärkte</w:t>
      </w:r>
      <w:proofErr w:type="gramEnd"/>
      <w:r w:rsidRPr="0053611C">
        <w:t xml:space="preserve"> für klimafreundliche Grundstoffe 2024: </w:t>
      </w:r>
      <w:proofErr w:type="gramStart"/>
      <w:r w:rsidRPr="0053611C">
        <w:t>BMWK Leitmärkte</w:t>
      </w:r>
      <w:proofErr w:type="gramEnd"/>
      <w:r w:rsidRPr="0053611C">
        <w:t xml:space="preserve"> für klimafreundliche Rohstoffe, BMWK Mai 2024, siehe: </w:t>
      </w:r>
      <w:hyperlink r:id="rId1326" w:history="1">
        <w:r w:rsidRPr="0053611C">
          <w:rPr>
            <w:rStyle w:val="Hyperlink"/>
          </w:rPr>
          <w:t>https://www.bmwk.de/Redaktion/DE/Publikationen/Klimaschutz/leitmaerkte-fuer-klimafreundliche-grundstoffe.html</w:t>
        </w:r>
      </w:hyperlink>
      <w:r w:rsidRPr="0053611C">
        <w:t xml:space="preserve"> - Zugegriffen: 30.04.2025</w:t>
      </w:r>
      <w:r>
        <w:t>. Ottmar Edenhofer vom Potsdam-Institut mahnt an, dass in „fairen Berechnungen“ alle Emissionen beachtet werden sollten, auch „Methanschlupf in der Erdgasnutzung.“ Christian Geinitz. Ab in die Nordsee mit dem CO2. Zum Wohle des Klimas gibt die Ampel ihre Vorbehalte gegen die Speicherung auf – aber nur für bestimmte Emissionen. FAZ, 27.02.2024.</w:t>
      </w:r>
    </w:p>
  </w:footnote>
  <w:footnote w:id="1713">
    <w:p w14:paraId="1B9502BC" w14:textId="77777777" w:rsidR="00112190" w:rsidRDefault="00112190" w:rsidP="00112190">
      <w:pPr>
        <w:pStyle w:val="Funotentext"/>
      </w:pPr>
      <w:r>
        <w:rPr>
          <w:rStyle w:val="Funotenzeichen"/>
        </w:rPr>
        <w:footnoteRef/>
      </w:r>
      <w:r w:rsidRPr="00BB76AC">
        <w:t xml:space="preserve"> Siehe CBAM Art. 1 Abs. </w:t>
      </w:r>
      <w:r>
        <w:t xml:space="preserve">(3) a, Bezug sind aber Annex I Waren, nicht alle Waren. Siehe Art. 23, </w:t>
      </w:r>
      <w:r w:rsidRPr="00CA5FE4">
        <w:t>CBAM konsolidierte Fassung, Verordnung (EU) 2023/956, 10. Mai 2023</w:t>
      </w:r>
      <w:r>
        <w:t xml:space="preserve">. </w:t>
      </w:r>
    </w:p>
  </w:footnote>
  <w:footnote w:id="1714">
    <w:p w14:paraId="3E96B3EC" w14:textId="77777777" w:rsidR="00112190" w:rsidRDefault="00112190" w:rsidP="00112190">
      <w:pPr>
        <w:pStyle w:val="Funotentext"/>
      </w:pPr>
      <w:r>
        <w:rPr>
          <w:rStyle w:val="Funotenzeichen"/>
        </w:rPr>
        <w:footnoteRef/>
      </w:r>
      <w:r w:rsidRPr="00FA5344">
        <w:t xml:space="preserve"> S. 29, </w:t>
      </w:r>
      <w:proofErr w:type="spellStart"/>
      <w:r w:rsidRPr="00FA5344">
        <w:t>Guidance</w:t>
      </w:r>
      <w:proofErr w:type="spellEnd"/>
      <w:r w:rsidRPr="00FA5344">
        <w:t xml:space="preserve"> Installation Operators. </w:t>
      </w:r>
    </w:p>
  </w:footnote>
  <w:footnote w:id="1715">
    <w:p w14:paraId="36814578" w14:textId="77777777" w:rsidR="00112190" w:rsidRPr="00A4669C" w:rsidRDefault="00112190" w:rsidP="00112190">
      <w:pPr>
        <w:pStyle w:val="Funotentext"/>
        <w:rPr>
          <w:lang w:val="en-GB"/>
        </w:rPr>
      </w:pPr>
      <w:r>
        <w:rPr>
          <w:rStyle w:val="Funotenzeichen"/>
        </w:rPr>
        <w:footnoteRef/>
      </w:r>
      <w:r>
        <w:t xml:space="preserve"> </w:t>
      </w:r>
      <w:r w:rsidRPr="00CA5FE4">
        <w:t xml:space="preserve">CBAM konsolidierte Fassung, Verordnung (EU) 2023/956, 10. </w:t>
      </w:r>
      <w:r w:rsidRPr="00A4669C">
        <w:rPr>
          <w:lang w:val="en-GB"/>
        </w:rPr>
        <w:t>Mai 2023.</w:t>
      </w:r>
    </w:p>
  </w:footnote>
  <w:footnote w:id="1716">
    <w:p w14:paraId="1852D32E" w14:textId="77777777" w:rsidR="00112190" w:rsidRPr="00FA5344" w:rsidRDefault="00112190" w:rsidP="00112190">
      <w:pPr>
        <w:pStyle w:val="Funotentext"/>
        <w:rPr>
          <w:lang w:val="en-GB"/>
        </w:rPr>
      </w:pPr>
      <w:r>
        <w:rPr>
          <w:rStyle w:val="Funotenzeichen"/>
        </w:rPr>
        <w:footnoteRef/>
      </w:r>
      <w:r w:rsidRPr="009708F7">
        <w:rPr>
          <w:lang w:val="en-GB"/>
        </w:rPr>
        <w:t xml:space="preserve"> </w:t>
      </w:r>
      <w:r>
        <w:rPr>
          <w:lang w:val="en-GB"/>
        </w:rPr>
        <w:t xml:space="preserve">S. 13, </w:t>
      </w:r>
      <w:r w:rsidRPr="00AD0A01">
        <w:rPr>
          <w:lang w:val="en-GB"/>
        </w:rPr>
        <w:t>Guidance Importe</w:t>
      </w:r>
      <w:r>
        <w:rPr>
          <w:lang w:val="en-GB"/>
        </w:rPr>
        <w:t>r</w:t>
      </w:r>
      <w:r w:rsidRPr="00AD0A01">
        <w:rPr>
          <w:lang w:val="en-GB"/>
        </w:rPr>
        <w:t>s of Goods</w:t>
      </w:r>
      <w:r w:rsidRPr="00FA5344">
        <w:rPr>
          <w:lang w:val="en-GB"/>
        </w:rPr>
        <w:t>.</w:t>
      </w:r>
    </w:p>
  </w:footnote>
  <w:footnote w:id="1717">
    <w:p w14:paraId="3C7C433C" w14:textId="77777777" w:rsidR="00112190" w:rsidRPr="00FA5344" w:rsidRDefault="00112190" w:rsidP="00112190">
      <w:pPr>
        <w:pStyle w:val="Funotentext"/>
        <w:rPr>
          <w:lang w:val="en-GB"/>
        </w:rPr>
      </w:pPr>
      <w:r>
        <w:rPr>
          <w:rStyle w:val="Funotenzeichen"/>
        </w:rPr>
        <w:footnoteRef/>
      </w:r>
      <w:r w:rsidRPr="00FA5344">
        <w:rPr>
          <w:lang w:val="en-GB"/>
        </w:rPr>
        <w:t xml:space="preserve"> </w:t>
      </w:r>
      <w:r>
        <w:rPr>
          <w:lang w:val="en-GB"/>
        </w:rPr>
        <w:t xml:space="preserve">S. 74, </w:t>
      </w:r>
      <w:r w:rsidRPr="00FA5344">
        <w:rPr>
          <w:lang w:val="en-GB"/>
        </w:rPr>
        <w:t>Guidance Importers of Goods</w:t>
      </w:r>
      <w:r>
        <w:rPr>
          <w:lang w:val="en-GB"/>
        </w:rPr>
        <w:t>.</w:t>
      </w:r>
    </w:p>
  </w:footnote>
  <w:footnote w:id="1718">
    <w:p w14:paraId="062C1F21" w14:textId="77777777" w:rsidR="00112190" w:rsidRPr="00935622" w:rsidRDefault="00112190" w:rsidP="00112190">
      <w:pPr>
        <w:pStyle w:val="Funotentext"/>
        <w:rPr>
          <w:lang w:val="en-GB"/>
        </w:rPr>
      </w:pPr>
      <w:r>
        <w:rPr>
          <w:rStyle w:val="Funotenzeichen"/>
        </w:rPr>
        <w:footnoteRef/>
      </w:r>
      <w:r w:rsidRPr="00935622">
        <w:rPr>
          <w:lang w:val="en-GB"/>
        </w:rPr>
        <w:t xml:space="preserve"> </w:t>
      </w:r>
      <w:r>
        <w:rPr>
          <w:lang w:val="en-GB"/>
        </w:rPr>
        <w:t xml:space="preserve">S. 75, </w:t>
      </w:r>
      <w:r w:rsidRPr="00935622">
        <w:rPr>
          <w:lang w:val="en-GB"/>
        </w:rPr>
        <w:t>Guidance Importers of Goods</w:t>
      </w:r>
      <w:r>
        <w:rPr>
          <w:lang w:val="en-GB"/>
        </w:rPr>
        <w:t>.</w:t>
      </w:r>
    </w:p>
  </w:footnote>
  <w:footnote w:id="1719">
    <w:p w14:paraId="65B2EFA8" w14:textId="77777777" w:rsidR="00112190" w:rsidRPr="00935622" w:rsidRDefault="00112190" w:rsidP="00112190">
      <w:pPr>
        <w:pStyle w:val="Funotentext"/>
        <w:rPr>
          <w:lang w:val="en-GB"/>
        </w:rPr>
      </w:pPr>
      <w:r>
        <w:rPr>
          <w:rStyle w:val="Funotenzeichen"/>
        </w:rPr>
        <w:footnoteRef/>
      </w:r>
      <w:r w:rsidRPr="00935622">
        <w:rPr>
          <w:lang w:val="en-GB"/>
        </w:rPr>
        <w:t xml:space="preserve"> </w:t>
      </w:r>
      <w:r>
        <w:rPr>
          <w:lang w:val="en-GB"/>
        </w:rPr>
        <w:t>S. 31, Guidance Installation Operators.</w:t>
      </w:r>
    </w:p>
  </w:footnote>
  <w:footnote w:id="1720">
    <w:p w14:paraId="1CA0E27D" w14:textId="77777777" w:rsidR="00112190" w:rsidRPr="00935622" w:rsidRDefault="00112190" w:rsidP="00112190">
      <w:pPr>
        <w:pStyle w:val="Funotentext"/>
        <w:rPr>
          <w:lang w:val="en-GB"/>
        </w:rPr>
      </w:pPr>
      <w:r>
        <w:rPr>
          <w:rStyle w:val="Funotenzeichen"/>
        </w:rPr>
        <w:footnoteRef/>
      </w:r>
      <w:r w:rsidRPr="00935622">
        <w:rPr>
          <w:lang w:val="en-GB"/>
        </w:rPr>
        <w:t xml:space="preserve"> </w:t>
      </w:r>
      <w:r>
        <w:rPr>
          <w:lang w:val="en-GB"/>
        </w:rPr>
        <w:t>S. 72, Guidance Importers of Goods</w:t>
      </w:r>
      <w:r w:rsidRPr="00935622">
        <w:rPr>
          <w:lang w:val="en-GB"/>
        </w:rPr>
        <w:t>.</w:t>
      </w:r>
    </w:p>
  </w:footnote>
  <w:footnote w:id="1721">
    <w:p w14:paraId="631DA2CF" w14:textId="77777777" w:rsidR="00112190" w:rsidRPr="00DE16BC" w:rsidRDefault="00112190" w:rsidP="00112190">
      <w:pPr>
        <w:pStyle w:val="Funotentext"/>
      </w:pPr>
      <w:r>
        <w:rPr>
          <w:rStyle w:val="Funotenzeichen"/>
        </w:rPr>
        <w:footnoteRef/>
      </w:r>
      <w:r w:rsidRPr="00DE16BC">
        <w:t xml:space="preserve"> </w:t>
      </w:r>
      <w:proofErr w:type="gramStart"/>
      <w:r>
        <w:t xml:space="preserve">CBAM </w:t>
      </w:r>
      <w:r w:rsidRPr="00DE16BC">
        <w:t>Durchführungsverordnung</w:t>
      </w:r>
      <w:proofErr w:type="gramEnd"/>
      <w:r w:rsidRPr="00DE16BC">
        <w:t xml:space="preserve"> (EU) 2023/1773 der Kommission, 17. August 2023</w:t>
      </w:r>
      <w:r>
        <w:t xml:space="preserve">, siehe: </w:t>
      </w:r>
      <w:hyperlink r:id="rId1327" w:history="1">
        <w:r w:rsidRPr="00356F51">
          <w:rPr>
            <w:rStyle w:val="Hyperlink"/>
          </w:rPr>
          <w:t>https://eur-lex.europa.eu/legal-content/DE/TXT/PDF/?uri=CELEX:32023R1773</w:t>
        </w:r>
      </w:hyperlink>
      <w:r w:rsidRPr="00DE16BC">
        <w:t xml:space="preserve"> </w:t>
      </w:r>
      <w:r>
        <w:t>–</w:t>
      </w:r>
      <w:r w:rsidRPr="00DE16BC">
        <w:t xml:space="preserve"> Zu</w:t>
      </w:r>
      <w:r>
        <w:t xml:space="preserve">gegriffen: 19.01.2024. </w:t>
      </w:r>
    </w:p>
  </w:footnote>
  <w:footnote w:id="1722">
    <w:p w14:paraId="02FBD165" w14:textId="77777777" w:rsidR="00112190" w:rsidRDefault="00112190" w:rsidP="00112190">
      <w:pPr>
        <w:pStyle w:val="Funotentext"/>
      </w:pPr>
      <w:r>
        <w:rPr>
          <w:rStyle w:val="Funotenzeichen"/>
        </w:rPr>
        <w:footnoteRef/>
      </w:r>
      <w:r>
        <w:t xml:space="preserve"> </w:t>
      </w:r>
      <w:r w:rsidRPr="00FA5344">
        <w:t>CBAM konsolidierte Fassung, Verordnung (EU) 2023/956, 10. Mai 2023</w:t>
      </w:r>
      <w:r>
        <w:t>.</w:t>
      </w:r>
    </w:p>
  </w:footnote>
  <w:footnote w:id="1723">
    <w:p w14:paraId="119CBC47" w14:textId="77777777" w:rsidR="00112190" w:rsidRDefault="00112190" w:rsidP="00112190">
      <w:pPr>
        <w:pStyle w:val="Funotentext"/>
      </w:pPr>
      <w:r>
        <w:rPr>
          <w:rStyle w:val="Funotenzeichen"/>
        </w:rPr>
        <w:footnoteRef/>
      </w:r>
      <w:r>
        <w:t xml:space="preserve"> S. 77, siehe: </w:t>
      </w:r>
      <w:proofErr w:type="gramStart"/>
      <w:r w:rsidRPr="00DF72FC">
        <w:t>CBAM Durchführungsverordnung</w:t>
      </w:r>
      <w:proofErr w:type="gramEnd"/>
      <w:r w:rsidRPr="00DF72FC">
        <w:t xml:space="preserve"> (EU) 2023/1773 der Kommission, 17. August 2023, siehe: </w:t>
      </w:r>
      <w:hyperlink r:id="rId1328" w:history="1">
        <w:r w:rsidRPr="00DF72FC">
          <w:rPr>
            <w:rStyle w:val="Hyperlink"/>
          </w:rPr>
          <w:t>https://eur-lex.europa.eu/legal-content/DE/TXT/PDF/?uri=CELEX:32023R1773</w:t>
        </w:r>
      </w:hyperlink>
      <w:r w:rsidRPr="00DF72FC">
        <w:t xml:space="preserve"> – Zugegriffen: 19.01.2024.</w:t>
      </w:r>
    </w:p>
  </w:footnote>
  <w:footnote w:id="1724">
    <w:p w14:paraId="44EFA631" w14:textId="77777777" w:rsidR="00112190" w:rsidRDefault="00112190" w:rsidP="00112190">
      <w:pPr>
        <w:pStyle w:val="Funotentext"/>
      </w:pPr>
      <w:r>
        <w:rPr>
          <w:rStyle w:val="Funotenzeichen"/>
        </w:rPr>
        <w:footnoteRef/>
      </w:r>
      <w:r>
        <w:t xml:space="preserve"> </w:t>
      </w:r>
      <w:r w:rsidRPr="00EF5200">
        <w:t xml:space="preserve">CBAM konsolidierte Fassung, Verordnung </w:t>
      </w:r>
      <w:r>
        <w:t>(EU</w:t>
      </w:r>
      <w:r w:rsidRPr="00EF5200">
        <w:t>) 2023/956, 10. Mai 2023</w:t>
      </w:r>
      <w:r>
        <w:t>.</w:t>
      </w:r>
    </w:p>
  </w:footnote>
  <w:footnote w:id="1725">
    <w:p w14:paraId="38C791B3" w14:textId="77777777" w:rsidR="00112190" w:rsidRDefault="00112190" w:rsidP="00112190">
      <w:pPr>
        <w:pStyle w:val="Funotentext"/>
      </w:pPr>
      <w:r>
        <w:rPr>
          <w:rStyle w:val="Funotenzeichen"/>
        </w:rPr>
        <w:footnoteRef/>
      </w:r>
      <w:r>
        <w:t xml:space="preserve"> Art. 30. </w:t>
      </w:r>
      <w:r w:rsidRPr="00D9115E">
        <w:t>CBAM konsolidierte Fassung, Verordnung (EU) 2023/956, 10. Mai 2023.</w:t>
      </w:r>
    </w:p>
  </w:footnote>
  <w:footnote w:id="1726">
    <w:p w14:paraId="5B2D4915" w14:textId="77777777" w:rsidR="00112190" w:rsidRDefault="00112190" w:rsidP="00112190">
      <w:pPr>
        <w:pStyle w:val="Funotentext"/>
      </w:pPr>
      <w:r>
        <w:rPr>
          <w:rStyle w:val="Funotenzeichen"/>
        </w:rPr>
        <w:footnoteRef/>
      </w:r>
      <w:r>
        <w:t xml:space="preserve"> Art. 31. </w:t>
      </w:r>
      <w:bookmarkStart w:id="91" w:name="_Hlk162185821"/>
      <w:r w:rsidRPr="00D9115E">
        <w:t>CBAM konsolidierte Fassung, Verordnung (EU) 2023/956, 10. Mai 2023</w:t>
      </w:r>
      <w:bookmarkEnd w:id="91"/>
      <w:r w:rsidRPr="00D9115E">
        <w:t>.</w:t>
      </w:r>
    </w:p>
  </w:footnote>
  <w:footnote w:id="1727">
    <w:p w14:paraId="73598849" w14:textId="77777777" w:rsidR="00112190" w:rsidRDefault="00112190" w:rsidP="00112190">
      <w:pPr>
        <w:pStyle w:val="Funotentext"/>
      </w:pPr>
      <w:r>
        <w:rPr>
          <w:rStyle w:val="Funotenzeichen"/>
        </w:rPr>
        <w:footnoteRef/>
      </w:r>
      <w:r>
        <w:t xml:space="preserve"> Siehe Interview mit BASF Chef Brudermüller, Mir fehlt der Kampfgeist in der Nation. FAZ 24.03.2024. </w:t>
      </w:r>
    </w:p>
  </w:footnote>
  <w:footnote w:id="1728">
    <w:p w14:paraId="4CCE5AAB" w14:textId="77777777" w:rsidR="00112190" w:rsidRDefault="00112190" w:rsidP="00112190">
      <w:pPr>
        <w:pStyle w:val="Funotentext"/>
      </w:pPr>
      <w:r>
        <w:rPr>
          <w:rStyle w:val="Funotenzeichen"/>
        </w:rPr>
        <w:footnoteRef/>
      </w:r>
      <w:r>
        <w:t xml:space="preserve"> In diesem Sinne auch: </w:t>
      </w:r>
      <w:r w:rsidRPr="00961083">
        <w:t xml:space="preserve">Ernst and Young, Peter Taubitz, Carsten Buhl, 4. April 2023. Siehe: </w:t>
      </w:r>
      <w:hyperlink r:id="rId1329" w:history="1">
        <w:r w:rsidRPr="00961083">
          <w:rPr>
            <w:rStyle w:val="Hyperlink"/>
          </w:rPr>
          <w:t>https://www.ey.com/de_de/decarbonization/eu-ets-wie-stark-steigen-die-co-preise-bis-2030</w:t>
        </w:r>
      </w:hyperlink>
      <w:r w:rsidRPr="00961083">
        <w:t xml:space="preserve"> - Zugegriffen: 07.01.2024.</w:t>
      </w:r>
    </w:p>
  </w:footnote>
  <w:footnote w:id="1729">
    <w:p w14:paraId="23793F98" w14:textId="77777777" w:rsidR="00112190" w:rsidRDefault="00112190" w:rsidP="00112190">
      <w:pPr>
        <w:pStyle w:val="Funotentext"/>
      </w:pPr>
      <w:r>
        <w:rPr>
          <w:rStyle w:val="Funotenzeichen"/>
        </w:rPr>
        <w:footnoteRef/>
      </w:r>
      <w:r>
        <w:t xml:space="preserve"> Art. 27. </w:t>
      </w:r>
      <w:r w:rsidRPr="00D9115E">
        <w:t>CBAM konsolidierte Fassung, Verordnung (EU) 2023/956, 10. Mai 2023.</w:t>
      </w:r>
    </w:p>
  </w:footnote>
  <w:footnote w:id="1730">
    <w:p w14:paraId="7D896C27" w14:textId="77777777" w:rsidR="00112190" w:rsidRDefault="00112190" w:rsidP="00112190">
      <w:pPr>
        <w:pStyle w:val="Funotentext"/>
      </w:pPr>
      <w:r>
        <w:rPr>
          <w:rStyle w:val="Funotenzeichen"/>
        </w:rPr>
        <w:footnoteRef/>
      </w:r>
      <w:r>
        <w:t xml:space="preserve"> </w:t>
      </w:r>
      <w:proofErr w:type="gramStart"/>
      <w:r>
        <w:t>BDI Klimapfade</w:t>
      </w:r>
      <w:proofErr w:type="gramEnd"/>
      <w:r>
        <w:t xml:space="preserve"> 2.0 2021: 38.</w:t>
      </w:r>
    </w:p>
  </w:footnote>
  <w:footnote w:id="1731">
    <w:p w14:paraId="1C070E61" w14:textId="77777777" w:rsidR="00112190" w:rsidRDefault="00112190" w:rsidP="00112190">
      <w:pPr>
        <w:pStyle w:val="Funotentext"/>
      </w:pPr>
      <w:r>
        <w:rPr>
          <w:rStyle w:val="Funotenzeichen"/>
        </w:rPr>
        <w:footnoteRef/>
      </w:r>
      <w:r>
        <w:t xml:space="preserve"> </w:t>
      </w:r>
      <w:proofErr w:type="gramStart"/>
      <w:r w:rsidRPr="003D4726">
        <w:t>BDI Klimapfade</w:t>
      </w:r>
      <w:proofErr w:type="gramEnd"/>
      <w:r w:rsidRPr="003D4726">
        <w:t xml:space="preserve"> 2.0 2021: </w:t>
      </w:r>
      <w:r>
        <w:t>38.</w:t>
      </w:r>
    </w:p>
  </w:footnote>
  <w:footnote w:id="1732">
    <w:p w14:paraId="55BF5C9B" w14:textId="77777777" w:rsidR="00112190" w:rsidRPr="004B5B24" w:rsidRDefault="00112190" w:rsidP="00112190">
      <w:pPr>
        <w:pStyle w:val="Funotentext"/>
      </w:pPr>
      <w:r>
        <w:rPr>
          <w:rStyle w:val="Funotenzeichen"/>
        </w:rPr>
        <w:footnoteRef/>
      </w:r>
      <w:r w:rsidRPr="004B5B24">
        <w:t xml:space="preserve"> </w:t>
      </w:r>
      <w:bookmarkStart w:id="92" w:name="_Hlk162180367"/>
      <w:proofErr w:type="gramStart"/>
      <w:r w:rsidRPr="004B5B24">
        <w:t>BD</w:t>
      </w:r>
      <w:r>
        <w:t xml:space="preserve">I </w:t>
      </w:r>
      <w:r w:rsidRPr="004B5B24">
        <w:t>Klimapfade</w:t>
      </w:r>
      <w:proofErr w:type="gramEnd"/>
      <w:r w:rsidRPr="004B5B24">
        <w:t xml:space="preserve"> 2.0 2021</w:t>
      </w:r>
      <w:r>
        <w:t>:</w:t>
      </w:r>
      <w:r w:rsidRPr="004B5B24">
        <w:t xml:space="preserve"> </w:t>
      </w:r>
      <w:r>
        <w:t>102</w:t>
      </w:r>
      <w:bookmarkEnd w:id="92"/>
      <w:r>
        <w:t>.</w:t>
      </w:r>
    </w:p>
  </w:footnote>
  <w:footnote w:id="1733">
    <w:p w14:paraId="57D6E9E2" w14:textId="77777777" w:rsidR="0042771F" w:rsidRDefault="0042771F" w:rsidP="0042771F">
      <w:pPr>
        <w:pStyle w:val="Funotentext"/>
      </w:pPr>
      <w:r>
        <w:rPr>
          <w:rStyle w:val="Funotenzeichen"/>
        </w:rPr>
        <w:footnoteRef/>
      </w:r>
      <w:r>
        <w:t xml:space="preserve"> </w:t>
      </w:r>
      <w:proofErr w:type="gramStart"/>
      <w:r w:rsidRPr="0053611C">
        <w:t>BMWK Leitmärkte</w:t>
      </w:r>
      <w:proofErr w:type="gramEnd"/>
      <w:r w:rsidRPr="0053611C">
        <w:t xml:space="preserve"> für klimafreundliche Grundstoffe 2024: </w:t>
      </w:r>
      <w:proofErr w:type="gramStart"/>
      <w:r w:rsidRPr="0053611C">
        <w:t>BMWK Leitmärkte</w:t>
      </w:r>
      <w:proofErr w:type="gramEnd"/>
      <w:r w:rsidRPr="0053611C">
        <w:t xml:space="preserve"> für klimafreundliche Rohstoffe, BMWK Mai 2024, siehe: </w:t>
      </w:r>
      <w:hyperlink r:id="rId1330" w:history="1">
        <w:r w:rsidRPr="0053611C">
          <w:rPr>
            <w:rStyle w:val="Hyperlink"/>
          </w:rPr>
          <w:t>https://www.bmwk.de/Redaktion/DE/Publikationen/Klimaschutz/leitmaerkte-fuer-klimafreundliche-grundstoffe.html</w:t>
        </w:r>
      </w:hyperlink>
      <w:r w:rsidRPr="0053611C">
        <w:t xml:space="preserve"> - Zugegriffen: 30.04.2025</w:t>
      </w:r>
    </w:p>
  </w:footnote>
  <w:footnote w:id="1734">
    <w:p w14:paraId="428DB727" w14:textId="28B6058C" w:rsidR="0042771F" w:rsidRDefault="0042771F">
      <w:pPr>
        <w:pStyle w:val="Funotentext"/>
      </w:pPr>
      <w:r>
        <w:rPr>
          <w:rStyle w:val="Funotenzeichen"/>
        </w:rPr>
        <w:footnoteRef/>
      </w:r>
      <w:r>
        <w:t xml:space="preserve"> </w:t>
      </w:r>
      <w:proofErr w:type="gramStart"/>
      <w:r w:rsidRPr="0042771F">
        <w:t>BMWK Leitmärkte</w:t>
      </w:r>
      <w:proofErr w:type="gramEnd"/>
      <w:r w:rsidRPr="0042771F">
        <w:t xml:space="preserve"> für klimafreundliche Grundstoffe 2024</w:t>
      </w:r>
      <w:r>
        <w:t>: 39.</w:t>
      </w:r>
    </w:p>
  </w:footnote>
  <w:footnote w:id="1735">
    <w:p w14:paraId="29507715" w14:textId="77777777" w:rsidR="00112190" w:rsidRPr="00F769C8" w:rsidRDefault="00112190" w:rsidP="00112190">
      <w:pPr>
        <w:pStyle w:val="Funotentext"/>
        <w:rPr>
          <w:lang w:val="en-US"/>
        </w:rPr>
      </w:pPr>
      <w:r>
        <w:rPr>
          <w:rStyle w:val="Funotenzeichen"/>
        </w:rPr>
        <w:footnoteRef/>
      </w:r>
      <w:r w:rsidRPr="00C94072">
        <w:t xml:space="preserve"> Die bemerkt: Jonas Jansen. </w:t>
      </w:r>
      <w:proofErr w:type="spellStart"/>
      <w:r w:rsidRPr="009B2ACD">
        <w:t>Thyssenkrupps</w:t>
      </w:r>
      <w:proofErr w:type="spellEnd"/>
      <w:r w:rsidRPr="009B2ACD">
        <w:t xml:space="preserve"> große S</w:t>
      </w:r>
      <w:r>
        <w:t xml:space="preserve">tahlsorgen. </w:t>
      </w:r>
      <w:r w:rsidRPr="00F769C8">
        <w:rPr>
          <w:lang w:val="en-US"/>
        </w:rPr>
        <w:t>FAZ, 03.05.2024.</w:t>
      </w:r>
    </w:p>
  </w:footnote>
  <w:footnote w:id="1736">
    <w:p w14:paraId="5044DCEF" w14:textId="77777777" w:rsidR="00224A2F" w:rsidRDefault="00224A2F" w:rsidP="00224A2F">
      <w:pPr>
        <w:pStyle w:val="Funotentext"/>
      </w:pPr>
      <w:r>
        <w:rPr>
          <w:rStyle w:val="Funotenzeichen"/>
        </w:rPr>
        <w:footnoteRef/>
      </w:r>
      <w:r w:rsidRPr="00F769C8">
        <w:rPr>
          <w:lang w:val="en-US"/>
        </w:rPr>
        <w:t xml:space="preserve"> </w:t>
      </w:r>
      <w:proofErr w:type="spellStart"/>
      <w:r w:rsidRPr="00F769C8">
        <w:rPr>
          <w:lang w:val="en-US"/>
        </w:rPr>
        <w:t>Siehe</w:t>
      </w:r>
      <w:proofErr w:type="spellEnd"/>
      <w:r w:rsidRPr="00F769C8">
        <w:rPr>
          <w:lang w:val="en-US"/>
        </w:rPr>
        <w:t xml:space="preserve"> Barbara Pongratz. China’s emerging decarbonization toolkit, 16. </w:t>
      </w:r>
      <w:r>
        <w:t xml:space="preserve">Mai 2923, Merics: </w:t>
      </w:r>
      <w:hyperlink r:id="rId1331" w:history="1">
        <w:r w:rsidRPr="00187BF9">
          <w:rPr>
            <w:rStyle w:val="Hyperlink"/>
          </w:rPr>
          <w:t>https://merics.org/de/kommentar/chinas-emerging-decarbonization-toolkit</w:t>
        </w:r>
      </w:hyperlink>
      <w:r>
        <w:t xml:space="preserve"> - Zugegriffen: 11.04.2025.</w:t>
      </w:r>
    </w:p>
  </w:footnote>
  <w:footnote w:id="1737">
    <w:p w14:paraId="188595FC" w14:textId="7C5D748C" w:rsidR="00341A3A" w:rsidRDefault="00341A3A">
      <w:pPr>
        <w:pStyle w:val="Funotentext"/>
      </w:pPr>
      <w:r>
        <w:rPr>
          <w:rStyle w:val="Funotenzeichen"/>
        </w:rPr>
        <w:footnoteRef/>
      </w:r>
      <w:r>
        <w:t xml:space="preserve"> </w:t>
      </w:r>
      <w:r w:rsidR="00985490">
        <w:t xml:space="preserve">Siehe: </w:t>
      </w:r>
      <w:hyperlink r:id="rId1332" w:history="1">
        <w:r w:rsidR="00985490" w:rsidRPr="007C682A">
          <w:rPr>
            <w:rStyle w:val="Hyperlink"/>
          </w:rPr>
          <w:t>https://www.klimareporter.de/europaeische-union/in-der-klimaaussenpolitik-mit-dem-groessten-co2-emittenten-schwaecht-sich-die-eu-selbst</w:t>
        </w:r>
      </w:hyperlink>
      <w:r w:rsidR="00985490">
        <w:t xml:space="preserve"> - Zugegriffen: 15.05.2025. </w:t>
      </w:r>
    </w:p>
  </w:footnote>
  <w:footnote w:id="1738">
    <w:p w14:paraId="7DAB8469" w14:textId="08A44058" w:rsidR="00341A3A" w:rsidRPr="00341A3A" w:rsidRDefault="00341A3A">
      <w:pPr>
        <w:pStyle w:val="Funotentext"/>
      </w:pPr>
      <w:r>
        <w:rPr>
          <w:rStyle w:val="Funotenzeichen"/>
        </w:rPr>
        <w:footnoteRef/>
      </w:r>
      <w:r w:rsidRPr="00341A3A">
        <w:t xml:space="preserve"> Siehe </w:t>
      </w:r>
      <w:proofErr w:type="spellStart"/>
      <w:r w:rsidRPr="00341A3A">
        <w:t>DEHSt</w:t>
      </w:r>
      <w:proofErr w:type="spellEnd"/>
      <w:r w:rsidRPr="00341A3A">
        <w:t xml:space="preserve"> Linking </w:t>
      </w:r>
      <w:proofErr w:type="spellStart"/>
      <w:r w:rsidRPr="00341A3A">
        <w:t>Emissions</w:t>
      </w:r>
      <w:proofErr w:type="spellEnd"/>
      <w:r w:rsidRPr="00341A3A">
        <w:t xml:space="preserve"> Trading Sch</w:t>
      </w:r>
      <w:r>
        <w:t xml:space="preserve">emes: </w:t>
      </w:r>
      <w:hyperlink r:id="rId1333" w:anchor="doc283556bodyText2" w:history="1">
        <w:r w:rsidRPr="007C682A">
          <w:rPr>
            <w:rStyle w:val="Hyperlink"/>
          </w:rPr>
          <w:t>https://www.dehst.de/DE/Themen/EU-ETS-1/EU-ETS-1-Informationen/Internationales/internationales_node.html#doc283556bodyText2</w:t>
        </w:r>
      </w:hyperlink>
      <w:r>
        <w:t xml:space="preserve"> – Zugegriffen: 15.05.2025. </w:t>
      </w:r>
    </w:p>
  </w:footnote>
  <w:footnote w:id="1739">
    <w:p w14:paraId="09D4D439" w14:textId="77777777" w:rsidR="00872F84" w:rsidRPr="00C915F5" w:rsidRDefault="00872F84" w:rsidP="00872F84">
      <w:pPr>
        <w:pStyle w:val="Funotentext"/>
      </w:pPr>
      <w:r>
        <w:rPr>
          <w:rStyle w:val="Funotenzeichen"/>
        </w:rPr>
        <w:footnoteRef/>
      </w:r>
      <w:r w:rsidRPr="00C915F5">
        <w:rPr>
          <w:lang w:val="en-GB"/>
        </w:rPr>
        <w:t xml:space="preserve"> </w:t>
      </w:r>
      <w:r>
        <w:rPr>
          <w:lang w:val="en-GB"/>
        </w:rPr>
        <w:t xml:space="preserve">S. 104, </w:t>
      </w:r>
      <w:proofErr w:type="spellStart"/>
      <w:r>
        <w:rPr>
          <w:lang w:val="en-GB"/>
        </w:rPr>
        <w:t>s</w:t>
      </w:r>
      <w:r w:rsidRPr="00AC5312">
        <w:rPr>
          <w:lang w:val="en-GB"/>
        </w:rPr>
        <w:t>iehe</w:t>
      </w:r>
      <w:proofErr w:type="spellEnd"/>
      <w:r>
        <w:rPr>
          <w:lang w:val="en-GB"/>
        </w:rPr>
        <w:t>:</w:t>
      </w:r>
      <w:r w:rsidRPr="00AC5312">
        <w:rPr>
          <w:lang w:val="en-GB"/>
        </w:rPr>
        <w:t xml:space="preserve"> The future of European co</w:t>
      </w:r>
      <w:r>
        <w:rPr>
          <w:lang w:val="en-GB"/>
        </w:rPr>
        <w:t xml:space="preserve">mpetitiveness, Part B In-dept analysis and recommendations. </w:t>
      </w:r>
      <w:r w:rsidRPr="00C915F5">
        <w:t xml:space="preserve">September 2024: </w:t>
      </w:r>
      <w:hyperlink r:id="rId1334" w:history="1">
        <w:r w:rsidRPr="00C915F5">
          <w:rPr>
            <w:rStyle w:val="Hyperlink"/>
          </w:rPr>
          <w:t>https://commission.europa.eu/topics/eu-competitiveness/draghi-report_en</w:t>
        </w:r>
      </w:hyperlink>
      <w:r w:rsidRPr="00C915F5">
        <w:t xml:space="preserve"> - Zugegriffen: 15.05.2025.</w:t>
      </w:r>
    </w:p>
  </w:footnote>
  <w:footnote w:id="1740">
    <w:p w14:paraId="6823C754" w14:textId="77777777" w:rsidR="00112190" w:rsidRDefault="00112190" w:rsidP="00112190">
      <w:pPr>
        <w:pStyle w:val="Funotentext"/>
      </w:pPr>
      <w:r>
        <w:rPr>
          <w:rStyle w:val="Funotenzeichen"/>
        </w:rPr>
        <w:footnoteRef/>
      </w:r>
      <w:r>
        <w:t xml:space="preserve"> </w:t>
      </w:r>
      <w:proofErr w:type="spellStart"/>
      <w:r>
        <w:t>Pirstner</w:t>
      </w:r>
      <w:proofErr w:type="spellEnd"/>
      <w:r>
        <w:t>-Ebner 2022: 22.</w:t>
      </w:r>
    </w:p>
  </w:footnote>
  <w:footnote w:id="1741">
    <w:p w14:paraId="3FA2D8F4" w14:textId="77777777" w:rsidR="00112190" w:rsidRDefault="00112190" w:rsidP="00112190">
      <w:pPr>
        <w:pStyle w:val="Funotentext"/>
      </w:pPr>
      <w:r>
        <w:rPr>
          <w:rStyle w:val="Funotenzeichen"/>
        </w:rPr>
        <w:footnoteRef/>
      </w:r>
      <w:r>
        <w:t xml:space="preserve"> </w:t>
      </w:r>
      <w:proofErr w:type="spellStart"/>
      <w:r>
        <w:t>Pirstner</w:t>
      </w:r>
      <w:proofErr w:type="spellEnd"/>
      <w:r>
        <w:t>-Ebner 2022: 22-24.</w:t>
      </w:r>
    </w:p>
  </w:footnote>
  <w:footnote w:id="1742">
    <w:p w14:paraId="6569D0A5" w14:textId="77777777" w:rsidR="00112190" w:rsidRDefault="00112190" w:rsidP="00112190">
      <w:pPr>
        <w:pStyle w:val="Funotentext"/>
      </w:pPr>
      <w:r>
        <w:rPr>
          <w:rStyle w:val="Funotenzeichen"/>
        </w:rPr>
        <w:footnoteRef/>
      </w:r>
      <w:r>
        <w:t xml:space="preserve"> Siehe: </w:t>
      </w:r>
      <w:hyperlink r:id="rId1335" w:history="1">
        <w:r w:rsidRPr="00CB7CC8">
          <w:rPr>
            <w:rStyle w:val="Hyperlink"/>
          </w:rPr>
          <w:t>https://eudsoentity.eu/</w:t>
        </w:r>
      </w:hyperlink>
    </w:p>
  </w:footnote>
  <w:footnote w:id="1743">
    <w:p w14:paraId="27763923" w14:textId="77777777" w:rsidR="00112190" w:rsidRDefault="00112190" w:rsidP="00112190">
      <w:pPr>
        <w:pStyle w:val="Funotentext"/>
      </w:pPr>
      <w:r>
        <w:rPr>
          <w:rStyle w:val="Funotenzeichen"/>
        </w:rPr>
        <w:footnoteRef/>
      </w:r>
      <w:r>
        <w:t xml:space="preserve"> </w:t>
      </w:r>
      <w:proofErr w:type="spellStart"/>
      <w:r>
        <w:t>Pirstner</w:t>
      </w:r>
      <w:proofErr w:type="spellEnd"/>
      <w:r>
        <w:t>-Ebner 2022: 22-24.</w:t>
      </w:r>
    </w:p>
  </w:footnote>
  <w:footnote w:id="1744">
    <w:p w14:paraId="7D7ABC77" w14:textId="77777777" w:rsidR="00112190" w:rsidRDefault="00112190" w:rsidP="00112190">
      <w:pPr>
        <w:pStyle w:val="Funotentext"/>
      </w:pPr>
      <w:r>
        <w:rPr>
          <w:rStyle w:val="Funotenzeichen"/>
        </w:rPr>
        <w:footnoteRef/>
      </w:r>
      <w:r>
        <w:t xml:space="preserve"> </w:t>
      </w:r>
      <w:r w:rsidRPr="008E284F">
        <w:t>BMWK, Die Energie der Zukunft, 8. Monitoring Bericht zur Energiewende, Berichtsjahre 2018 und 2019, Stand 2021: 2</w:t>
      </w:r>
      <w:r>
        <w:t>4</w:t>
      </w:r>
      <w:r w:rsidRPr="008E284F">
        <w:t>.</w:t>
      </w:r>
    </w:p>
  </w:footnote>
  <w:footnote w:id="1745">
    <w:p w14:paraId="2CE89A9C" w14:textId="29AD661A" w:rsidR="00C24FE8" w:rsidRDefault="00C24FE8">
      <w:pPr>
        <w:pStyle w:val="Funotentext"/>
      </w:pPr>
      <w:r>
        <w:rPr>
          <w:rStyle w:val="Funotenzeichen"/>
        </w:rPr>
        <w:footnoteRef/>
      </w:r>
      <w:r>
        <w:t xml:space="preserve"> Siehe: </w:t>
      </w:r>
      <w:hyperlink r:id="rId1336" w:history="1">
        <w:r w:rsidRPr="0050727D">
          <w:rPr>
            <w:rStyle w:val="Hyperlink"/>
          </w:rPr>
          <w:t>https://www.acer.europa.eu/</w:t>
        </w:r>
      </w:hyperlink>
      <w:r>
        <w:t xml:space="preserve"> </w:t>
      </w:r>
    </w:p>
  </w:footnote>
  <w:footnote w:id="1746">
    <w:p w14:paraId="0089B747" w14:textId="57D0CFD7" w:rsidR="00C24FE8" w:rsidRDefault="00C24FE8">
      <w:pPr>
        <w:pStyle w:val="Funotentext"/>
      </w:pPr>
      <w:r>
        <w:rPr>
          <w:rStyle w:val="Funotenzeichen"/>
        </w:rPr>
        <w:footnoteRef/>
      </w:r>
      <w:r>
        <w:t xml:space="preserve"> Siehe: </w:t>
      </w:r>
      <w:hyperlink r:id="rId1337" w:history="1">
        <w:r w:rsidRPr="0050727D">
          <w:rPr>
            <w:rStyle w:val="Hyperlink"/>
          </w:rPr>
          <w:t>https://www.acer.europa.eu/remit/about-remit/remit-periodic-reports</w:t>
        </w:r>
      </w:hyperlink>
      <w:r>
        <w:t xml:space="preserve"> - Zugegriffen: 09.06.2025. </w:t>
      </w:r>
    </w:p>
  </w:footnote>
  <w:footnote w:id="1747">
    <w:p w14:paraId="689D2FBE" w14:textId="77777777" w:rsidR="00112190" w:rsidRPr="004D52B5" w:rsidRDefault="00112190" w:rsidP="00112190">
      <w:pPr>
        <w:pStyle w:val="Funotentext"/>
      </w:pPr>
      <w:r>
        <w:rPr>
          <w:rStyle w:val="Funotenzeichen"/>
        </w:rPr>
        <w:footnoteRef/>
      </w:r>
      <w:r w:rsidRPr="004D52B5">
        <w:t xml:space="preserve"> EU Reform des Energiemarktes, </w:t>
      </w:r>
      <w:r>
        <w:t xml:space="preserve">siehe: </w:t>
      </w:r>
      <w:hyperlink r:id="rId1338" w:history="1">
        <w:r w:rsidRPr="0088482B">
          <w:rPr>
            <w:rStyle w:val="Hyperlink"/>
          </w:rPr>
          <w:t>https://www.consilium.europa.eu/de/policies/electricity-market-reform/</w:t>
        </w:r>
      </w:hyperlink>
      <w:r>
        <w:t xml:space="preserve"> - </w:t>
      </w:r>
      <w:hyperlink r:id="rId1339" w:history="1">
        <w:r w:rsidRPr="0088482B">
          <w:rPr>
            <w:rStyle w:val="Hyperlink"/>
          </w:rPr>
          <w:t>https://www.consilium.europa.eu/de/infographics/how-is-eu-electricity-produced-and-sold/</w:t>
        </w:r>
      </w:hyperlink>
      <w:r>
        <w:t xml:space="preserve"> - Zugegriffen: 03.11.2023. </w:t>
      </w:r>
    </w:p>
  </w:footnote>
  <w:footnote w:id="1748">
    <w:p w14:paraId="713D7871" w14:textId="77777777" w:rsidR="00112190" w:rsidRPr="004D52B5" w:rsidRDefault="00112190" w:rsidP="00112190">
      <w:pPr>
        <w:pStyle w:val="Funotentext"/>
      </w:pPr>
      <w:r>
        <w:rPr>
          <w:rStyle w:val="Funotenzeichen"/>
        </w:rPr>
        <w:footnoteRef/>
      </w:r>
      <w:r w:rsidRPr="004D52B5">
        <w:t xml:space="preserve"> Si</w:t>
      </w:r>
      <w:r>
        <w:t xml:space="preserve">ehe: Pressemitteilung, 17. Oktober 2023: </w:t>
      </w:r>
      <w:hyperlink r:id="rId1340" w:history="1">
        <w:r w:rsidRPr="0088482B">
          <w:rPr>
            <w:rStyle w:val="Hyperlink"/>
          </w:rPr>
          <w:t>https://www.consilium.europa.eu/de/press/press-releases/2023/10/17/reform-of-electricity-market-design-council-reaches-agreement/</w:t>
        </w:r>
      </w:hyperlink>
      <w:r>
        <w:t xml:space="preserve"> - Zugegriffen: 13.11.2023. </w:t>
      </w:r>
    </w:p>
  </w:footnote>
  <w:footnote w:id="1749">
    <w:p w14:paraId="5E4280E2" w14:textId="77777777" w:rsidR="00112190" w:rsidRPr="009E188F" w:rsidRDefault="00112190" w:rsidP="00112190">
      <w:pPr>
        <w:pStyle w:val="Funotentext"/>
      </w:pPr>
      <w:r>
        <w:rPr>
          <w:rStyle w:val="Funotenzeichen"/>
        </w:rPr>
        <w:footnoteRef/>
      </w:r>
      <w:r w:rsidRPr="009E188F">
        <w:t xml:space="preserve"> Si</w:t>
      </w:r>
      <w:r>
        <w:t xml:space="preserve">ehe </w:t>
      </w:r>
      <w:proofErr w:type="spellStart"/>
      <w:r>
        <w:t>Stellungsnahme</w:t>
      </w:r>
      <w:proofErr w:type="spellEnd"/>
      <w:r>
        <w:t xml:space="preserve"> Deutscher Naturschutzring, 19.10.2023. In: </w:t>
      </w:r>
      <w:hyperlink r:id="rId1341" w:history="1">
        <w:r w:rsidRPr="0088482B">
          <w:rPr>
            <w:rStyle w:val="Hyperlink"/>
          </w:rPr>
          <w:t>https://www.dnr.de/aktuelles-termine/aktuelles/eu-rat-erzielt-einigung-ueber-strommarkt-reform</w:t>
        </w:r>
      </w:hyperlink>
      <w:r>
        <w:t xml:space="preserve"> - Zugegriffen: 13.11.2023.</w:t>
      </w:r>
    </w:p>
  </w:footnote>
  <w:footnote w:id="1750">
    <w:p w14:paraId="3857456E" w14:textId="77777777" w:rsidR="00112190" w:rsidRDefault="00112190" w:rsidP="00112190">
      <w:pPr>
        <w:pStyle w:val="Funotentext"/>
      </w:pPr>
      <w:r>
        <w:rPr>
          <w:rStyle w:val="Funotenzeichen"/>
        </w:rPr>
        <w:footnoteRef/>
      </w:r>
      <w:r>
        <w:t xml:space="preserve"> </w:t>
      </w:r>
      <w:bookmarkStart w:id="94" w:name="_Hlk155117718"/>
      <w:r>
        <w:t>BMWK, Die Energie der Zukunft, 8. Monitoring Bericht zur Energiewende, Berichtsjahre 2018 und 2019, Stand 2021: 23.</w:t>
      </w:r>
    </w:p>
    <w:bookmarkEnd w:id="94"/>
  </w:footnote>
  <w:footnote w:id="1751">
    <w:p w14:paraId="070F52F3" w14:textId="77777777" w:rsidR="00112190" w:rsidRDefault="00112190" w:rsidP="00112190">
      <w:pPr>
        <w:pStyle w:val="Funotentext"/>
      </w:pPr>
      <w:r>
        <w:rPr>
          <w:rStyle w:val="Funotenzeichen"/>
        </w:rPr>
        <w:footnoteRef/>
      </w:r>
      <w:r>
        <w:t xml:space="preserve"> Zu diesem gesamten Abschnitt siehe: </w:t>
      </w:r>
      <w:r w:rsidRPr="00365C2E">
        <w:t xml:space="preserve">BMWK, Die Energie der Zukunft, 8. Monitoring Bericht zur Energiewende, Berichtsjahre 2018 und 2019, Stand 2021: </w:t>
      </w:r>
      <w:r>
        <w:t>33-35</w:t>
      </w:r>
      <w:r w:rsidRPr="00365C2E">
        <w:t>.</w:t>
      </w:r>
    </w:p>
  </w:footnote>
  <w:footnote w:id="1752">
    <w:p w14:paraId="45576F90" w14:textId="5081E247" w:rsidR="00C24FE8" w:rsidRDefault="00C24FE8">
      <w:pPr>
        <w:pStyle w:val="Funotentext"/>
      </w:pPr>
      <w:r>
        <w:rPr>
          <w:rStyle w:val="Funotenzeichen"/>
        </w:rPr>
        <w:footnoteRef/>
      </w:r>
      <w:r>
        <w:t xml:space="preserve"> Hanna Decker, Hendrik Kafsack. Fünf verschiedene Strompreise in Deutschland? FAZ, 30.04.2025. </w:t>
      </w:r>
    </w:p>
  </w:footnote>
  <w:footnote w:id="1753">
    <w:p w14:paraId="46BD64EB" w14:textId="71CAC04D" w:rsidR="00C24FE8" w:rsidRDefault="00C24FE8">
      <w:pPr>
        <w:pStyle w:val="Funotentext"/>
      </w:pPr>
      <w:r>
        <w:rPr>
          <w:rStyle w:val="Funotenzeichen"/>
        </w:rPr>
        <w:footnoteRef/>
      </w:r>
      <w:r>
        <w:t xml:space="preserve"> </w:t>
      </w:r>
      <w:r w:rsidR="00896DB5">
        <w:t xml:space="preserve">Hanna Decker, Hendrik Kafsack. Fünf verschiedene Strompreise in Deutschland? FAZ, 30.04.2025. Ich finde nicht direkt auf der </w:t>
      </w:r>
      <w:proofErr w:type="gramStart"/>
      <w:r w:rsidR="00896DB5">
        <w:t>ACER Webseite</w:t>
      </w:r>
      <w:proofErr w:type="gramEnd"/>
      <w:r w:rsidR="00896DB5">
        <w:t xml:space="preserve"> den richtigen Link dazu: </w:t>
      </w:r>
      <w:r>
        <w:t xml:space="preserve">Siehe: </w:t>
      </w:r>
      <w:hyperlink r:id="rId1342" w:history="1">
        <w:r w:rsidRPr="0050727D">
          <w:rPr>
            <w:rStyle w:val="Hyperlink"/>
          </w:rPr>
          <w:t>https://www.acer.europa.eu/</w:t>
        </w:r>
      </w:hyperlink>
      <w:r>
        <w:t xml:space="preserve"> - Zugegriffen: 09.06.2025. </w:t>
      </w:r>
    </w:p>
  </w:footnote>
  <w:footnote w:id="1754">
    <w:p w14:paraId="71EDDA6A" w14:textId="77777777" w:rsidR="00112190" w:rsidRDefault="00112190" w:rsidP="00112190">
      <w:pPr>
        <w:pStyle w:val="Funotentext"/>
      </w:pPr>
      <w:r>
        <w:rPr>
          <w:rStyle w:val="Funotenzeichen"/>
        </w:rPr>
        <w:footnoteRef/>
      </w:r>
      <w:r>
        <w:t xml:space="preserve"> Wissenschaftliche Dienste 2022: 4.</w:t>
      </w:r>
    </w:p>
  </w:footnote>
  <w:footnote w:id="1755">
    <w:p w14:paraId="4CE0FFCE" w14:textId="77777777" w:rsidR="00112190" w:rsidRDefault="00112190" w:rsidP="00112190">
      <w:pPr>
        <w:pStyle w:val="Funotentext"/>
      </w:pPr>
      <w:r>
        <w:rPr>
          <w:rStyle w:val="Funotenzeichen"/>
        </w:rPr>
        <w:footnoteRef/>
      </w:r>
      <w:r>
        <w:t xml:space="preserve"> Siehe: </w:t>
      </w:r>
      <w:hyperlink r:id="rId1343" w:history="1">
        <w:r w:rsidRPr="00CB7CC8">
          <w:rPr>
            <w:rStyle w:val="Hyperlink"/>
          </w:rPr>
          <w:t>https://ec.europa.eu/sustainable-finance-taxonomy/</w:t>
        </w:r>
      </w:hyperlink>
    </w:p>
  </w:footnote>
  <w:footnote w:id="1756">
    <w:p w14:paraId="6EC25FDE" w14:textId="77777777" w:rsidR="00112190" w:rsidRDefault="00112190" w:rsidP="00112190">
      <w:pPr>
        <w:pStyle w:val="Funotentext"/>
      </w:pPr>
      <w:r>
        <w:rPr>
          <w:rStyle w:val="Funotenzeichen"/>
        </w:rPr>
        <w:footnoteRef/>
      </w:r>
      <w:r>
        <w:t xml:space="preserve"> Siehe: </w:t>
      </w:r>
      <w:hyperlink r:id="rId1344" w:history="1">
        <w:r w:rsidRPr="00D76C6A">
          <w:rPr>
            <w:rStyle w:val="Hyperlink"/>
          </w:rPr>
          <w:t>https://ec.europa.eu/sustainable-finance-taxonomy/assets/documents/Taxonomy%20User%20Guide.pdf</w:t>
        </w:r>
      </w:hyperlink>
      <w:r>
        <w:t xml:space="preserve"> – Zugegriffen: 26.12.2023. </w:t>
      </w:r>
    </w:p>
  </w:footnote>
  <w:footnote w:id="1757">
    <w:p w14:paraId="2D273971" w14:textId="52945E07" w:rsidR="00000AC7" w:rsidRPr="00000AC7" w:rsidRDefault="00000AC7">
      <w:pPr>
        <w:pStyle w:val="Funotentext"/>
      </w:pPr>
      <w:r>
        <w:rPr>
          <w:rStyle w:val="Funotenzeichen"/>
        </w:rPr>
        <w:footnoteRef/>
      </w:r>
      <w:r w:rsidRPr="00000AC7">
        <w:t xml:space="preserve"> </w:t>
      </w:r>
      <w:r>
        <w:t xml:space="preserve">Siehe: </w:t>
      </w:r>
      <w:hyperlink r:id="rId1345" w:history="1">
        <w:r w:rsidRPr="007C682A">
          <w:rPr>
            <w:rStyle w:val="Hyperlink"/>
          </w:rPr>
          <w:t>https://eur-lex.europa.eu/legal-content/DE/TXT/PDF/?uri=CELEX:52021XC1230(02)</w:t>
        </w:r>
      </w:hyperlink>
      <w:r>
        <w:t xml:space="preserve"> – Zugegriffen: 15.05.2025. </w:t>
      </w:r>
    </w:p>
  </w:footnote>
  <w:footnote w:id="1758">
    <w:p w14:paraId="111C69DC" w14:textId="7379937F" w:rsidR="00353F84" w:rsidRDefault="00353F84">
      <w:pPr>
        <w:pStyle w:val="Funotentext"/>
      </w:pPr>
      <w:r>
        <w:rPr>
          <w:rStyle w:val="Funotenzeichen"/>
        </w:rPr>
        <w:footnoteRef/>
      </w:r>
      <w:r>
        <w:t xml:space="preserve"> Beispiel die European Hydrogen Alliance: </w:t>
      </w:r>
      <w:hyperlink r:id="rId1346" w:history="1">
        <w:r w:rsidRPr="004D34B9">
          <w:rPr>
            <w:rStyle w:val="Hyperlink"/>
          </w:rPr>
          <w:t>https://single-market-economy.ec.europa.eu/industry/industrial-alliances/european-clean-hydrogen-alliance/roundtables-european-clean-hydrogen-alliance_en</w:t>
        </w:r>
      </w:hyperlink>
      <w:r>
        <w:t xml:space="preserve"> </w:t>
      </w:r>
    </w:p>
  </w:footnote>
  <w:footnote w:id="1759">
    <w:p w14:paraId="617B0E8C" w14:textId="77777777" w:rsidR="00C35BE1" w:rsidRPr="00D46379" w:rsidRDefault="00C35BE1" w:rsidP="00C35BE1">
      <w:pPr>
        <w:pStyle w:val="Funotentext"/>
      </w:pPr>
      <w:r>
        <w:rPr>
          <w:rStyle w:val="Funotenzeichen"/>
        </w:rPr>
        <w:footnoteRef/>
      </w:r>
      <w:r w:rsidRPr="00D46379">
        <w:t xml:space="preserve"> Solarcharta: </w:t>
      </w:r>
      <w:hyperlink r:id="rId1347" w:history="1">
        <w:r w:rsidRPr="00D46379">
          <w:rPr>
            <w:rStyle w:val="Hyperlink"/>
          </w:rPr>
          <w:t>https://energy.ec.europa.eu/topics/renewable-energy/solar-energy/european-solar-charter_en</w:t>
        </w:r>
      </w:hyperlink>
      <w:r w:rsidRPr="00D46379">
        <w:t xml:space="preserve"> - Zu</w:t>
      </w:r>
      <w:r>
        <w:t xml:space="preserve">gegriffen: 18.05.12025. </w:t>
      </w:r>
    </w:p>
  </w:footnote>
  <w:footnote w:id="1760">
    <w:p w14:paraId="68561457" w14:textId="77777777" w:rsidR="00C35BE1" w:rsidRDefault="00C35BE1" w:rsidP="00C35BE1">
      <w:pPr>
        <w:pStyle w:val="Funotentext"/>
      </w:pPr>
      <w:r>
        <w:rPr>
          <w:rStyle w:val="Funotenzeichen"/>
        </w:rPr>
        <w:footnoteRef/>
      </w:r>
      <w:r>
        <w:t xml:space="preserve"> Windkraftcharta: </w:t>
      </w:r>
      <w:hyperlink r:id="rId1348" w:history="1">
        <w:r w:rsidRPr="004D34B9">
          <w:rPr>
            <w:rStyle w:val="Hyperlink"/>
          </w:rPr>
          <w:t>https://energy.ec.europa.eu/system/files/2023-12/Charter_logos_final_02.pdf</w:t>
        </w:r>
      </w:hyperlink>
      <w:r>
        <w:t xml:space="preserve"> - Zugegriffen: 18.05.2015.</w:t>
      </w:r>
    </w:p>
  </w:footnote>
  <w:footnote w:id="1761">
    <w:p w14:paraId="377E911D" w14:textId="50F82B63" w:rsidR="00F62895" w:rsidRPr="00F62895" w:rsidRDefault="00F62895">
      <w:pPr>
        <w:pStyle w:val="Funotentext"/>
      </w:pPr>
      <w:r>
        <w:rPr>
          <w:rStyle w:val="Funotenzeichen"/>
        </w:rPr>
        <w:footnoteRef/>
      </w:r>
      <w:r w:rsidRPr="00F62895">
        <w:t xml:space="preserve"> Siehe z.B. </w:t>
      </w:r>
      <w:r>
        <w:t>das Magazin Wir der Industrie- und Handelskammer Rostock, Erneuerbare Energie aus MV, 2/2025.</w:t>
      </w:r>
    </w:p>
  </w:footnote>
  <w:footnote w:id="1762">
    <w:p w14:paraId="2163B41B" w14:textId="77777777" w:rsidR="003876A1" w:rsidRPr="00631BC5" w:rsidRDefault="003876A1" w:rsidP="003876A1">
      <w:pPr>
        <w:pStyle w:val="Funotentext"/>
      </w:pPr>
      <w:r>
        <w:rPr>
          <w:rStyle w:val="Funotenzeichen"/>
        </w:rPr>
        <w:footnoteRef/>
      </w:r>
      <w:r w:rsidRPr="00631BC5">
        <w:rPr>
          <w:lang w:val="en-GB"/>
        </w:rPr>
        <w:t xml:space="preserve"> List of Member State measures approved under Temporary Crisis Transition Framework, 22. </w:t>
      </w:r>
      <w:proofErr w:type="spellStart"/>
      <w:r w:rsidRPr="00631BC5">
        <w:t>January</w:t>
      </w:r>
      <w:proofErr w:type="spellEnd"/>
      <w:r w:rsidRPr="00631BC5">
        <w:t xml:space="preserve"> 2024: </w:t>
      </w:r>
      <w:hyperlink r:id="rId1349" w:history="1">
        <w:r w:rsidRPr="00631BC5">
          <w:rPr>
            <w:rStyle w:val="Hyperlink"/>
          </w:rPr>
          <w:t>https://competition-policy.ec.europa.eu/system/files/2023-12/State_aid_TCTF_decisions.pdf</w:t>
        </w:r>
      </w:hyperlink>
      <w:r w:rsidRPr="00631BC5">
        <w:t xml:space="preserve"> - Zu</w:t>
      </w:r>
      <w:r>
        <w:t xml:space="preserve">gegriffen: 30.01.2024. </w:t>
      </w:r>
    </w:p>
  </w:footnote>
  <w:footnote w:id="1763">
    <w:p w14:paraId="09014109" w14:textId="77777777" w:rsidR="003876A1" w:rsidRPr="00916767" w:rsidRDefault="003876A1" w:rsidP="003876A1">
      <w:pPr>
        <w:pStyle w:val="Funotentext"/>
      </w:pPr>
      <w:r>
        <w:rPr>
          <w:rStyle w:val="Funotenzeichen"/>
        </w:rPr>
        <w:footnoteRef/>
      </w:r>
      <w:r w:rsidRPr="00916767">
        <w:t xml:space="preserve"> Siehe: </w:t>
      </w:r>
      <w:hyperlink r:id="rId1350" w:history="1">
        <w:r w:rsidRPr="007641E9">
          <w:rPr>
            <w:rStyle w:val="Hyperlink"/>
          </w:rPr>
          <w:t>https://ec.europa.eu/commission/presscorner/detail/en/qanda_23_6048</w:t>
        </w:r>
      </w:hyperlink>
      <w:r>
        <w:t xml:space="preserve"> - Zugegriffen: 29.01.2024.</w:t>
      </w:r>
    </w:p>
  </w:footnote>
  <w:footnote w:id="1764">
    <w:p w14:paraId="1028A5DA" w14:textId="77777777" w:rsidR="003876A1" w:rsidRPr="00916767" w:rsidRDefault="003876A1" w:rsidP="003876A1">
      <w:pPr>
        <w:pStyle w:val="Funotentext"/>
      </w:pPr>
      <w:r>
        <w:rPr>
          <w:rStyle w:val="Funotenzeichen"/>
        </w:rPr>
        <w:footnoteRef/>
      </w:r>
      <w:r w:rsidRPr="00916767">
        <w:t xml:space="preserve"> Siehe die Liste: </w:t>
      </w:r>
      <w:hyperlink r:id="rId1351" w:history="1">
        <w:r w:rsidRPr="007641E9">
          <w:rPr>
            <w:rStyle w:val="Hyperlink"/>
          </w:rPr>
          <w:t>https://eur-lex.europa.eu/legal-content/EN/TXT/?uri=PI_COM:C(2023)7930</w:t>
        </w:r>
      </w:hyperlink>
      <w:r>
        <w:t xml:space="preserve"> – Zugegriffen: 29.01.2024.</w:t>
      </w:r>
    </w:p>
  </w:footnote>
  <w:footnote w:id="1765">
    <w:p w14:paraId="026F5CCA" w14:textId="77777777" w:rsidR="003876A1" w:rsidRDefault="003876A1" w:rsidP="003876A1">
      <w:pPr>
        <w:pStyle w:val="Funotentext"/>
      </w:pPr>
      <w:r>
        <w:rPr>
          <w:rStyle w:val="Funotenzeichen"/>
        </w:rPr>
        <w:footnoteRef/>
      </w:r>
      <w:r>
        <w:t xml:space="preserve"> Siehe Info vom 20.12.2023: </w:t>
      </w:r>
      <w:hyperlink r:id="rId1352" w:history="1">
        <w:r w:rsidRPr="00E92795">
          <w:rPr>
            <w:rStyle w:val="Hyperlink"/>
          </w:rPr>
          <w:t>https://ec.europa.eu/commission/presscorner/detail/en/IP_23_6644</w:t>
        </w:r>
      </w:hyperlink>
      <w:r>
        <w:t xml:space="preserve"> - Zugegriffen: 26.12.2023.</w:t>
      </w:r>
    </w:p>
  </w:footnote>
  <w:footnote w:id="1766">
    <w:p w14:paraId="05475487" w14:textId="77777777" w:rsidR="003876A1" w:rsidRPr="007B4FEE" w:rsidRDefault="003876A1" w:rsidP="003876A1">
      <w:pPr>
        <w:pStyle w:val="Funotentext"/>
      </w:pPr>
      <w:r>
        <w:rPr>
          <w:rStyle w:val="Funotenzeichen"/>
        </w:rPr>
        <w:footnoteRef/>
      </w:r>
      <w:r w:rsidRPr="007B4FEE">
        <w:t xml:space="preserve"> </w:t>
      </w:r>
      <w:r>
        <w:t xml:space="preserve">Präsentation Wasserstoffprojekte für die European Hydrogen Week 2023: </w:t>
      </w:r>
      <w:hyperlink r:id="rId1353" w:history="1">
        <w:r w:rsidRPr="007641E9">
          <w:rPr>
            <w:rStyle w:val="Hyperlink"/>
          </w:rPr>
          <w:t>https://cinea.ec.europa.eu/system/files/2023-11/Hydrogen%20Week%20-%20CINEA%20projects_website_0.pdf</w:t>
        </w:r>
      </w:hyperlink>
      <w:r>
        <w:t xml:space="preserve"> – Zugegriffen: 29.01.2024. </w:t>
      </w:r>
    </w:p>
  </w:footnote>
  <w:footnote w:id="1767">
    <w:p w14:paraId="1C8279CB" w14:textId="77777777" w:rsidR="003876A1" w:rsidRPr="000C2AE0" w:rsidRDefault="003876A1" w:rsidP="003876A1">
      <w:pPr>
        <w:pStyle w:val="Funotentext"/>
        <w:rPr>
          <w:lang w:val="nl-NL"/>
        </w:rPr>
      </w:pPr>
      <w:r>
        <w:rPr>
          <w:rStyle w:val="Funotenzeichen"/>
        </w:rPr>
        <w:footnoteRef/>
      </w:r>
      <w:r w:rsidRPr="000C2AE0">
        <w:rPr>
          <w:lang w:val="nl-NL"/>
        </w:rPr>
        <w:t xml:space="preserve"> </w:t>
      </w:r>
      <w:r w:rsidRPr="000C2AE0">
        <w:rPr>
          <w:lang w:val="nl-NL"/>
        </w:rPr>
        <w:t xml:space="preserve">European Hydrogen Week: </w:t>
      </w:r>
      <w:hyperlink r:id="rId1354" w:history="1">
        <w:r w:rsidRPr="000C2AE0">
          <w:rPr>
            <w:rStyle w:val="Hyperlink"/>
            <w:lang w:val="nl-NL"/>
          </w:rPr>
          <w:t>https://euhydrogenweek.eu/</w:t>
        </w:r>
      </w:hyperlink>
    </w:p>
  </w:footnote>
  <w:footnote w:id="1768">
    <w:p w14:paraId="094DC030" w14:textId="3457FA46" w:rsidR="00130912" w:rsidRDefault="00130912" w:rsidP="00130912">
      <w:pPr>
        <w:pStyle w:val="Funotentext"/>
      </w:pPr>
      <w:r>
        <w:rPr>
          <w:rStyle w:val="Funotenzeichen"/>
        </w:rPr>
        <w:footnoteRef/>
      </w:r>
      <w:r>
        <w:t xml:space="preserve"> </w:t>
      </w:r>
      <w:r w:rsidRPr="00130912">
        <w:t xml:space="preserve">Am 17.03.2025 tut sich was, in Ludwigshafen wird ein 54 Megawatt Elektrolyseur in Betrieb genommen, Jahreskapazität bis zu 8000 Tonnen Wasserstoff. Es ist ein </w:t>
      </w:r>
      <w:proofErr w:type="gramStart"/>
      <w:r w:rsidRPr="00130912">
        <w:t>PEM Elektrolyseur</w:t>
      </w:r>
      <w:proofErr w:type="gramEnd"/>
      <w:r w:rsidRPr="00130912">
        <w:t xml:space="preserve"> von Siemens, mit 72 Stacks, er wird am Wasserstoffverbundnetz des Standorts angeschlossen, es wird auch Wasserstoff für Mobilitätsprojekte bereitgestellt. Das Projekt ist ein IPCEI-Projekt namens Hy4CHem, es wurde mit bis zu 124,3 Mill. Euro insgesamt gefördert, u.a. vom BMWK und 37,5 </w:t>
      </w:r>
      <w:r>
        <w:t>Mill.</w:t>
      </w:r>
      <w:r w:rsidRPr="00130912">
        <w:t xml:space="preserve"> hat die Landesregierung Rheinland-Pfalz bezahlt. BASF hat insgesamt 25 Mill. Euro bezahlt</w:t>
      </w:r>
      <w:r>
        <w:t xml:space="preserve">. Siehe: </w:t>
      </w:r>
      <w:hyperlink r:id="rId1355" w:history="1">
        <w:r w:rsidRPr="00011C1B">
          <w:rPr>
            <w:rStyle w:val="Hyperlink"/>
          </w:rPr>
          <w:t>https://www.basf.com/global/de/media/news-releases/2025/03/p-25-046</w:t>
        </w:r>
      </w:hyperlink>
      <w:r>
        <w:t xml:space="preserve"> - Zugegriffen: 15.05.2025. </w:t>
      </w:r>
    </w:p>
  </w:footnote>
  <w:footnote w:id="1769">
    <w:p w14:paraId="0E115216" w14:textId="77777777" w:rsidR="002F1FC8" w:rsidRPr="00CA37C0" w:rsidRDefault="002F1FC8" w:rsidP="002F1FC8">
      <w:pPr>
        <w:pStyle w:val="Funotentext"/>
      </w:pPr>
      <w:r>
        <w:rPr>
          <w:rStyle w:val="Funotenzeichen"/>
        </w:rPr>
        <w:footnoteRef/>
      </w:r>
      <w:r w:rsidRPr="00951AB0">
        <w:t xml:space="preserve"> COM (2020) 21 final. </w:t>
      </w:r>
      <w:r w:rsidRPr="00CA37C0">
        <w:t xml:space="preserve">Siehe: </w:t>
      </w:r>
      <w:hyperlink r:id="rId1356" w:history="1">
        <w:r w:rsidRPr="00716F5F">
          <w:rPr>
            <w:rStyle w:val="Hyperlink"/>
          </w:rPr>
          <w:t>https://eur-lex.europa.eu/legal-content/DE/TXT/PDF/?uri=CELEX:52020DC0021</w:t>
        </w:r>
      </w:hyperlink>
      <w:r>
        <w:t xml:space="preserve"> – Zugegriffen: 28.12.2023.</w:t>
      </w:r>
    </w:p>
  </w:footnote>
  <w:footnote w:id="1770">
    <w:p w14:paraId="4986C5DF" w14:textId="77777777" w:rsidR="002F1FC8" w:rsidRDefault="002F1FC8" w:rsidP="002F1FC8">
      <w:pPr>
        <w:pStyle w:val="Funotentext"/>
      </w:pPr>
      <w:r>
        <w:rPr>
          <w:rStyle w:val="Funotenzeichen"/>
        </w:rPr>
        <w:footnoteRef/>
      </w:r>
      <w:r>
        <w:t xml:space="preserve"> Siehe: </w:t>
      </w:r>
      <w:hyperlink r:id="rId1357" w:history="1">
        <w:r w:rsidRPr="00A1629F">
          <w:rPr>
            <w:rStyle w:val="Hyperlink"/>
          </w:rPr>
          <w:t>https://ec.europa.eu/commission/presscorner/detail/en/qanda_20_24</w:t>
        </w:r>
      </w:hyperlink>
      <w:r>
        <w:t xml:space="preserve"> - Zugegriffen: 19.04.2024.</w:t>
      </w:r>
    </w:p>
  </w:footnote>
  <w:footnote w:id="1771">
    <w:p w14:paraId="51DD1984" w14:textId="3D0B81FB" w:rsidR="00425AB3" w:rsidRPr="0045135C" w:rsidRDefault="00425AB3" w:rsidP="00425AB3">
      <w:pPr>
        <w:pStyle w:val="Funotentext"/>
      </w:pPr>
      <w:r>
        <w:rPr>
          <w:rStyle w:val="Funotenzeichen"/>
        </w:rPr>
        <w:footnoteRef/>
      </w:r>
      <w:r w:rsidRPr="00425AB3">
        <w:rPr>
          <w:lang w:val="en-GB"/>
        </w:rPr>
        <w:t xml:space="preserve"> S. 64</w:t>
      </w:r>
      <w:r>
        <w:rPr>
          <w:lang w:val="en-GB"/>
        </w:rPr>
        <w:t>,</w:t>
      </w:r>
      <w:r w:rsidRPr="00425AB3">
        <w:rPr>
          <w:lang w:val="en-GB"/>
        </w:rPr>
        <w:t xml:space="preserve"> </w:t>
      </w:r>
      <w:proofErr w:type="spellStart"/>
      <w:r>
        <w:rPr>
          <w:lang w:val="en-GB"/>
        </w:rPr>
        <w:t>s</w:t>
      </w:r>
      <w:r w:rsidRPr="00AC5312">
        <w:rPr>
          <w:lang w:val="en-GB"/>
        </w:rPr>
        <w:t>iehe</w:t>
      </w:r>
      <w:proofErr w:type="spellEnd"/>
      <w:r>
        <w:rPr>
          <w:lang w:val="en-GB"/>
        </w:rPr>
        <w:t>:</w:t>
      </w:r>
      <w:r w:rsidRPr="00AC5312">
        <w:rPr>
          <w:lang w:val="en-GB"/>
        </w:rPr>
        <w:t xml:space="preserve"> The future of European co</w:t>
      </w:r>
      <w:r>
        <w:rPr>
          <w:lang w:val="en-GB"/>
        </w:rPr>
        <w:t xml:space="preserve">mpetitiveness, Part A </w:t>
      </w:r>
      <w:proofErr w:type="spellStart"/>
      <w:r>
        <w:rPr>
          <w:lang w:val="en-GB"/>
        </w:rPr>
        <w:t>A</w:t>
      </w:r>
      <w:proofErr w:type="spellEnd"/>
      <w:r>
        <w:rPr>
          <w:lang w:val="en-GB"/>
        </w:rPr>
        <w:t xml:space="preserve"> competitiveness strategy for Europe. </w:t>
      </w:r>
      <w:r w:rsidRPr="00AC5312">
        <w:t xml:space="preserve">September 2024: </w:t>
      </w:r>
      <w:hyperlink r:id="rId1358" w:history="1">
        <w:r w:rsidRPr="00AC5312">
          <w:rPr>
            <w:rStyle w:val="Hyperlink"/>
          </w:rPr>
          <w:t>https://commission.europa.eu/topics/eu-competitiveness/draghi-report_en</w:t>
        </w:r>
      </w:hyperlink>
      <w:r w:rsidRPr="00AC5312">
        <w:t xml:space="preserve"> - Zugegriffen: 15.05.2025. </w:t>
      </w:r>
    </w:p>
  </w:footnote>
  <w:footnote w:id="1772">
    <w:p w14:paraId="3109B6F5" w14:textId="78746B2A" w:rsidR="00FE37E4" w:rsidRDefault="00FE37E4">
      <w:pPr>
        <w:pStyle w:val="Funotentext"/>
      </w:pPr>
      <w:r>
        <w:rPr>
          <w:rStyle w:val="Funotenzeichen"/>
        </w:rPr>
        <w:footnoteRef/>
      </w:r>
      <w:r>
        <w:t xml:space="preserve"> Siehe: </w:t>
      </w:r>
      <w:hyperlink r:id="rId1359" w:history="1">
        <w:r w:rsidRPr="004D34B9">
          <w:rPr>
            <w:rStyle w:val="Hyperlink"/>
          </w:rPr>
          <w:t>https://www.ebrd.com/de/home.html</w:t>
        </w:r>
      </w:hyperlink>
      <w:r>
        <w:t xml:space="preserve"> </w:t>
      </w:r>
    </w:p>
  </w:footnote>
  <w:footnote w:id="1773">
    <w:p w14:paraId="49C43689" w14:textId="113DE6F0" w:rsidR="00FE37E4" w:rsidRDefault="00FE37E4">
      <w:pPr>
        <w:pStyle w:val="Funotentext"/>
      </w:pPr>
      <w:r>
        <w:rPr>
          <w:rStyle w:val="Funotenzeichen"/>
        </w:rPr>
        <w:footnoteRef/>
      </w:r>
      <w:r>
        <w:t xml:space="preserve"> Siehe: </w:t>
      </w:r>
      <w:hyperlink r:id="rId1360" w:history="1">
        <w:r w:rsidRPr="004D34B9">
          <w:rPr>
            <w:rStyle w:val="Hyperlink"/>
          </w:rPr>
          <w:t>https://www.eib.org/de/index</w:t>
        </w:r>
      </w:hyperlink>
      <w:r>
        <w:t xml:space="preserve"> </w:t>
      </w:r>
    </w:p>
  </w:footnote>
  <w:footnote w:id="1774">
    <w:p w14:paraId="1F8B0E21" w14:textId="77777777" w:rsidR="0054771A" w:rsidRDefault="0054771A" w:rsidP="0054771A">
      <w:pPr>
        <w:pStyle w:val="Funotentext"/>
      </w:pPr>
      <w:r>
        <w:rPr>
          <w:rStyle w:val="Funotenzeichen"/>
        </w:rPr>
        <w:footnoteRef/>
      </w:r>
      <w:r>
        <w:t xml:space="preserve"> Europäischer Rechnungshof, Sonderbericht 11. Die Industriepolitik der EU im Bereich Wasserstoff. 2024. Siehe: </w:t>
      </w:r>
      <w:hyperlink r:id="rId1361" w:history="1">
        <w:r w:rsidRPr="00AA613D">
          <w:rPr>
            <w:rStyle w:val="Hyperlink"/>
          </w:rPr>
          <w:t>https://www.eca.europa.eu/de/publications/SR-2024-11</w:t>
        </w:r>
      </w:hyperlink>
      <w:r>
        <w:t xml:space="preserve"> - Zugegriffen: 21.07.2024.  </w:t>
      </w:r>
    </w:p>
  </w:footnote>
  <w:footnote w:id="1775">
    <w:p w14:paraId="7E561098" w14:textId="34509E56" w:rsidR="0054771A" w:rsidRDefault="0054771A">
      <w:pPr>
        <w:pStyle w:val="Funotentext"/>
      </w:pPr>
      <w:r>
        <w:rPr>
          <w:rStyle w:val="Funotenzeichen"/>
        </w:rPr>
        <w:footnoteRef/>
      </w:r>
      <w:r>
        <w:t xml:space="preserve"> Ebd., S. 27</w:t>
      </w:r>
      <w:r w:rsidR="00E7473E">
        <w:t>, Abschnitt 27.</w:t>
      </w:r>
    </w:p>
  </w:footnote>
  <w:footnote w:id="1776">
    <w:p w14:paraId="1DFCFF35" w14:textId="1F3721C0" w:rsidR="00F5399B" w:rsidRPr="00F5399B" w:rsidRDefault="00F5399B">
      <w:pPr>
        <w:pStyle w:val="Funotentext"/>
      </w:pPr>
      <w:r>
        <w:rPr>
          <w:rStyle w:val="Funotenzeichen"/>
        </w:rPr>
        <w:footnoteRef/>
      </w:r>
      <w:r w:rsidRPr="00F5399B">
        <w:t xml:space="preserve"> </w:t>
      </w:r>
      <w:r w:rsidR="00E7473E">
        <w:t>Ebd.</w:t>
      </w:r>
      <w:r w:rsidRPr="00F5399B">
        <w:t xml:space="preserve"> </w:t>
      </w:r>
      <w:r w:rsidR="00E7473E">
        <w:t>S. 45, Abschnitt 63.</w:t>
      </w:r>
    </w:p>
  </w:footnote>
  <w:footnote w:id="1777">
    <w:p w14:paraId="50F47AAC" w14:textId="429AF799" w:rsidR="00E7473E" w:rsidRDefault="00E7473E">
      <w:pPr>
        <w:pStyle w:val="Funotentext"/>
      </w:pPr>
      <w:r>
        <w:rPr>
          <w:rStyle w:val="Funotenzeichen"/>
        </w:rPr>
        <w:footnoteRef/>
      </w:r>
      <w:r>
        <w:t xml:space="preserve"> Ebd. S. 42, Abschnitte 57-58, S. 45, Abschnitt 63.</w:t>
      </w:r>
    </w:p>
  </w:footnote>
  <w:footnote w:id="1778">
    <w:p w14:paraId="49B0D739" w14:textId="478753F9" w:rsidR="003D64B8" w:rsidRDefault="003D64B8">
      <w:pPr>
        <w:pStyle w:val="Funotentext"/>
      </w:pPr>
      <w:r>
        <w:rPr>
          <w:rStyle w:val="Funotenzeichen"/>
        </w:rPr>
        <w:footnoteRef/>
      </w:r>
      <w:r>
        <w:t xml:space="preserve"> Ebd. S. 27-28, Abschnitt 28.</w:t>
      </w:r>
    </w:p>
  </w:footnote>
  <w:footnote w:id="1779">
    <w:p w14:paraId="78452E0C" w14:textId="46A2AF7C" w:rsidR="000A7FA6" w:rsidRDefault="000A7FA6">
      <w:pPr>
        <w:pStyle w:val="Funotentext"/>
      </w:pPr>
      <w:r>
        <w:rPr>
          <w:rStyle w:val="Funotenzeichen"/>
        </w:rPr>
        <w:footnoteRef/>
      </w:r>
      <w:r>
        <w:t xml:space="preserve"> Siehe: </w:t>
      </w:r>
      <w:hyperlink r:id="rId1362" w:history="1">
        <w:r w:rsidRPr="00011C1B">
          <w:rPr>
            <w:rStyle w:val="Hyperlink"/>
          </w:rPr>
          <w:t>https://data.consilium.europa.eu/doc/document/ST-13188-2023-ADD-1-REV-3/DE/pdf</w:t>
        </w:r>
      </w:hyperlink>
      <w:r>
        <w:t xml:space="preserve"> - Zugegriffen: 15.05.2025. </w:t>
      </w:r>
    </w:p>
  </w:footnote>
  <w:footnote w:id="1780">
    <w:p w14:paraId="614900DB" w14:textId="77777777" w:rsidR="00100EB0" w:rsidRDefault="00100EB0" w:rsidP="00100EB0">
      <w:pPr>
        <w:pStyle w:val="Funotentext"/>
      </w:pPr>
      <w:r>
        <w:rPr>
          <w:rStyle w:val="Funotenzeichen"/>
        </w:rPr>
        <w:footnoteRef/>
      </w:r>
      <w:r>
        <w:t xml:space="preserve"> Ebd. S. 31, Abschnitt 35.</w:t>
      </w:r>
    </w:p>
  </w:footnote>
  <w:footnote w:id="1781">
    <w:p w14:paraId="4D1A0964" w14:textId="06001606" w:rsidR="00BF7429" w:rsidRDefault="00BF7429">
      <w:pPr>
        <w:pStyle w:val="Funotentext"/>
      </w:pPr>
      <w:r>
        <w:rPr>
          <w:rStyle w:val="Funotenzeichen"/>
        </w:rPr>
        <w:footnoteRef/>
      </w:r>
      <w:r>
        <w:t xml:space="preserve"> S. 45, Abschnitt 63, siehe: Europäischer Rechnungshof, Sonderbericht 11. Die Industriepolitik der EU im Bereich Wasserstoff. 2024. Siehe: </w:t>
      </w:r>
      <w:hyperlink r:id="rId1363" w:history="1">
        <w:r w:rsidRPr="00AA613D">
          <w:rPr>
            <w:rStyle w:val="Hyperlink"/>
          </w:rPr>
          <w:t>https://www.eca.europa.eu/de/publications/SR-2024-11</w:t>
        </w:r>
      </w:hyperlink>
      <w:r>
        <w:t xml:space="preserve"> - Zugegriffen: 21.07.2024.  </w:t>
      </w:r>
    </w:p>
  </w:footnote>
  <w:footnote w:id="1782">
    <w:p w14:paraId="33B33C82" w14:textId="77777777" w:rsidR="00E7473E" w:rsidRDefault="00E7473E" w:rsidP="00E7473E">
      <w:pPr>
        <w:pStyle w:val="Funotentext"/>
      </w:pPr>
      <w:r>
        <w:rPr>
          <w:rStyle w:val="Funotenzeichen"/>
        </w:rPr>
        <w:footnoteRef/>
      </w:r>
      <w:r>
        <w:t xml:space="preserve"> </w:t>
      </w:r>
      <w:proofErr w:type="gramStart"/>
      <w:r w:rsidRPr="0053611C">
        <w:t>BMWK Leitmärkte</w:t>
      </w:r>
      <w:proofErr w:type="gramEnd"/>
      <w:r w:rsidRPr="0053611C">
        <w:t xml:space="preserve"> für klimafreundliche Grundstoffe 2024: </w:t>
      </w:r>
      <w:proofErr w:type="gramStart"/>
      <w:r w:rsidRPr="0053611C">
        <w:t>BMWK Leitmärkte</w:t>
      </w:r>
      <w:proofErr w:type="gramEnd"/>
      <w:r w:rsidRPr="0053611C">
        <w:t xml:space="preserve"> für klimafreundliche Rohstoffe, BMWK Mai 2024, siehe: </w:t>
      </w:r>
      <w:hyperlink r:id="rId1364" w:history="1">
        <w:r w:rsidRPr="0053611C">
          <w:rPr>
            <w:rStyle w:val="Hyperlink"/>
          </w:rPr>
          <w:t>https://www.bmwk.de/Redaktion/DE/Publikationen/Klimaschutz/leitmaerkte-fuer-klimafreundliche-grundstoffe.html</w:t>
        </w:r>
      </w:hyperlink>
      <w:r w:rsidRPr="0053611C">
        <w:t xml:space="preserve"> - Zugegriffen: 30.04.2025</w:t>
      </w:r>
    </w:p>
  </w:footnote>
  <w:footnote w:id="1783">
    <w:p w14:paraId="08D7745C" w14:textId="77777777" w:rsidR="00D76302" w:rsidRDefault="00D76302" w:rsidP="00D76302">
      <w:pPr>
        <w:pStyle w:val="Funotentext"/>
      </w:pPr>
      <w:r>
        <w:rPr>
          <w:rStyle w:val="Funotenzeichen"/>
        </w:rPr>
        <w:footnoteRef/>
      </w:r>
      <w:r>
        <w:t xml:space="preserve"> Hier wird zwischen unterschiedlichen Technology </w:t>
      </w:r>
      <w:proofErr w:type="spellStart"/>
      <w:r>
        <w:t>Readiness</w:t>
      </w:r>
      <w:proofErr w:type="spellEnd"/>
      <w:r>
        <w:t xml:space="preserve"> Levels (TRL) unterschieden. Stiftung </w:t>
      </w:r>
      <w:proofErr w:type="spellStart"/>
      <w:r>
        <w:t>KlimaWirtschaft</w:t>
      </w:r>
      <w:proofErr w:type="spellEnd"/>
      <w:r>
        <w:t>/Deloitte 2023: 22-23.</w:t>
      </w:r>
    </w:p>
  </w:footnote>
  <w:footnote w:id="1784">
    <w:p w14:paraId="4C97A52B" w14:textId="77777777" w:rsidR="00D76302" w:rsidRDefault="00D76302" w:rsidP="00D76302">
      <w:pPr>
        <w:pStyle w:val="Funotentext"/>
      </w:pPr>
      <w:r>
        <w:rPr>
          <w:rStyle w:val="Funotenzeichen"/>
        </w:rPr>
        <w:footnoteRef/>
      </w:r>
      <w:r>
        <w:t xml:space="preserve"> </w:t>
      </w:r>
      <w:r w:rsidRPr="00BE0B0E">
        <w:t xml:space="preserve">Stiftung </w:t>
      </w:r>
      <w:proofErr w:type="spellStart"/>
      <w:r w:rsidRPr="00BE0B0E">
        <w:t>KlimaWirtschaft</w:t>
      </w:r>
      <w:proofErr w:type="spellEnd"/>
      <w:r w:rsidRPr="00BE0B0E">
        <w:t>/Deloitte 2023:</w:t>
      </w:r>
      <w:r>
        <w:t xml:space="preserve"> 21.</w:t>
      </w:r>
    </w:p>
  </w:footnote>
  <w:footnote w:id="1785">
    <w:p w14:paraId="70A841DA" w14:textId="47A6808A" w:rsidR="00D76302" w:rsidRPr="0045135C" w:rsidRDefault="00D76302" w:rsidP="00D76302">
      <w:pPr>
        <w:pStyle w:val="Funotentext"/>
      </w:pPr>
      <w:r>
        <w:rPr>
          <w:rStyle w:val="Funotenzeichen"/>
        </w:rPr>
        <w:footnoteRef/>
      </w:r>
      <w:r w:rsidRPr="00E67992">
        <w:t xml:space="preserve"> </w:t>
      </w:r>
      <w:proofErr w:type="spellStart"/>
      <w:r w:rsidRPr="00E67992">
        <w:t>Eurochambres</w:t>
      </w:r>
      <w:proofErr w:type="spellEnd"/>
      <w:r w:rsidR="00322208">
        <w:t xml:space="preserve">. </w:t>
      </w:r>
      <w:r w:rsidR="00322208" w:rsidRPr="0045135C">
        <w:t xml:space="preserve">The </w:t>
      </w:r>
      <w:proofErr w:type="spellStart"/>
      <w:r w:rsidR="00322208" w:rsidRPr="0045135C">
        <w:t>Good</w:t>
      </w:r>
      <w:proofErr w:type="spellEnd"/>
      <w:r w:rsidR="00322208" w:rsidRPr="0045135C">
        <w:t xml:space="preserve">, </w:t>
      </w:r>
      <w:proofErr w:type="spellStart"/>
      <w:r w:rsidR="00322208" w:rsidRPr="0045135C">
        <w:t>the</w:t>
      </w:r>
      <w:proofErr w:type="spellEnd"/>
      <w:r w:rsidR="00322208" w:rsidRPr="0045135C">
        <w:t xml:space="preserve"> Bad and </w:t>
      </w:r>
      <w:proofErr w:type="spellStart"/>
      <w:r w:rsidR="00322208" w:rsidRPr="0045135C">
        <w:t>the</w:t>
      </w:r>
      <w:proofErr w:type="spellEnd"/>
      <w:r w:rsidR="00322208" w:rsidRPr="0045135C">
        <w:t xml:space="preserve"> </w:t>
      </w:r>
      <w:proofErr w:type="spellStart"/>
      <w:r w:rsidR="00322208" w:rsidRPr="0045135C">
        <w:t>Ugly</w:t>
      </w:r>
      <w:proofErr w:type="spellEnd"/>
      <w:r w:rsidR="00322208" w:rsidRPr="0045135C">
        <w:t xml:space="preserve"> </w:t>
      </w:r>
      <w:proofErr w:type="spellStart"/>
      <w:r w:rsidR="00322208" w:rsidRPr="0045135C">
        <w:t>of</w:t>
      </w:r>
      <w:proofErr w:type="spellEnd"/>
      <w:r w:rsidR="00322208" w:rsidRPr="0045135C">
        <w:t xml:space="preserve"> </w:t>
      </w:r>
      <w:proofErr w:type="spellStart"/>
      <w:r w:rsidR="00322208" w:rsidRPr="0045135C">
        <w:t>the</w:t>
      </w:r>
      <w:proofErr w:type="spellEnd"/>
      <w:r w:rsidR="00322208" w:rsidRPr="0045135C">
        <w:t xml:space="preserve"> 2019-2024 Term</w:t>
      </w:r>
      <w:r w:rsidRPr="0045135C">
        <w:t xml:space="preserve">: </w:t>
      </w:r>
      <w:hyperlink r:id="rId1365" w:history="1">
        <w:r w:rsidR="00322208" w:rsidRPr="0045135C">
          <w:t xml:space="preserve"> </w:t>
        </w:r>
        <w:r w:rsidR="00322208" w:rsidRPr="0045135C">
          <w:rPr>
            <w:rStyle w:val="Hyperlink"/>
          </w:rPr>
          <w:t>https://www.eurochambres.eu/wp-content/uploads/2024/06/W-Cover-GoodBadUgly2019-2024-final.pdf</w:t>
        </w:r>
        <w:r w:rsidRPr="0045135C">
          <w:rPr>
            <w:rStyle w:val="Hyperlink"/>
          </w:rPr>
          <w:t>/</w:t>
        </w:r>
      </w:hyperlink>
      <w:r w:rsidRPr="0045135C">
        <w:t xml:space="preserve"> - Zugegriffen: </w:t>
      </w:r>
      <w:r w:rsidR="00322208" w:rsidRPr="0045135C">
        <w:t>15</w:t>
      </w:r>
      <w:r w:rsidRPr="0045135C">
        <w:t>.0</w:t>
      </w:r>
      <w:r w:rsidR="00322208" w:rsidRPr="0045135C">
        <w:t>5</w:t>
      </w:r>
      <w:r w:rsidRPr="0045135C">
        <w:t>.202</w:t>
      </w:r>
      <w:r w:rsidR="00322208" w:rsidRPr="0045135C">
        <w:t>5</w:t>
      </w:r>
      <w:r w:rsidRPr="0045135C">
        <w:t xml:space="preserve">.  </w:t>
      </w:r>
    </w:p>
  </w:footnote>
  <w:footnote w:id="1786">
    <w:p w14:paraId="610ED4D8" w14:textId="1360CA17" w:rsidR="007C34BA" w:rsidRDefault="007C34BA">
      <w:pPr>
        <w:pStyle w:val="Funotentext"/>
      </w:pPr>
      <w:r>
        <w:rPr>
          <w:rStyle w:val="Funotenzeichen"/>
        </w:rPr>
        <w:footnoteRef/>
      </w:r>
      <w:r>
        <w:t xml:space="preserve"> Siehe: </w:t>
      </w:r>
      <w:hyperlink r:id="rId1366" w:history="1">
        <w:r w:rsidRPr="00935F25">
          <w:rPr>
            <w:rStyle w:val="Hyperlink"/>
          </w:rPr>
          <w:t>https://influencemap.org/briefing/European-Industry-and-the-European-Union-s-Climate-Policy-in-2024-29-32272</w:t>
        </w:r>
      </w:hyperlink>
      <w:r>
        <w:t xml:space="preserve"> - Zugegriffen: 31.05.2025. </w:t>
      </w:r>
    </w:p>
  </w:footnote>
  <w:footnote w:id="1787">
    <w:p w14:paraId="3F9167F7" w14:textId="77777777" w:rsidR="00C501FC" w:rsidRPr="00005C35" w:rsidRDefault="00C501FC" w:rsidP="00C501FC">
      <w:pPr>
        <w:pStyle w:val="Funotentext"/>
      </w:pPr>
      <w:r>
        <w:rPr>
          <w:rStyle w:val="Funotenzeichen"/>
        </w:rPr>
        <w:footnoteRef/>
      </w:r>
      <w:r>
        <w:t xml:space="preserve"> Zähes Wirtschaften mit EU-Geld. Deutschland ruft die Mittel langsamer ab als andere Staaten – die CDU wirft der Koalition vor, auf Zeit zu spielen. </w:t>
      </w:r>
      <w:r w:rsidRPr="00005C35">
        <w:t xml:space="preserve">FAZ, 01.07.2024. </w:t>
      </w:r>
    </w:p>
  </w:footnote>
  <w:footnote w:id="1788">
    <w:p w14:paraId="27DE651E" w14:textId="1FB3A699" w:rsidR="00AF4035" w:rsidRPr="00005C35" w:rsidRDefault="00AF4035">
      <w:pPr>
        <w:pStyle w:val="Funotentext"/>
        <w:rPr>
          <w:lang w:val="en-GB"/>
        </w:rPr>
      </w:pPr>
      <w:r>
        <w:rPr>
          <w:rStyle w:val="Funotenzeichen"/>
        </w:rPr>
        <w:footnoteRef/>
      </w:r>
      <w:r w:rsidRPr="00AF4035">
        <w:t xml:space="preserve"> Rechnung</w:t>
      </w:r>
      <w:r w:rsidR="00717C30">
        <w:t>s</w:t>
      </w:r>
      <w:r w:rsidRPr="00AF4035">
        <w:t>hof stellt sich gegen r</w:t>
      </w:r>
      <w:r>
        <w:t xml:space="preserve">adikale Pläne für EU-Haushalt. </w:t>
      </w:r>
      <w:r w:rsidRPr="00005C35">
        <w:rPr>
          <w:lang w:val="en-GB"/>
        </w:rPr>
        <w:t xml:space="preserve">FAZ, 10.10.2024. </w:t>
      </w:r>
    </w:p>
  </w:footnote>
  <w:footnote w:id="1789">
    <w:p w14:paraId="15F7D708" w14:textId="77777777" w:rsidR="00322208" w:rsidRPr="00FC70DF" w:rsidRDefault="00322208" w:rsidP="00322208">
      <w:pPr>
        <w:pStyle w:val="Funotentext"/>
        <w:rPr>
          <w:lang w:val="en-GB"/>
        </w:rPr>
      </w:pPr>
      <w:r>
        <w:rPr>
          <w:rStyle w:val="Funotenzeichen"/>
        </w:rPr>
        <w:footnoteRef/>
      </w:r>
      <w:r w:rsidRPr="00FC70DF">
        <w:rPr>
          <w:lang w:val="en-GB"/>
        </w:rPr>
        <w:t xml:space="preserve"> </w:t>
      </w:r>
      <w:proofErr w:type="spellStart"/>
      <w:r w:rsidRPr="00FC70DF">
        <w:rPr>
          <w:lang w:val="en-GB"/>
        </w:rPr>
        <w:t>Siehe</w:t>
      </w:r>
      <w:proofErr w:type="spellEnd"/>
      <w:r w:rsidRPr="00FC70DF">
        <w:rPr>
          <w:lang w:val="en-GB"/>
        </w:rPr>
        <w:t>: An EU strategy to boost industrial competi</w:t>
      </w:r>
      <w:r>
        <w:rPr>
          <w:lang w:val="en-GB"/>
        </w:rPr>
        <w:t>tiveness, trade and quality jobs, P9_TA(2023)0053</w:t>
      </w:r>
      <w:r w:rsidRPr="00FC70DF">
        <w:rPr>
          <w:lang w:val="en-GB"/>
        </w:rPr>
        <w:t xml:space="preserve">: </w:t>
      </w:r>
      <w:hyperlink r:id="rId1367" w:history="1">
        <w:r w:rsidRPr="002D373A">
          <w:rPr>
            <w:rStyle w:val="Hyperlink"/>
            <w:lang w:val="en-GB"/>
          </w:rPr>
          <w:t>https://www.europarl.europa.eu/doceo/document/TA-9-2023-0053_EN.pdf</w:t>
        </w:r>
      </w:hyperlink>
      <w:r>
        <w:rPr>
          <w:lang w:val="en-GB"/>
        </w:rPr>
        <w:t xml:space="preserve"> - </w:t>
      </w:r>
      <w:proofErr w:type="spellStart"/>
      <w:r>
        <w:rPr>
          <w:lang w:val="en-GB"/>
        </w:rPr>
        <w:t>Zugegriffen</w:t>
      </w:r>
      <w:proofErr w:type="spellEnd"/>
      <w:r>
        <w:rPr>
          <w:lang w:val="en-GB"/>
        </w:rPr>
        <w:t xml:space="preserve">: 04.02.2024. </w:t>
      </w:r>
    </w:p>
  </w:footnote>
  <w:footnote w:id="1790">
    <w:p w14:paraId="444226EA" w14:textId="5D30B652" w:rsidR="00DB6C81" w:rsidRPr="00AC5312" w:rsidRDefault="00DB6C81" w:rsidP="00DB6C81">
      <w:pPr>
        <w:pStyle w:val="Funotentext"/>
      </w:pPr>
      <w:r>
        <w:rPr>
          <w:rStyle w:val="Funotenzeichen"/>
        </w:rPr>
        <w:footnoteRef/>
      </w:r>
      <w:r w:rsidRPr="00AC5312">
        <w:rPr>
          <w:lang w:val="en-GB"/>
        </w:rPr>
        <w:t xml:space="preserve"> </w:t>
      </w:r>
      <w:proofErr w:type="spellStart"/>
      <w:r w:rsidRPr="00AC5312">
        <w:rPr>
          <w:lang w:val="en-GB"/>
        </w:rPr>
        <w:t>Siehe</w:t>
      </w:r>
      <w:proofErr w:type="spellEnd"/>
      <w:r w:rsidR="00FF28C3">
        <w:rPr>
          <w:lang w:val="en-GB"/>
        </w:rPr>
        <w:t>:</w:t>
      </w:r>
      <w:r w:rsidR="00AC5312" w:rsidRPr="00AC5312">
        <w:rPr>
          <w:lang w:val="en-GB"/>
        </w:rPr>
        <w:t xml:space="preserve"> The future of European co</w:t>
      </w:r>
      <w:r w:rsidR="00AC5312">
        <w:rPr>
          <w:lang w:val="en-GB"/>
        </w:rPr>
        <w:t xml:space="preserve">mpetitiveness, Part A </w:t>
      </w:r>
      <w:proofErr w:type="spellStart"/>
      <w:r w:rsidR="00AC5312">
        <w:rPr>
          <w:lang w:val="en-GB"/>
        </w:rPr>
        <w:t>A</w:t>
      </w:r>
      <w:proofErr w:type="spellEnd"/>
      <w:r w:rsidR="00AC5312">
        <w:rPr>
          <w:lang w:val="en-GB"/>
        </w:rPr>
        <w:t xml:space="preserve"> competitiveness strategy for Europe. </w:t>
      </w:r>
      <w:r w:rsidR="00AC5312" w:rsidRPr="00AC5312">
        <w:t>September 2024</w:t>
      </w:r>
      <w:r w:rsidRPr="00AC5312">
        <w:t xml:space="preserve">: </w:t>
      </w:r>
      <w:hyperlink r:id="rId1368" w:history="1">
        <w:r w:rsidRPr="00AC5312">
          <w:rPr>
            <w:rStyle w:val="Hyperlink"/>
          </w:rPr>
          <w:t>https://commission.europa.eu/topics/eu-competitiveness/draghi-report_en</w:t>
        </w:r>
      </w:hyperlink>
      <w:r w:rsidRPr="00AC5312">
        <w:t xml:space="preserve"> - Zugegriffen: 15.05.2025. </w:t>
      </w:r>
    </w:p>
  </w:footnote>
  <w:footnote w:id="1791">
    <w:p w14:paraId="2134FA77" w14:textId="77777777" w:rsidR="00680433" w:rsidRDefault="00680433" w:rsidP="00680433">
      <w:pPr>
        <w:pStyle w:val="Funotentext"/>
      </w:pPr>
      <w:r>
        <w:rPr>
          <w:rStyle w:val="Funotenzeichen"/>
        </w:rPr>
        <w:footnoteRef/>
      </w:r>
      <w:r>
        <w:t xml:space="preserve"> Siehe: </w:t>
      </w:r>
      <w:hyperlink r:id="rId1369" w:history="1">
        <w:r w:rsidRPr="00932F3C">
          <w:rPr>
            <w:rStyle w:val="Hyperlink"/>
          </w:rPr>
          <w:t>https://dechema.de/Themen/Studien+und+Positionspapiere/2024+03+H2+Kompass/_/H2K_IND_Chemie.pdf</w:t>
        </w:r>
      </w:hyperlink>
      <w:r>
        <w:t xml:space="preserve"> - Zugegriffen: 09.04.2025. </w:t>
      </w:r>
    </w:p>
  </w:footnote>
  <w:footnote w:id="1792">
    <w:p w14:paraId="2F504E0C" w14:textId="0CD5073C" w:rsidR="00262FF6" w:rsidRPr="00032E24" w:rsidRDefault="00262FF6">
      <w:pPr>
        <w:pStyle w:val="Funotentext"/>
      </w:pPr>
      <w:r>
        <w:rPr>
          <w:rStyle w:val="Funotenzeichen"/>
        </w:rPr>
        <w:footnoteRef/>
      </w:r>
      <w:r w:rsidRPr="00032E24">
        <w:t xml:space="preserve"> </w:t>
      </w:r>
      <w:r w:rsidR="00032E24" w:rsidRPr="00032E24">
        <w:t xml:space="preserve">BASF-Bericht, 21. März 2025, S. 45. </w:t>
      </w:r>
      <w:r w:rsidR="00032E24">
        <w:t xml:space="preserve">Siehe: </w:t>
      </w:r>
      <w:hyperlink r:id="rId1370" w:anchor="item-1713698070557-2076016830" w:history="1">
        <w:r w:rsidR="00032E24" w:rsidRPr="00083B1E">
          <w:rPr>
            <w:rStyle w:val="Hyperlink"/>
          </w:rPr>
          <w:t>https://www.basf.com/global/de/investors/calendar-and-publications/reporting#item-1713698070557-2076016830</w:t>
        </w:r>
      </w:hyperlink>
      <w:r w:rsidR="00032E24">
        <w:t xml:space="preserve"> – Zugegriffen: 21.05.2025. </w:t>
      </w:r>
    </w:p>
  </w:footnote>
  <w:footnote w:id="1793">
    <w:p w14:paraId="374C0259" w14:textId="4C700F48" w:rsidR="003551B1" w:rsidRPr="00315ED7" w:rsidRDefault="003551B1">
      <w:pPr>
        <w:pStyle w:val="Funotentext"/>
      </w:pPr>
      <w:r>
        <w:rPr>
          <w:rStyle w:val="Funotenzeichen"/>
        </w:rPr>
        <w:footnoteRef/>
      </w:r>
      <w:r w:rsidRPr="00315ED7">
        <w:rPr>
          <w:lang w:val="en-GB"/>
        </w:rPr>
        <w:t xml:space="preserve"> S. </w:t>
      </w:r>
      <w:r w:rsidR="00AC5312" w:rsidRPr="00315ED7">
        <w:rPr>
          <w:lang w:val="en-GB"/>
        </w:rPr>
        <w:t>8</w:t>
      </w:r>
      <w:r w:rsidR="00315ED7">
        <w:rPr>
          <w:lang w:val="en-GB"/>
        </w:rPr>
        <w:t>,</w:t>
      </w:r>
      <w:r w:rsidR="00315ED7" w:rsidRPr="00315ED7">
        <w:rPr>
          <w:lang w:val="en-GB"/>
        </w:rPr>
        <w:t xml:space="preserve"> </w:t>
      </w:r>
      <w:proofErr w:type="spellStart"/>
      <w:r w:rsidR="00315ED7">
        <w:rPr>
          <w:lang w:val="en-GB"/>
        </w:rPr>
        <w:t>s</w:t>
      </w:r>
      <w:r w:rsidR="00315ED7" w:rsidRPr="00AC5312">
        <w:rPr>
          <w:lang w:val="en-GB"/>
        </w:rPr>
        <w:t>iehe</w:t>
      </w:r>
      <w:proofErr w:type="spellEnd"/>
      <w:r w:rsidR="00315ED7">
        <w:rPr>
          <w:lang w:val="en-GB"/>
        </w:rPr>
        <w:t>:</w:t>
      </w:r>
      <w:r w:rsidR="00315ED7" w:rsidRPr="00AC5312">
        <w:rPr>
          <w:lang w:val="en-GB"/>
        </w:rPr>
        <w:t xml:space="preserve"> The future of European co</w:t>
      </w:r>
      <w:r w:rsidR="00315ED7">
        <w:rPr>
          <w:lang w:val="en-GB"/>
        </w:rPr>
        <w:t xml:space="preserve">mpetitiveness, Part A </w:t>
      </w:r>
      <w:proofErr w:type="spellStart"/>
      <w:r w:rsidR="00315ED7">
        <w:rPr>
          <w:lang w:val="en-GB"/>
        </w:rPr>
        <w:t>A</w:t>
      </w:r>
      <w:proofErr w:type="spellEnd"/>
      <w:r w:rsidR="00315ED7">
        <w:rPr>
          <w:lang w:val="en-GB"/>
        </w:rPr>
        <w:t xml:space="preserve"> competitiveness strategy for Europe. </w:t>
      </w:r>
      <w:r w:rsidR="00315ED7" w:rsidRPr="00AC5312">
        <w:t xml:space="preserve">September 2024: </w:t>
      </w:r>
      <w:hyperlink r:id="rId1371" w:history="1">
        <w:r w:rsidR="00315ED7" w:rsidRPr="00AC5312">
          <w:rPr>
            <w:rStyle w:val="Hyperlink"/>
          </w:rPr>
          <w:t>https://commission.europa.eu/topics/eu-competitiveness/draghi-report_en</w:t>
        </w:r>
      </w:hyperlink>
      <w:r w:rsidR="00315ED7" w:rsidRPr="00AC5312">
        <w:t xml:space="preserve"> - Zugegriffen: 15.05.2025.</w:t>
      </w:r>
    </w:p>
  </w:footnote>
  <w:footnote w:id="1794">
    <w:p w14:paraId="482585C0" w14:textId="678D2A06" w:rsidR="000C6DD7" w:rsidRPr="00315ED7" w:rsidRDefault="000C6DD7">
      <w:pPr>
        <w:pStyle w:val="Funotentext"/>
        <w:rPr>
          <w:lang w:val="fr-FR"/>
        </w:rPr>
      </w:pPr>
      <w:r>
        <w:rPr>
          <w:rStyle w:val="Funotenzeichen"/>
        </w:rPr>
        <w:footnoteRef/>
      </w:r>
      <w:r w:rsidRPr="00315ED7">
        <w:rPr>
          <w:lang w:val="fr-FR"/>
        </w:rPr>
        <w:t xml:space="preserve"> </w:t>
      </w:r>
      <w:r w:rsidR="00315ED7" w:rsidRPr="00315ED7">
        <w:rPr>
          <w:lang w:val="fr-FR"/>
        </w:rPr>
        <w:t xml:space="preserve">Part A. </w:t>
      </w:r>
      <w:proofErr w:type="spellStart"/>
      <w:r w:rsidRPr="00315ED7">
        <w:rPr>
          <w:lang w:val="fr-FR"/>
        </w:rPr>
        <w:t>Ebd</w:t>
      </w:r>
      <w:proofErr w:type="spellEnd"/>
      <w:r w:rsidRPr="00315ED7">
        <w:rPr>
          <w:lang w:val="fr-FR"/>
        </w:rPr>
        <w:t>., S. 67.</w:t>
      </w:r>
    </w:p>
  </w:footnote>
  <w:footnote w:id="1795">
    <w:p w14:paraId="60194AD2" w14:textId="20574DDE" w:rsidR="00AC5312" w:rsidRPr="00315ED7" w:rsidRDefault="00AC5312">
      <w:pPr>
        <w:pStyle w:val="Funotentext"/>
        <w:rPr>
          <w:lang w:val="fr-FR"/>
        </w:rPr>
      </w:pPr>
      <w:r>
        <w:rPr>
          <w:rStyle w:val="Funotenzeichen"/>
        </w:rPr>
        <w:footnoteRef/>
      </w:r>
      <w:r w:rsidRPr="00315ED7">
        <w:rPr>
          <w:lang w:val="fr-FR"/>
        </w:rPr>
        <w:t xml:space="preserve"> </w:t>
      </w:r>
      <w:r w:rsidR="00315ED7" w:rsidRPr="00315ED7">
        <w:rPr>
          <w:lang w:val="fr-FR"/>
        </w:rPr>
        <w:t xml:space="preserve">Part A. </w:t>
      </w:r>
      <w:proofErr w:type="spellStart"/>
      <w:r w:rsidRPr="00315ED7">
        <w:rPr>
          <w:lang w:val="fr-FR"/>
        </w:rPr>
        <w:t>Ebd</w:t>
      </w:r>
      <w:proofErr w:type="spellEnd"/>
      <w:r w:rsidRPr="00315ED7">
        <w:rPr>
          <w:lang w:val="fr-FR"/>
        </w:rPr>
        <w:t>., S. 15.</w:t>
      </w:r>
    </w:p>
  </w:footnote>
  <w:footnote w:id="1796">
    <w:p w14:paraId="76E4E78E" w14:textId="5052FE03" w:rsidR="00A87AF4" w:rsidRPr="00315ED7" w:rsidRDefault="00A87AF4">
      <w:pPr>
        <w:pStyle w:val="Funotentext"/>
        <w:rPr>
          <w:lang w:val="fr-FR"/>
        </w:rPr>
      </w:pPr>
      <w:r>
        <w:rPr>
          <w:rStyle w:val="Funotenzeichen"/>
        </w:rPr>
        <w:footnoteRef/>
      </w:r>
      <w:r w:rsidRPr="00315ED7">
        <w:rPr>
          <w:lang w:val="fr-FR"/>
        </w:rPr>
        <w:t xml:space="preserve"> </w:t>
      </w:r>
      <w:r w:rsidR="00315ED7" w:rsidRPr="00315ED7">
        <w:rPr>
          <w:lang w:val="fr-FR"/>
        </w:rPr>
        <w:t xml:space="preserve">Part A. </w:t>
      </w:r>
      <w:proofErr w:type="spellStart"/>
      <w:r w:rsidRPr="00315ED7">
        <w:rPr>
          <w:lang w:val="fr-FR"/>
        </w:rPr>
        <w:t>Ebd</w:t>
      </w:r>
      <w:proofErr w:type="spellEnd"/>
      <w:r w:rsidRPr="00315ED7">
        <w:rPr>
          <w:lang w:val="fr-FR"/>
        </w:rPr>
        <w:t>., S. 17.</w:t>
      </w:r>
    </w:p>
  </w:footnote>
  <w:footnote w:id="1797">
    <w:p w14:paraId="2E491D2D" w14:textId="1AE7940E" w:rsidR="00A87AF4" w:rsidRPr="00315ED7" w:rsidRDefault="00A87AF4">
      <w:pPr>
        <w:pStyle w:val="Funotentext"/>
        <w:rPr>
          <w:lang w:val="fr-FR"/>
        </w:rPr>
      </w:pPr>
      <w:r>
        <w:rPr>
          <w:rStyle w:val="Funotenzeichen"/>
        </w:rPr>
        <w:footnoteRef/>
      </w:r>
      <w:r w:rsidRPr="00315ED7">
        <w:rPr>
          <w:lang w:val="fr-FR"/>
        </w:rPr>
        <w:t xml:space="preserve"> </w:t>
      </w:r>
      <w:r w:rsidR="00315ED7" w:rsidRPr="00315ED7">
        <w:rPr>
          <w:lang w:val="fr-FR"/>
        </w:rPr>
        <w:t xml:space="preserve">Part A. </w:t>
      </w:r>
      <w:proofErr w:type="spellStart"/>
      <w:r w:rsidRPr="00315ED7">
        <w:rPr>
          <w:lang w:val="fr-FR"/>
        </w:rPr>
        <w:t>Ebd</w:t>
      </w:r>
      <w:proofErr w:type="spellEnd"/>
      <w:r w:rsidRPr="00315ED7">
        <w:rPr>
          <w:lang w:val="fr-FR"/>
        </w:rPr>
        <w:t>., S. 18.</w:t>
      </w:r>
    </w:p>
  </w:footnote>
  <w:footnote w:id="1798">
    <w:p w14:paraId="3FC56BC8" w14:textId="4127A431" w:rsidR="00A86275" w:rsidRPr="00315ED7" w:rsidRDefault="00A86275">
      <w:pPr>
        <w:pStyle w:val="Funotentext"/>
        <w:rPr>
          <w:lang w:val="fr-FR"/>
        </w:rPr>
      </w:pPr>
      <w:r>
        <w:rPr>
          <w:rStyle w:val="Funotenzeichen"/>
        </w:rPr>
        <w:footnoteRef/>
      </w:r>
      <w:r w:rsidRPr="00315ED7">
        <w:rPr>
          <w:lang w:val="fr-FR"/>
        </w:rPr>
        <w:t xml:space="preserve"> </w:t>
      </w:r>
      <w:r w:rsidR="00315ED7" w:rsidRPr="00315ED7">
        <w:rPr>
          <w:lang w:val="fr-FR"/>
        </w:rPr>
        <w:t xml:space="preserve">Part A. </w:t>
      </w:r>
      <w:proofErr w:type="spellStart"/>
      <w:r w:rsidRPr="00315ED7">
        <w:rPr>
          <w:lang w:val="fr-FR"/>
        </w:rPr>
        <w:t>Ebd</w:t>
      </w:r>
      <w:proofErr w:type="spellEnd"/>
      <w:r w:rsidRPr="00315ED7">
        <w:rPr>
          <w:lang w:val="fr-FR"/>
        </w:rPr>
        <w:t>., S. 19.</w:t>
      </w:r>
    </w:p>
  </w:footnote>
  <w:footnote w:id="1799">
    <w:p w14:paraId="64888EAA" w14:textId="28D2D41A" w:rsidR="00A86275" w:rsidRPr="00315ED7" w:rsidRDefault="00A86275">
      <w:pPr>
        <w:pStyle w:val="Funotentext"/>
        <w:rPr>
          <w:lang w:val="fr-FR"/>
        </w:rPr>
      </w:pPr>
      <w:r>
        <w:rPr>
          <w:rStyle w:val="Funotenzeichen"/>
        </w:rPr>
        <w:footnoteRef/>
      </w:r>
      <w:r w:rsidRPr="00315ED7">
        <w:rPr>
          <w:lang w:val="fr-FR"/>
        </w:rPr>
        <w:t xml:space="preserve"> </w:t>
      </w:r>
      <w:r w:rsidR="00315ED7" w:rsidRPr="00315ED7">
        <w:rPr>
          <w:lang w:val="fr-FR"/>
        </w:rPr>
        <w:t xml:space="preserve">Part A. </w:t>
      </w:r>
      <w:proofErr w:type="spellStart"/>
      <w:r w:rsidRPr="00315ED7">
        <w:rPr>
          <w:lang w:val="fr-FR"/>
        </w:rPr>
        <w:t>Ebd</w:t>
      </w:r>
      <w:proofErr w:type="spellEnd"/>
      <w:r w:rsidRPr="00315ED7">
        <w:rPr>
          <w:lang w:val="fr-FR"/>
        </w:rPr>
        <w:t>., S. 19.</w:t>
      </w:r>
    </w:p>
  </w:footnote>
  <w:footnote w:id="1800">
    <w:p w14:paraId="6B966A01" w14:textId="3B1FBD4A" w:rsidR="00A86275" w:rsidRPr="00315ED7" w:rsidRDefault="00A86275">
      <w:pPr>
        <w:pStyle w:val="Funotentext"/>
        <w:rPr>
          <w:lang w:val="fr-FR"/>
        </w:rPr>
      </w:pPr>
      <w:r>
        <w:rPr>
          <w:rStyle w:val="Funotenzeichen"/>
        </w:rPr>
        <w:footnoteRef/>
      </w:r>
      <w:r w:rsidRPr="00315ED7">
        <w:rPr>
          <w:lang w:val="fr-FR"/>
        </w:rPr>
        <w:t xml:space="preserve"> </w:t>
      </w:r>
      <w:r w:rsidR="00315ED7" w:rsidRPr="00315ED7">
        <w:rPr>
          <w:lang w:val="fr-FR"/>
        </w:rPr>
        <w:t xml:space="preserve">Part A. </w:t>
      </w:r>
      <w:proofErr w:type="spellStart"/>
      <w:r w:rsidRPr="00315ED7">
        <w:rPr>
          <w:lang w:val="fr-FR"/>
        </w:rPr>
        <w:t>Ebd</w:t>
      </w:r>
      <w:proofErr w:type="spellEnd"/>
      <w:r w:rsidRPr="00315ED7">
        <w:rPr>
          <w:lang w:val="fr-FR"/>
        </w:rPr>
        <w:t>., S. 20.</w:t>
      </w:r>
    </w:p>
  </w:footnote>
  <w:footnote w:id="1801">
    <w:p w14:paraId="6715C7AD" w14:textId="3B1A801A" w:rsidR="00927457" w:rsidRPr="00315ED7" w:rsidRDefault="00927457">
      <w:pPr>
        <w:pStyle w:val="Funotentext"/>
        <w:rPr>
          <w:lang w:val="fr-FR"/>
        </w:rPr>
      </w:pPr>
      <w:r>
        <w:rPr>
          <w:rStyle w:val="Funotenzeichen"/>
        </w:rPr>
        <w:footnoteRef/>
      </w:r>
      <w:r w:rsidR="00315ED7">
        <w:rPr>
          <w:lang w:val="fr-FR"/>
        </w:rPr>
        <w:t xml:space="preserve"> </w:t>
      </w:r>
      <w:r w:rsidR="00315ED7" w:rsidRPr="00315ED7">
        <w:rPr>
          <w:lang w:val="fr-FR"/>
        </w:rPr>
        <w:t xml:space="preserve">Part A. </w:t>
      </w:r>
      <w:proofErr w:type="spellStart"/>
      <w:r w:rsidRPr="00315ED7">
        <w:rPr>
          <w:lang w:val="fr-FR"/>
        </w:rPr>
        <w:t>Ebd</w:t>
      </w:r>
      <w:proofErr w:type="spellEnd"/>
      <w:r w:rsidRPr="00315ED7">
        <w:rPr>
          <w:lang w:val="fr-FR"/>
        </w:rPr>
        <w:t>., S. 25.</w:t>
      </w:r>
    </w:p>
  </w:footnote>
  <w:footnote w:id="1802">
    <w:p w14:paraId="62FB087D" w14:textId="536CC66F" w:rsidR="00927457" w:rsidRPr="00315ED7" w:rsidRDefault="00927457">
      <w:pPr>
        <w:pStyle w:val="Funotentext"/>
        <w:rPr>
          <w:lang w:val="fr-FR"/>
        </w:rPr>
      </w:pPr>
      <w:r>
        <w:rPr>
          <w:rStyle w:val="Funotenzeichen"/>
        </w:rPr>
        <w:footnoteRef/>
      </w:r>
      <w:r w:rsidRPr="00315ED7">
        <w:rPr>
          <w:lang w:val="fr-FR"/>
        </w:rPr>
        <w:t xml:space="preserve"> </w:t>
      </w:r>
      <w:r w:rsidR="00315ED7" w:rsidRPr="00315ED7">
        <w:rPr>
          <w:lang w:val="fr-FR"/>
        </w:rPr>
        <w:t xml:space="preserve">Part A. </w:t>
      </w:r>
      <w:proofErr w:type="spellStart"/>
      <w:r w:rsidRPr="00315ED7">
        <w:rPr>
          <w:lang w:val="fr-FR"/>
        </w:rPr>
        <w:t>Ebd</w:t>
      </w:r>
      <w:proofErr w:type="spellEnd"/>
      <w:r w:rsidRPr="00315ED7">
        <w:rPr>
          <w:lang w:val="fr-FR"/>
        </w:rPr>
        <w:t>., S. 27.</w:t>
      </w:r>
    </w:p>
  </w:footnote>
  <w:footnote w:id="1803">
    <w:p w14:paraId="5ADDC897" w14:textId="0F0576E8" w:rsidR="00927457" w:rsidRPr="00315ED7" w:rsidRDefault="00927457">
      <w:pPr>
        <w:pStyle w:val="Funotentext"/>
        <w:rPr>
          <w:lang w:val="fr-FR"/>
        </w:rPr>
      </w:pPr>
      <w:r>
        <w:rPr>
          <w:rStyle w:val="Funotenzeichen"/>
        </w:rPr>
        <w:footnoteRef/>
      </w:r>
      <w:r w:rsidRPr="00315ED7">
        <w:rPr>
          <w:lang w:val="fr-FR"/>
        </w:rPr>
        <w:t xml:space="preserve"> </w:t>
      </w:r>
      <w:r w:rsidR="00315ED7" w:rsidRPr="00315ED7">
        <w:rPr>
          <w:lang w:val="fr-FR"/>
        </w:rPr>
        <w:t xml:space="preserve">Part A. </w:t>
      </w:r>
      <w:proofErr w:type="spellStart"/>
      <w:r w:rsidRPr="00315ED7">
        <w:rPr>
          <w:lang w:val="fr-FR"/>
        </w:rPr>
        <w:t>Ebd</w:t>
      </w:r>
      <w:proofErr w:type="spellEnd"/>
      <w:r w:rsidRPr="00315ED7">
        <w:rPr>
          <w:lang w:val="fr-FR"/>
        </w:rPr>
        <w:t>., S. 28.</w:t>
      </w:r>
    </w:p>
  </w:footnote>
  <w:footnote w:id="1804">
    <w:p w14:paraId="22679984" w14:textId="5FAF48F1" w:rsidR="00167136" w:rsidRPr="00315ED7" w:rsidRDefault="00167136">
      <w:pPr>
        <w:pStyle w:val="Funotentext"/>
        <w:rPr>
          <w:lang w:val="fr-FR"/>
        </w:rPr>
      </w:pPr>
      <w:r>
        <w:rPr>
          <w:rStyle w:val="Funotenzeichen"/>
        </w:rPr>
        <w:footnoteRef/>
      </w:r>
      <w:r w:rsidRPr="00315ED7">
        <w:rPr>
          <w:lang w:val="fr-FR"/>
        </w:rPr>
        <w:t xml:space="preserve"> </w:t>
      </w:r>
      <w:r w:rsidR="00315ED7" w:rsidRPr="00315ED7">
        <w:rPr>
          <w:lang w:val="fr-FR"/>
        </w:rPr>
        <w:t xml:space="preserve">Part A. </w:t>
      </w:r>
      <w:proofErr w:type="spellStart"/>
      <w:r w:rsidRPr="00315ED7">
        <w:rPr>
          <w:lang w:val="fr-FR"/>
        </w:rPr>
        <w:t>Ebd</w:t>
      </w:r>
      <w:proofErr w:type="spellEnd"/>
      <w:r w:rsidRPr="00315ED7">
        <w:rPr>
          <w:lang w:val="fr-FR"/>
        </w:rPr>
        <w:t>., S. 29.</w:t>
      </w:r>
    </w:p>
  </w:footnote>
  <w:footnote w:id="1805">
    <w:p w14:paraId="600E0C52" w14:textId="628E3B43" w:rsidR="00167136" w:rsidRPr="00315ED7" w:rsidRDefault="00167136">
      <w:pPr>
        <w:pStyle w:val="Funotentext"/>
        <w:rPr>
          <w:lang w:val="fr-FR"/>
        </w:rPr>
      </w:pPr>
      <w:r>
        <w:rPr>
          <w:rStyle w:val="Funotenzeichen"/>
        </w:rPr>
        <w:footnoteRef/>
      </w:r>
      <w:r w:rsidRPr="00315ED7">
        <w:rPr>
          <w:lang w:val="fr-FR"/>
        </w:rPr>
        <w:t xml:space="preserve"> </w:t>
      </w:r>
      <w:r w:rsidR="00315ED7" w:rsidRPr="00315ED7">
        <w:rPr>
          <w:lang w:val="fr-FR"/>
        </w:rPr>
        <w:t xml:space="preserve">Part A. </w:t>
      </w:r>
      <w:proofErr w:type="spellStart"/>
      <w:r w:rsidRPr="00315ED7">
        <w:rPr>
          <w:lang w:val="fr-FR"/>
        </w:rPr>
        <w:t>Ebd</w:t>
      </w:r>
      <w:proofErr w:type="spellEnd"/>
      <w:r w:rsidRPr="00315ED7">
        <w:rPr>
          <w:lang w:val="fr-FR"/>
        </w:rPr>
        <w:t>., S. 29.</w:t>
      </w:r>
    </w:p>
  </w:footnote>
  <w:footnote w:id="1806">
    <w:p w14:paraId="795573A0" w14:textId="058460E5" w:rsidR="00167136" w:rsidRPr="007B6CDD" w:rsidRDefault="00167136">
      <w:pPr>
        <w:pStyle w:val="Funotentext"/>
        <w:rPr>
          <w:lang w:val="en-GB"/>
        </w:rPr>
      </w:pPr>
      <w:r>
        <w:rPr>
          <w:rStyle w:val="Funotenzeichen"/>
        </w:rPr>
        <w:footnoteRef/>
      </w:r>
      <w:r w:rsidRPr="007B6CDD">
        <w:rPr>
          <w:lang w:val="en-GB"/>
        </w:rPr>
        <w:t xml:space="preserve"> </w:t>
      </w:r>
      <w:r w:rsidR="00315ED7" w:rsidRPr="007B6CDD">
        <w:rPr>
          <w:lang w:val="en-GB"/>
        </w:rPr>
        <w:t xml:space="preserve">Part A. </w:t>
      </w:r>
      <w:proofErr w:type="spellStart"/>
      <w:r w:rsidRPr="007B6CDD">
        <w:rPr>
          <w:lang w:val="en-GB"/>
        </w:rPr>
        <w:t>Ebd</w:t>
      </w:r>
      <w:proofErr w:type="spellEnd"/>
      <w:r w:rsidRPr="007B6CDD">
        <w:rPr>
          <w:lang w:val="en-GB"/>
        </w:rPr>
        <w:t>., S. 30.</w:t>
      </w:r>
    </w:p>
  </w:footnote>
  <w:footnote w:id="1807">
    <w:p w14:paraId="65F82485" w14:textId="7102DDA9" w:rsidR="00167136" w:rsidRPr="00167136" w:rsidRDefault="00167136" w:rsidP="00167136">
      <w:pPr>
        <w:pStyle w:val="Funotentext"/>
        <w:rPr>
          <w:lang w:val="en-GB"/>
        </w:rPr>
      </w:pPr>
      <w:r>
        <w:rPr>
          <w:rStyle w:val="Funotenzeichen"/>
        </w:rPr>
        <w:footnoteRef/>
      </w:r>
      <w:r w:rsidRPr="00167136">
        <w:rPr>
          <w:lang w:val="en-GB"/>
        </w:rPr>
        <w:t xml:space="preserve"> </w:t>
      </w:r>
      <w:r>
        <w:rPr>
          <w:lang w:val="en-GB"/>
        </w:rPr>
        <w:t>“</w:t>
      </w:r>
      <w:r w:rsidR="0042441C">
        <w:rPr>
          <w:lang w:val="en-GB"/>
        </w:rPr>
        <w:t xml:space="preserve">For </w:t>
      </w:r>
      <w:r w:rsidRPr="00167136">
        <w:rPr>
          <w:lang w:val="en-GB"/>
        </w:rPr>
        <w:t xml:space="preserve">the four largest EIIs (chemicals, basic metals, non-metallic </w:t>
      </w:r>
      <w:proofErr w:type="gramStart"/>
      <w:r w:rsidRPr="00167136">
        <w:rPr>
          <w:lang w:val="en-GB"/>
        </w:rPr>
        <w:t>minerals</w:t>
      </w:r>
      <w:proofErr w:type="gramEnd"/>
      <w:r w:rsidRPr="00167136">
        <w:rPr>
          <w:lang w:val="en-GB"/>
        </w:rPr>
        <w:t xml:space="preserve"> and paper), decarbonisation is</w:t>
      </w:r>
    </w:p>
    <w:p w14:paraId="06B8BC01" w14:textId="5C191EA0" w:rsidR="00167136" w:rsidRPr="0045135C" w:rsidRDefault="00167136" w:rsidP="00167136">
      <w:pPr>
        <w:pStyle w:val="Funotentext"/>
        <w:rPr>
          <w:lang w:val="en-GB"/>
        </w:rPr>
      </w:pPr>
      <w:r w:rsidRPr="00167136">
        <w:rPr>
          <w:lang w:val="en-GB"/>
        </w:rPr>
        <w:t>projected to cost EUR 500 billion overall over the next 15 years, while for the “hardest-to-abate” parts of the transport</w:t>
      </w:r>
      <w:r>
        <w:rPr>
          <w:lang w:val="en-GB"/>
        </w:rPr>
        <w:t xml:space="preserve"> </w:t>
      </w:r>
      <w:r w:rsidRPr="00167136">
        <w:rPr>
          <w:lang w:val="en-GB"/>
        </w:rPr>
        <w:t>sector (maritime and aviation) investment needs stand at around EUR 100 billion each year from 2031 to 2050.</w:t>
      </w:r>
      <w:r>
        <w:rPr>
          <w:lang w:val="en-GB"/>
        </w:rPr>
        <w:t xml:space="preserve">” </w:t>
      </w:r>
      <w:proofErr w:type="spellStart"/>
      <w:r w:rsidRPr="0045135C">
        <w:rPr>
          <w:lang w:val="en-GB"/>
        </w:rPr>
        <w:t>Ebd</w:t>
      </w:r>
      <w:proofErr w:type="spellEnd"/>
      <w:r w:rsidRPr="0045135C">
        <w:rPr>
          <w:lang w:val="en-GB"/>
        </w:rPr>
        <w:t>., S. 39.</w:t>
      </w:r>
    </w:p>
  </w:footnote>
  <w:footnote w:id="1808">
    <w:p w14:paraId="1FD63783" w14:textId="77777777" w:rsidR="0048023F" w:rsidRPr="0048023F" w:rsidRDefault="0048023F" w:rsidP="0048023F">
      <w:pPr>
        <w:pStyle w:val="Funotentext"/>
        <w:rPr>
          <w:lang w:val="en-GB"/>
        </w:rPr>
      </w:pPr>
      <w:r>
        <w:rPr>
          <w:rStyle w:val="Funotenzeichen"/>
        </w:rPr>
        <w:footnoteRef/>
      </w:r>
      <w:r w:rsidRPr="0048023F">
        <w:rPr>
          <w:lang w:val="en-GB"/>
        </w:rPr>
        <w:t xml:space="preserve"> „The financing needs required for the EU to meet its objectives are massive, but productive investment is</w:t>
      </w:r>
    </w:p>
    <w:p w14:paraId="40DAECE1" w14:textId="715BEDA0" w:rsidR="0048023F" w:rsidRPr="00601FCC" w:rsidRDefault="0048023F" w:rsidP="0048023F">
      <w:pPr>
        <w:pStyle w:val="Funotentext"/>
        <w:rPr>
          <w:lang w:val="fr-FR"/>
        </w:rPr>
      </w:pPr>
      <w:r w:rsidRPr="0048023F">
        <w:rPr>
          <w:lang w:val="en-GB"/>
        </w:rPr>
        <w:t>weak despite ample private savings [see the chapter on investment]. To meet the objectives laid out in this</w:t>
      </w:r>
      <w:r>
        <w:rPr>
          <w:lang w:val="en-GB"/>
        </w:rPr>
        <w:t xml:space="preserve"> </w:t>
      </w:r>
      <w:r w:rsidRPr="0048023F">
        <w:rPr>
          <w:lang w:val="en-GB"/>
        </w:rPr>
        <w:t>report,</w:t>
      </w:r>
      <w:r>
        <w:rPr>
          <w:lang w:val="en-GB"/>
        </w:rPr>
        <w:t xml:space="preserve"> </w:t>
      </w:r>
      <w:r w:rsidRPr="0048023F">
        <w:rPr>
          <w:lang w:val="en-GB"/>
        </w:rPr>
        <w:t>a minimum annual additional investment of EUR 750 to 800 billion is needed, based on the latest</w:t>
      </w:r>
      <w:r>
        <w:rPr>
          <w:lang w:val="en-GB"/>
        </w:rPr>
        <w:t xml:space="preserve"> </w:t>
      </w:r>
      <w:r w:rsidRPr="0048023F">
        <w:rPr>
          <w:lang w:val="en-GB"/>
        </w:rPr>
        <w:t>Commission estimates, corresponding to 4.4-4.7% of EU GDP in 2023.</w:t>
      </w:r>
      <w:r>
        <w:rPr>
          <w:lang w:val="en-GB"/>
        </w:rPr>
        <w:t xml:space="preserve">” </w:t>
      </w:r>
      <w:proofErr w:type="spellStart"/>
      <w:r w:rsidRPr="00601FCC">
        <w:rPr>
          <w:lang w:val="fr-FR"/>
        </w:rPr>
        <w:t>Ebd</w:t>
      </w:r>
      <w:proofErr w:type="spellEnd"/>
      <w:r w:rsidRPr="00601FCC">
        <w:rPr>
          <w:lang w:val="fr-FR"/>
        </w:rPr>
        <w:t>., S. 63.</w:t>
      </w:r>
    </w:p>
  </w:footnote>
  <w:footnote w:id="1809">
    <w:p w14:paraId="077F00A3" w14:textId="4285E5B7" w:rsidR="0042441C" w:rsidRPr="00315ED7" w:rsidRDefault="0042441C">
      <w:pPr>
        <w:pStyle w:val="Funotentext"/>
        <w:rPr>
          <w:lang w:val="fr-FR"/>
        </w:rPr>
      </w:pPr>
      <w:r>
        <w:rPr>
          <w:rStyle w:val="Funotenzeichen"/>
        </w:rPr>
        <w:footnoteRef/>
      </w:r>
      <w:r w:rsidRPr="00315ED7">
        <w:rPr>
          <w:lang w:val="fr-FR"/>
        </w:rPr>
        <w:t xml:space="preserve"> </w:t>
      </w:r>
      <w:r w:rsidR="00315ED7" w:rsidRPr="00315ED7">
        <w:rPr>
          <w:lang w:val="fr-FR"/>
        </w:rPr>
        <w:t xml:space="preserve">Part A. </w:t>
      </w:r>
      <w:proofErr w:type="spellStart"/>
      <w:r w:rsidRPr="00315ED7">
        <w:rPr>
          <w:lang w:val="fr-FR"/>
        </w:rPr>
        <w:t>Ebd</w:t>
      </w:r>
      <w:proofErr w:type="spellEnd"/>
      <w:r w:rsidRPr="00315ED7">
        <w:rPr>
          <w:lang w:val="fr-FR"/>
        </w:rPr>
        <w:t>., S. 39.</w:t>
      </w:r>
    </w:p>
  </w:footnote>
  <w:footnote w:id="1810">
    <w:p w14:paraId="0B7DB8C1" w14:textId="25CA83FC" w:rsidR="00815215" w:rsidRPr="00315ED7" w:rsidRDefault="00815215">
      <w:pPr>
        <w:pStyle w:val="Funotentext"/>
        <w:rPr>
          <w:lang w:val="fr-FR"/>
        </w:rPr>
      </w:pPr>
      <w:r>
        <w:rPr>
          <w:rStyle w:val="Funotenzeichen"/>
        </w:rPr>
        <w:footnoteRef/>
      </w:r>
      <w:r w:rsidRPr="00315ED7">
        <w:rPr>
          <w:lang w:val="fr-FR"/>
        </w:rPr>
        <w:t xml:space="preserve"> </w:t>
      </w:r>
      <w:r w:rsidR="00315ED7" w:rsidRPr="00315ED7">
        <w:rPr>
          <w:lang w:val="fr-FR"/>
        </w:rPr>
        <w:t xml:space="preserve">Part A. </w:t>
      </w:r>
      <w:proofErr w:type="spellStart"/>
      <w:r w:rsidRPr="00315ED7">
        <w:rPr>
          <w:lang w:val="fr-FR"/>
        </w:rPr>
        <w:t>Ebd</w:t>
      </w:r>
      <w:proofErr w:type="spellEnd"/>
      <w:r w:rsidRPr="00315ED7">
        <w:rPr>
          <w:lang w:val="fr-FR"/>
        </w:rPr>
        <w:t>., S. 41.</w:t>
      </w:r>
    </w:p>
  </w:footnote>
  <w:footnote w:id="1811">
    <w:p w14:paraId="12EEEEDE" w14:textId="6536209A" w:rsidR="00B12417" w:rsidRPr="00315ED7" w:rsidRDefault="00B12417">
      <w:pPr>
        <w:pStyle w:val="Funotentext"/>
        <w:rPr>
          <w:lang w:val="fr-FR"/>
        </w:rPr>
      </w:pPr>
      <w:r>
        <w:rPr>
          <w:rStyle w:val="Funotenzeichen"/>
        </w:rPr>
        <w:footnoteRef/>
      </w:r>
      <w:r w:rsidRPr="00315ED7">
        <w:rPr>
          <w:lang w:val="fr-FR"/>
        </w:rPr>
        <w:t xml:space="preserve"> </w:t>
      </w:r>
      <w:r w:rsidR="00315ED7" w:rsidRPr="00315ED7">
        <w:rPr>
          <w:lang w:val="fr-FR"/>
        </w:rPr>
        <w:t xml:space="preserve">Part A. </w:t>
      </w:r>
      <w:proofErr w:type="spellStart"/>
      <w:r w:rsidRPr="00315ED7">
        <w:rPr>
          <w:lang w:val="fr-FR"/>
        </w:rPr>
        <w:t>Ebd</w:t>
      </w:r>
      <w:proofErr w:type="spellEnd"/>
      <w:r w:rsidRPr="00315ED7">
        <w:rPr>
          <w:lang w:val="fr-FR"/>
        </w:rPr>
        <w:t>., S. 43-44.</w:t>
      </w:r>
    </w:p>
  </w:footnote>
  <w:footnote w:id="1812">
    <w:p w14:paraId="66145C99" w14:textId="688DADC7" w:rsidR="00543253" w:rsidRPr="00315ED7" w:rsidRDefault="00543253">
      <w:pPr>
        <w:pStyle w:val="Funotentext"/>
        <w:rPr>
          <w:lang w:val="fr-FR"/>
        </w:rPr>
      </w:pPr>
      <w:r>
        <w:rPr>
          <w:rStyle w:val="Funotenzeichen"/>
        </w:rPr>
        <w:footnoteRef/>
      </w:r>
      <w:r w:rsidRPr="00315ED7">
        <w:rPr>
          <w:lang w:val="fr-FR"/>
        </w:rPr>
        <w:t xml:space="preserve"> </w:t>
      </w:r>
      <w:r w:rsidR="00315ED7" w:rsidRPr="00315ED7">
        <w:rPr>
          <w:lang w:val="fr-FR"/>
        </w:rPr>
        <w:t xml:space="preserve">Part A. </w:t>
      </w:r>
      <w:proofErr w:type="spellStart"/>
      <w:r w:rsidRPr="00315ED7">
        <w:rPr>
          <w:lang w:val="fr-FR"/>
        </w:rPr>
        <w:t>Ebd</w:t>
      </w:r>
      <w:proofErr w:type="spellEnd"/>
      <w:r w:rsidRPr="00315ED7">
        <w:rPr>
          <w:lang w:val="fr-FR"/>
        </w:rPr>
        <w:t>., S. 50.</w:t>
      </w:r>
    </w:p>
  </w:footnote>
  <w:footnote w:id="1813">
    <w:p w14:paraId="6AAA5B31" w14:textId="1E509279" w:rsidR="00B12417" w:rsidRPr="00315ED7" w:rsidRDefault="00B12417">
      <w:pPr>
        <w:pStyle w:val="Funotentext"/>
        <w:rPr>
          <w:lang w:val="fr-FR"/>
        </w:rPr>
      </w:pPr>
      <w:r>
        <w:rPr>
          <w:rStyle w:val="Funotenzeichen"/>
        </w:rPr>
        <w:footnoteRef/>
      </w:r>
      <w:r w:rsidRPr="00315ED7">
        <w:rPr>
          <w:lang w:val="fr-FR"/>
        </w:rPr>
        <w:t xml:space="preserve"> </w:t>
      </w:r>
      <w:r w:rsidR="00315ED7" w:rsidRPr="00315ED7">
        <w:rPr>
          <w:lang w:val="fr-FR"/>
        </w:rPr>
        <w:t xml:space="preserve">Part A. </w:t>
      </w:r>
      <w:proofErr w:type="spellStart"/>
      <w:r w:rsidRPr="00315ED7">
        <w:rPr>
          <w:lang w:val="fr-FR"/>
        </w:rPr>
        <w:t>Ebd</w:t>
      </w:r>
      <w:proofErr w:type="spellEnd"/>
      <w:r w:rsidRPr="00315ED7">
        <w:rPr>
          <w:lang w:val="fr-FR"/>
        </w:rPr>
        <w:t>., S. 45.</w:t>
      </w:r>
    </w:p>
  </w:footnote>
  <w:footnote w:id="1814">
    <w:p w14:paraId="4A54C427" w14:textId="140FE402" w:rsidR="00B12417" w:rsidRPr="00315ED7" w:rsidRDefault="00B12417">
      <w:pPr>
        <w:pStyle w:val="Funotentext"/>
        <w:rPr>
          <w:lang w:val="fr-FR"/>
        </w:rPr>
      </w:pPr>
      <w:r>
        <w:rPr>
          <w:rStyle w:val="Funotenzeichen"/>
        </w:rPr>
        <w:footnoteRef/>
      </w:r>
      <w:r w:rsidRPr="00315ED7">
        <w:rPr>
          <w:lang w:val="fr-FR"/>
        </w:rPr>
        <w:t xml:space="preserve"> </w:t>
      </w:r>
      <w:r w:rsidR="00315ED7" w:rsidRPr="00315ED7">
        <w:rPr>
          <w:lang w:val="fr-FR"/>
        </w:rPr>
        <w:t xml:space="preserve">Part A. </w:t>
      </w:r>
      <w:proofErr w:type="spellStart"/>
      <w:r w:rsidRPr="00315ED7">
        <w:rPr>
          <w:lang w:val="fr-FR"/>
        </w:rPr>
        <w:t>Ebd</w:t>
      </w:r>
      <w:proofErr w:type="spellEnd"/>
      <w:r w:rsidRPr="00315ED7">
        <w:rPr>
          <w:lang w:val="fr-FR"/>
        </w:rPr>
        <w:t>., S. 43</w:t>
      </w:r>
      <w:r w:rsidR="00543253" w:rsidRPr="00315ED7">
        <w:rPr>
          <w:lang w:val="fr-FR"/>
        </w:rPr>
        <w:t>.</w:t>
      </w:r>
    </w:p>
  </w:footnote>
  <w:footnote w:id="1815">
    <w:p w14:paraId="43A6E5DA" w14:textId="638587DC" w:rsidR="00B12417" w:rsidRPr="00B12417" w:rsidRDefault="00B12417" w:rsidP="00B12417">
      <w:pPr>
        <w:pStyle w:val="Funotentext"/>
        <w:rPr>
          <w:lang w:val="en-GB"/>
        </w:rPr>
      </w:pPr>
      <w:r>
        <w:rPr>
          <w:rStyle w:val="Funotenzeichen"/>
        </w:rPr>
        <w:footnoteRef/>
      </w:r>
      <w:r w:rsidRPr="00B12417">
        <w:rPr>
          <w:lang w:val="en-GB"/>
        </w:rPr>
        <w:t xml:space="preserve"> </w:t>
      </w:r>
      <w:r>
        <w:rPr>
          <w:lang w:val="en-GB"/>
        </w:rPr>
        <w:t>“</w:t>
      </w:r>
      <w:proofErr w:type="gramStart"/>
      <w:r w:rsidRPr="00B12417">
        <w:rPr>
          <w:lang w:val="en-GB"/>
        </w:rPr>
        <w:t>for</w:t>
      </w:r>
      <w:proofErr w:type="gramEnd"/>
      <w:r w:rsidRPr="00B12417">
        <w:rPr>
          <w:lang w:val="en-GB"/>
        </w:rPr>
        <w:t xml:space="preserve"> example, solar PV manufacturing costs in China are around 35%-65% lower than in Europe and costs</w:t>
      </w:r>
    </w:p>
    <w:p w14:paraId="7C3498ED" w14:textId="50FA49CD" w:rsidR="00B12417" w:rsidRPr="00B12417" w:rsidRDefault="00B12417" w:rsidP="00B12417">
      <w:pPr>
        <w:pStyle w:val="Funotentext"/>
        <w:rPr>
          <w:lang w:val="en-GB"/>
        </w:rPr>
      </w:pPr>
      <w:r w:rsidRPr="00B12417">
        <w:rPr>
          <w:lang w:val="en-GB"/>
        </w:rPr>
        <w:t>for manufacturing battery cells are 20%-35% lowe</w:t>
      </w:r>
      <w:r>
        <w:rPr>
          <w:lang w:val="en-GB"/>
        </w:rPr>
        <w:t xml:space="preserve">r” </w:t>
      </w:r>
      <w:proofErr w:type="spellStart"/>
      <w:r w:rsidRPr="00B12417">
        <w:rPr>
          <w:lang w:val="en-GB"/>
        </w:rPr>
        <w:t>Ebd</w:t>
      </w:r>
      <w:proofErr w:type="spellEnd"/>
      <w:r w:rsidRPr="00B12417">
        <w:rPr>
          <w:lang w:val="en-GB"/>
        </w:rPr>
        <w:t>., S.</w:t>
      </w:r>
      <w:r>
        <w:rPr>
          <w:lang w:val="en-GB"/>
        </w:rPr>
        <w:t xml:space="preserve"> 47.</w:t>
      </w:r>
    </w:p>
  </w:footnote>
  <w:footnote w:id="1816">
    <w:p w14:paraId="794F5A05" w14:textId="40AACF1C" w:rsidR="00543253" w:rsidRPr="00315ED7" w:rsidRDefault="00543253">
      <w:pPr>
        <w:pStyle w:val="Funotentext"/>
        <w:rPr>
          <w:lang w:val="fr-FR"/>
        </w:rPr>
      </w:pPr>
      <w:r>
        <w:rPr>
          <w:rStyle w:val="Funotenzeichen"/>
        </w:rPr>
        <w:footnoteRef/>
      </w:r>
      <w:r w:rsidRPr="00315ED7">
        <w:rPr>
          <w:lang w:val="fr-FR"/>
        </w:rPr>
        <w:t xml:space="preserve"> </w:t>
      </w:r>
      <w:r w:rsidR="00315ED7" w:rsidRPr="00315ED7">
        <w:rPr>
          <w:lang w:val="fr-FR"/>
        </w:rPr>
        <w:t xml:space="preserve">Part A. </w:t>
      </w:r>
      <w:proofErr w:type="spellStart"/>
      <w:r w:rsidRPr="00315ED7">
        <w:rPr>
          <w:lang w:val="fr-FR"/>
        </w:rPr>
        <w:t>Ebd</w:t>
      </w:r>
      <w:proofErr w:type="spellEnd"/>
      <w:r w:rsidRPr="00315ED7">
        <w:rPr>
          <w:lang w:val="fr-FR"/>
        </w:rPr>
        <w:t>., S. 48.</w:t>
      </w:r>
    </w:p>
  </w:footnote>
  <w:footnote w:id="1817">
    <w:p w14:paraId="365D8A68" w14:textId="73D8295B" w:rsidR="00543253" w:rsidRPr="00315ED7" w:rsidRDefault="00543253">
      <w:pPr>
        <w:pStyle w:val="Funotentext"/>
        <w:rPr>
          <w:lang w:val="fr-FR"/>
        </w:rPr>
      </w:pPr>
      <w:r>
        <w:rPr>
          <w:rStyle w:val="Funotenzeichen"/>
        </w:rPr>
        <w:footnoteRef/>
      </w:r>
      <w:r w:rsidRPr="00315ED7">
        <w:rPr>
          <w:lang w:val="fr-FR"/>
        </w:rPr>
        <w:t xml:space="preserve"> </w:t>
      </w:r>
      <w:r w:rsidR="00315ED7" w:rsidRPr="00315ED7">
        <w:rPr>
          <w:lang w:val="fr-FR"/>
        </w:rPr>
        <w:t xml:space="preserve">Part A. </w:t>
      </w:r>
      <w:proofErr w:type="spellStart"/>
      <w:r w:rsidR="0048023F" w:rsidRPr="00315ED7">
        <w:rPr>
          <w:lang w:val="fr-FR"/>
        </w:rPr>
        <w:t>Ebd</w:t>
      </w:r>
      <w:proofErr w:type="spellEnd"/>
      <w:r w:rsidR="0048023F" w:rsidRPr="00315ED7">
        <w:rPr>
          <w:lang w:val="fr-FR"/>
        </w:rPr>
        <w:t>., S. 50.</w:t>
      </w:r>
    </w:p>
  </w:footnote>
  <w:footnote w:id="1818">
    <w:p w14:paraId="0DDD269E" w14:textId="46B76D23" w:rsidR="000C6DD7" w:rsidRPr="00601FCC" w:rsidRDefault="000C6DD7" w:rsidP="000C6DD7">
      <w:pPr>
        <w:pStyle w:val="Funotentext"/>
        <w:rPr>
          <w:lang w:val="en-GB"/>
        </w:rPr>
      </w:pPr>
      <w:r>
        <w:rPr>
          <w:rStyle w:val="Funotenzeichen"/>
        </w:rPr>
        <w:footnoteRef/>
      </w:r>
      <w:r w:rsidRPr="00601FCC">
        <w:rPr>
          <w:lang w:val="en-GB"/>
        </w:rPr>
        <w:t xml:space="preserve"> </w:t>
      </w:r>
      <w:bookmarkStart w:id="97" w:name="_Hlk198327048"/>
      <w:r w:rsidR="00315ED7" w:rsidRPr="00601FCC">
        <w:rPr>
          <w:lang w:val="en-GB"/>
        </w:rPr>
        <w:t xml:space="preserve">Part A. </w:t>
      </w:r>
      <w:proofErr w:type="spellStart"/>
      <w:r w:rsidRPr="00601FCC">
        <w:rPr>
          <w:lang w:val="en-GB"/>
        </w:rPr>
        <w:t>Ebd</w:t>
      </w:r>
      <w:proofErr w:type="spellEnd"/>
      <w:r w:rsidRPr="00601FCC">
        <w:rPr>
          <w:lang w:val="en-GB"/>
        </w:rPr>
        <w:t>., S. 64.</w:t>
      </w:r>
      <w:bookmarkEnd w:id="97"/>
    </w:p>
  </w:footnote>
  <w:footnote w:id="1819">
    <w:p w14:paraId="26269FCB" w14:textId="77777777" w:rsidR="00543253" w:rsidRPr="00543253" w:rsidRDefault="00543253" w:rsidP="00543253">
      <w:pPr>
        <w:pStyle w:val="Funotentext"/>
        <w:rPr>
          <w:lang w:val="en-GB"/>
        </w:rPr>
      </w:pPr>
      <w:r>
        <w:rPr>
          <w:rStyle w:val="Funotenzeichen"/>
        </w:rPr>
        <w:footnoteRef/>
      </w:r>
      <w:r w:rsidRPr="00543253">
        <w:rPr>
          <w:lang w:val="en-GB"/>
        </w:rPr>
        <w:t xml:space="preserve"> „While “hard-to-abate” industries will benefit from lower energy prices, the EU should take a pragmatic</w:t>
      </w:r>
    </w:p>
    <w:p w14:paraId="7937B491" w14:textId="6CB47877" w:rsidR="00543253" w:rsidRPr="00543253" w:rsidRDefault="00543253" w:rsidP="00543253">
      <w:pPr>
        <w:pStyle w:val="Funotentext"/>
        <w:rPr>
          <w:lang w:val="en-GB"/>
        </w:rPr>
      </w:pPr>
      <w:r w:rsidRPr="00543253">
        <w:rPr>
          <w:lang w:val="en-GB"/>
        </w:rPr>
        <w:t>approach to decarbonisation to mitigate potential trade-offs [see the chapters on energy-intensive industries, and transport]. For the EU to lead the decarbonisation of EIIs, a stronger focus is needed by both the EU</w:t>
      </w:r>
      <w:r>
        <w:rPr>
          <w:lang w:val="en-GB"/>
        </w:rPr>
        <w:t xml:space="preserve"> </w:t>
      </w:r>
      <w:r w:rsidRPr="00543253">
        <w:rPr>
          <w:lang w:val="en-GB"/>
        </w:rPr>
        <w:t>and</w:t>
      </w:r>
    </w:p>
    <w:p w14:paraId="55CF1A12" w14:textId="05E2B2E8" w:rsidR="00543253" w:rsidRPr="00543253" w:rsidRDefault="00543253" w:rsidP="00543253">
      <w:pPr>
        <w:pStyle w:val="Funotentext"/>
        <w:rPr>
          <w:lang w:val="en-GB"/>
        </w:rPr>
      </w:pPr>
      <w:r w:rsidRPr="00543253">
        <w:rPr>
          <w:lang w:val="en-GB"/>
        </w:rPr>
        <w:t xml:space="preserve">national governments to provide sufficient financial resources. The report recommends </w:t>
      </w:r>
      <w:proofErr w:type="spellStart"/>
      <w:r w:rsidRPr="00543253">
        <w:rPr>
          <w:lang w:val="en-GB"/>
        </w:rPr>
        <w:t>earmaking</w:t>
      </w:r>
      <w:proofErr w:type="spellEnd"/>
      <w:r w:rsidRPr="00543253">
        <w:rPr>
          <w:lang w:val="en-GB"/>
        </w:rPr>
        <w:t xml:space="preserve"> a larger</w:t>
      </w:r>
      <w:r>
        <w:rPr>
          <w:lang w:val="en-GB"/>
        </w:rPr>
        <w:t xml:space="preserve"> </w:t>
      </w:r>
      <w:r w:rsidRPr="00543253">
        <w:rPr>
          <w:lang w:val="en-GB"/>
        </w:rPr>
        <w:t>share</w:t>
      </w:r>
      <w:r>
        <w:rPr>
          <w:lang w:val="en-GB"/>
        </w:rPr>
        <w:t xml:space="preserve"> </w:t>
      </w:r>
      <w:r w:rsidRPr="00543253">
        <w:rPr>
          <w:lang w:val="en-GB"/>
        </w:rPr>
        <w:t>of ETS revenues to EIIs, with resources targeted towards innovating assets and processes and enhancing</w:t>
      </w:r>
      <w:r>
        <w:rPr>
          <w:lang w:val="en-GB"/>
        </w:rPr>
        <w:t xml:space="preserve"> </w:t>
      </w:r>
      <w:r w:rsidRPr="00543253">
        <w:rPr>
          <w:lang w:val="en-GB"/>
        </w:rPr>
        <w:t>the skills</w:t>
      </w:r>
      <w:r>
        <w:rPr>
          <w:lang w:val="en-GB"/>
        </w:rPr>
        <w:t xml:space="preserve"> </w:t>
      </w:r>
      <w:r w:rsidRPr="00543253">
        <w:rPr>
          <w:lang w:val="en-GB"/>
        </w:rPr>
        <w:t>needed for decarbonisation, for example by supporting the uptake of green hydrogen or carbon capture and storage</w:t>
      </w:r>
      <w:r>
        <w:rPr>
          <w:lang w:val="en-GB"/>
        </w:rPr>
        <w:t xml:space="preserve"> </w:t>
      </w:r>
      <w:r w:rsidRPr="00543253">
        <w:rPr>
          <w:lang w:val="en-GB"/>
        </w:rPr>
        <w:t>solutions. ETS revenues should also be used to support the decarbonisation of the transport sector, helping reach</w:t>
      </w:r>
      <w:r>
        <w:rPr>
          <w:lang w:val="en-GB"/>
        </w:rPr>
        <w:t xml:space="preserve"> </w:t>
      </w:r>
      <w:r w:rsidRPr="00543253">
        <w:rPr>
          <w:lang w:val="en-GB"/>
        </w:rPr>
        <w:t>the EU’s milestones for shifting more activity to sustainable modes of transport. Decarbonisation funding across the</w:t>
      </w:r>
      <w:r>
        <w:rPr>
          <w:lang w:val="en-GB"/>
        </w:rPr>
        <w:t xml:space="preserve"> </w:t>
      </w:r>
      <w:r w:rsidRPr="00543253">
        <w:rPr>
          <w:lang w:val="en-GB"/>
        </w:rPr>
        <w:t xml:space="preserve">EU should be based on common, </w:t>
      </w:r>
      <w:proofErr w:type="gramStart"/>
      <w:r w:rsidRPr="00543253">
        <w:rPr>
          <w:lang w:val="en-GB"/>
        </w:rPr>
        <w:t>competitive</w:t>
      </w:r>
      <w:proofErr w:type="gramEnd"/>
      <w:r w:rsidRPr="00543253">
        <w:rPr>
          <w:lang w:val="en-GB"/>
        </w:rPr>
        <w:t xml:space="preserve"> and simple instruments, such as Carbon </w:t>
      </w:r>
      <w:proofErr w:type="spellStart"/>
      <w:r w:rsidRPr="00543253">
        <w:rPr>
          <w:lang w:val="en-GB"/>
        </w:rPr>
        <w:t>CfDs</w:t>
      </w:r>
      <w:proofErr w:type="spellEnd"/>
      <w:r w:rsidRPr="00543253">
        <w:rPr>
          <w:lang w:val="en-GB"/>
        </w:rPr>
        <w:t xml:space="preserve"> or competitive auctions</w:t>
      </w:r>
      <w:r>
        <w:rPr>
          <w:lang w:val="en-GB"/>
        </w:rPr>
        <w:t xml:space="preserve"> </w:t>
      </w:r>
      <w:r w:rsidRPr="00543253">
        <w:rPr>
          <w:lang w:val="en-GB"/>
        </w:rPr>
        <w:t xml:space="preserve">by the European Hydrogen Bank. A basket of options should be in place to financially support transport decarbonisation. These could include </w:t>
      </w:r>
      <w:proofErr w:type="spellStart"/>
      <w:r w:rsidRPr="00543253">
        <w:rPr>
          <w:lang w:val="en-GB"/>
        </w:rPr>
        <w:t>CfDs</w:t>
      </w:r>
      <w:proofErr w:type="spellEnd"/>
      <w:r w:rsidRPr="00543253">
        <w:rPr>
          <w:lang w:val="en-GB"/>
        </w:rPr>
        <w:t xml:space="preserve"> to de-risk investment in low carbon fuels, blending EU grants with support by EIB and</w:t>
      </w:r>
      <w:r>
        <w:rPr>
          <w:lang w:val="en-GB"/>
        </w:rPr>
        <w:t xml:space="preserve"> </w:t>
      </w:r>
      <w:r w:rsidRPr="00543253">
        <w:rPr>
          <w:lang w:val="en-GB"/>
        </w:rPr>
        <w:t>National Promotional Banks, and Regulatory Asset Based models for investment in (high speed) railway infrastructure.</w:t>
      </w:r>
      <w:r>
        <w:rPr>
          <w:lang w:val="en-GB"/>
        </w:rPr>
        <w:t xml:space="preserve"> </w:t>
      </w:r>
      <w:r w:rsidRPr="00543253">
        <w:rPr>
          <w:lang w:val="en-GB"/>
        </w:rPr>
        <w:t>At the same time, a global level playing field for EIIs and transport operators should be ensured during the transition.</w:t>
      </w:r>
      <w:r w:rsidR="0048023F">
        <w:rPr>
          <w:lang w:val="en-GB"/>
        </w:rPr>
        <w:t xml:space="preserve"> </w:t>
      </w:r>
      <w:r w:rsidRPr="00543253">
        <w:rPr>
          <w:lang w:val="en-GB"/>
        </w:rPr>
        <w:t>While CBAM is an important instrument for European companies to stay competitive against their international peers</w:t>
      </w:r>
      <w:r w:rsidR="0048023F">
        <w:rPr>
          <w:lang w:val="en-GB"/>
        </w:rPr>
        <w:t xml:space="preserve"> </w:t>
      </w:r>
      <w:r w:rsidRPr="00543253">
        <w:rPr>
          <w:lang w:val="en-GB"/>
        </w:rPr>
        <w:t>that face lower or no carbon prices, its success is still uncertain. The EU should closely monitor and improve the</w:t>
      </w:r>
      <w:r w:rsidR="0048023F">
        <w:rPr>
          <w:lang w:val="en-GB"/>
        </w:rPr>
        <w:t xml:space="preserve"> </w:t>
      </w:r>
      <w:r w:rsidRPr="00543253">
        <w:rPr>
          <w:lang w:val="en-GB"/>
        </w:rPr>
        <w:t>CBAM design during the transition phase and consider postponing the phase out of free ETS free allowances for</w:t>
      </w:r>
      <w:r w:rsidR="0048023F">
        <w:rPr>
          <w:lang w:val="en-GB"/>
        </w:rPr>
        <w:t xml:space="preserve"> </w:t>
      </w:r>
      <w:r w:rsidRPr="00543253">
        <w:rPr>
          <w:lang w:val="en-GB"/>
        </w:rPr>
        <w:t>EIIs if implementation is ineffective.</w:t>
      </w:r>
      <w:r w:rsidR="0048023F">
        <w:rPr>
          <w:lang w:val="en-GB"/>
        </w:rPr>
        <w:t xml:space="preserve">” </w:t>
      </w:r>
      <w:r w:rsidR="00315ED7" w:rsidRPr="00601FCC">
        <w:rPr>
          <w:lang w:val="en-GB"/>
        </w:rPr>
        <w:t xml:space="preserve">Part A. </w:t>
      </w:r>
      <w:proofErr w:type="spellStart"/>
      <w:r w:rsidR="0048023F" w:rsidRPr="00B12417">
        <w:rPr>
          <w:lang w:val="en-GB"/>
        </w:rPr>
        <w:t>Ebd</w:t>
      </w:r>
      <w:proofErr w:type="spellEnd"/>
      <w:r w:rsidR="0048023F" w:rsidRPr="00B12417">
        <w:rPr>
          <w:lang w:val="en-GB"/>
        </w:rPr>
        <w:t>., S.</w:t>
      </w:r>
      <w:r w:rsidR="0048023F">
        <w:rPr>
          <w:lang w:val="en-GB"/>
        </w:rPr>
        <w:t xml:space="preserve"> 51.</w:t>
      </w:r>
    </w:p>
  </w:footnote>
  <w:footnote w:id="1820">
    <w:p w14:paraId="06D7084E" w14:textId="64F623EE" w:rsidR="0048023F" w:rsidRPr="00FF28C3" w:rsidRDefault="0048023F">
      <w:pPr>
        <w:pStyle w:val="Funotentext"/>
        <w:rPr>
          <w:lang w:val="en-GB"/>
        </w:rPr>
      </w:pPr>
      <w:r>
        <w:rPr>
          <w:rStyle w:val="Funotenzeichen"/>
        </w:rPr>
        <w:footnoteRef/>
      </w:r>
      <w:r w:rsidRPr="00FF28C3">
        <w:rPr>
          <w:lang w:val="en-GB"/>
        </w:rPr>
        <w:t xml:space="preserve"> </w:t>
      </w:r>
      <w:r w:rsidR="00315ED7" w:rsidRPr="00601FCC">
        <w:rPr>
          <w:lang w:val="en-GB"/>
        </w:rPr>
        <w:t xml:space="preserve">Part A. </w:t>
      </w:r>
      <w:proofErr w:type="spellStart"/>
      <w:r w:rsidRPr="00B12417">
        <w:rPr>
          <w:lang w:val="en-GB"/>
        </w:rPr>
        <w:t>Ebd</w:t>
      </w:r>
      <w:proofErr w:type="spellEnd"/>
      <w:r w:rsidRPr="00B12417">
        <w:rPr>
          <w:lang w:val="en-GB"/>
        </w:rPr>
        <w:t>., S.</w:t>
      </w:r>
      <w:r>
        <w:rPr>
          <w:lang w:val="en-GB"/>
        </w:rPr>
        <w:t xml:space="preserve"> 56.</w:t>
      </w:r>
    </w:p>
  </w:footnote>
  <w:footnote w:id="1821">
    <w:p w14:paraId="2BCC88A6" w14:textId="69A64B42" w:rsidR="00FF28C3" w:rsidRPr="0045135C" w:rsidRDefault="00FF28C3" w:rsidP="00FF28C3">
      <w:pPr>
        <w:pStyle w:val="Funotentext"/>
      </w:pPr>
      <w:r>
        <w:rPr>
          <w:rStyle w:val="Funotenzeichen"/>
        </w:rPr>
        <w:footnoteRef/>
      </w:r>
      <w:r w:rsidRPr="00FF28C3">
        <w:rPr>
          <w:lang w:val="en-GB"/>
        </w:rPr>
        <w:t xml:space="preserve"> </w:t>
      </w:r>
      <w:proofErr w:type="spellStart"/>
      <w:r w:rsidRPr="00AC5312">
        <w:rPr>
          <w:lang w:val="en-GB"/>
        </w:rPr>
        <w:t>Siehe</w:t>
      </w:r>
      <w:proofErr w:type="spellEnd"/>
      <w:r>
        <w:rPr>
          <w:lang w:val="en-GB"/>
        </w:rPr>
        <w:t>:</w:t>
      </w:r>
      <w:r w:rsidRPr="00AC5312">
        <w:rPr>
          <w:lang w:val="en-GB"/>
        </w:rPr>
        <w:t xml:space="preserve"> </w:t>
      </w:r>
      <w:bookmarkStart w:id="98" w:name="_Hlk202814024"/>
      <w:r w:rsidRPr="00AC5312">
        <w:rPr>
          <w:lang w:val="en-GB"/>
        </w:rPr>
        <w:t>The future of European co</w:t>
      </w:r>
      <w:r>
        <w:rPr>
          <w:lang w:val="en-GB"/>
        </w:rPr>
        <w:t xml:space="preserve">mpetitiveness, Part B In-dept analysis and recommendations. </w:t>
      </w:r>
      <w:r w:rsidRPr="0045135C">
        <w:t xml:space="preserve">September 2024: </w:t>
      </w:r>
      <w:hyperlink r:id="rId1372" w:history="1">
        <w:r w:rsidRPr="0045135C">
          <w:rPr>
            <w:rStyle w:val="Hyperlink"/>
          </w:rPr>
          <w:t>https://commission.europa.eu/topics/eu-competitiveness/draghi-report_en</w:t>
        </w:r>
      </w:hyperlink>
      <w:r w:rsidRPr="0045135C">
        <w:t xml:space="preserve"> - Zugegriffen: 15.05.2025.</w:t>
      </w:r>
    </w:p>
    <w:bookmarkEnd w:id="98"/>
  </w:footnote>
  <w:footnote w:id="1822">
    <w:p w14:paraId="734770B0" w14:textId="164F7750" w:rsidR="00FF28C3" w:rsidRPr="00315ED7" w:rsidRDefault="00FF28C3">
      <w:pPr>
        <w:pStyle w:val="Funotentext"/>
        <w:rPr>
          <w:lang w:val="fr-FR"/>
        </w:rPr>
      </w:pPr>
      <w:r>
        <w:rPr>
          <w:rStyle w:val="Funotenzeichen"/>
        </w:rPr>
        <w:footnoteRef/>
      </w:r>
      <w:r w:rsidRPr="00315ED7">
        <w:rPr>
          <w:lang w:val="fr-FR"/>
        </w:rPr>
        <w:t xml:space="preserve"> </w:t>
      </w:r>
      <w:r w:rsidR="00315ED7" w:rsidRPr="00315ED7">
        <w:rPr>
          <w:lang w:val="fr-FR"/>
        </w:rPr>
        <w:t xml:space="preserve">Part B. </w:t>
      </w:r>
      <w:proofErr w:type="spellStart"/>
      <w:r w:rsidRPr="00315ED7">
        <w:rPr>
          <w:lang w:val="fr-FR"/>
        </w:rPr>
        <w:t>Ebd</w:t>
      </w:r>
      <w:proofErr w:type="spellEnd"/>
      <w:r w:rsidRPr="00315ED7">
        <w:rPr>
          <w:lang w:val="fr-FR"/>
        </w:rPr>
        <w:t>., S. 92.</w:t>
      </w:r>
    </w:p>
  </w:footnote>
  <w:footnote w:id="1823">
    <w:p w14:paraId="4A3722DC" w14:textId="50B21F54" w:rsidR="00B23E3D" w:rsidRPr="00315ED7" w:rsidRDefault="00B23E3D">
      <w:pPr>
        <w:pStyle w:val="Funotentext"/>
        <w:rPr>
          <w:lang w:val="fr-FR"/>
        </w:rPr>
      </w:pPr>
      <w:r>
        <w:rPr>
          <w:rStyle w:val="Funotenzeichen"/>
        </w:rPr>
        <w:footnoteRef/>
      </w:r>
      <w:r w:rsidRPr="00315ED7">
        <w:rPr>
          <w:lang w:val="fr-FR"/>
        </w:rPr>
        <w:t xml:space="preserve"> </w:t>
      </w:r>
      <w:r w:rsidR="00315ED7" w:rsidRPr="00315ED7">
        <w:rPr>
          <w:lang w:val="fr-FR"/>
        </w:rPr>
        <w:t xml:space="preserve">Part B. </w:t>
      </w:r>
      <w:proofErr w:type="spellStart"/>
      <w:r w:rsidRPr="00315ED7">
        <w:rPr>
          <w:lang w:val="fr-FR"/>
        </w:rPr>
        <w:t>Ebd</w:t>
      </w:r>
      <w:proofErr w:type="spellEnd"/>
      <w:r w:rsidRPr="00315ED7">
        <w:rPr>
          <w:lang w:val="fr-FR"/>
        </w:rPr>
        <w:t>., S. 99.</w:t>
      </w:r>
    </w:p>
  </w:footnote>
  <w:footnote w:id="1824">
    <w:p w14:paraId="73AEED15" w14:textId="5C68C2AD" w:rsidR="00B23E3D" w:rsidRPr="00315ED7" w:rsidRDefault="00B23E3D">
      <w:pPr>
        <w:pStyle w:val="Funotentext"/>
        <w:rPr>
          <w:lang w:val="fr-FR"/>
        </w:rPr>
      </w:pPr>
      <w:r>
        <w:rPr>
          <w:rStyle w:val="Funotenzeichen"/>
        </w:rPr>
        <w:footnoteRef/>
      </w:r>
      <w:r w:rsidRPr="00315ED7">
        <w:rPr>
          <w:lang w:val="fr-FR"/>
        </w:rPr>
        <w:t xml:space="preserve"> </w:t>
      </w:r>
      <w:r w:rsidR="00315ED7" w:rsidRPr="00315ED7">
        <w:rPr>
          <w:lang w:val="fr-FR"/>
        </w:rPr>
        <w:t xml:space="preserve">Part B. </w:t>
      </w:r>
      <w:proofErr w:type="spellStart"/>
      <w:r w:rsidRPr="00315ED7">
        <w:rPr>
          <w:lang w:val="fr-FR"/>
        </w:rPr>
        <w:t>Ebd</w:t>
      </w:r>
      <w:proofErr w:type="spellEnd"/>
      <w:r w:rsidRPr="00315ED7">
        <w:rPr>
          <w:lang w:val="fr-FR"/>
        </w:rPr>
        <w:t>., S. 99.</w:t>
      </w:r>
    </w:p>
  </w:footnote>
  <w:footnote w:id="1825">
    <w:p w14:paraId="2B0F88B7" w14:textId="3A01513F" w:rsidR="00B23E3D" w:rsidRPr="00315ED7" w:rsidRDefault="00B23E3D">
      <w:pPr>
        <w:pStyle w:val="Funotentext"/>
        <w:rPr>
          <w:lang w:val="fr-FR"/>
        </w:rPr>
      </w:pPr>
      <w:r>
        <w:rPr>
          <w:rStyle w:val="Funotenzeichen"/>
        </w:rPr>
        <w:footnoteRef/>
      </w:r>
      <w:r w:rsidRPr="00315ED7">
        <w:rPr>
          <w:lang w:val="fr-FR"/>
        </w:rPr>
        <w:t xml:space="preserve"> </w:t>
      </w:r>
      <w:r w:rsidR="00315ED7" w:rsidRPr="00315ED7">
        <w:rPr>
          <w:lang w:val="fr-FR"/>
        </w:rPr>
        <w:t xml:space="preserve">Part B. </w:t>
      </w:r>
      <w:proofErr w:type="spellStart"/>
      <w:r w:rsidRPr="00315ED7">
        <w:rPr>
          <w:lang w:val="fr-FR"/>
        </w:rPr>
        <w:t>Ebd</w:t>
      </w:r>
      <w:proofErr w:type="spellEnd"/>
      <w:r w:rsidRPr="00315ED7">
        <w:rPr>
          <w:lang w:val="fr-FR"/>
        </w:rPr>
        <w:t>., S. 100.</w:t>
      </w:r>
    </w:p>
  </w:footnote>
  <w:footnote w:id="1826">
    <w:p w14:paraId="12D90337" w14:textId="5F96B507" w:rsidR="00D52A07" w:rsidRPr="00315ED7" w:rsidRDefault="00D52A07">
      <w:pPr>
        <w:pStyle w:val="Funotentext"/>
        <w:rPr>
          <w:lang w:val="fr-FR"/>
        </w:rPr>
      </w:pPr>
      <w:r>
        <w:rPr>
          <w:rStyle w:val="Funotenzeichen"/>
        </w:rPr>
        <w:footnoteRef/>
      </w:r>
      <w:r w:rsidRPr="00315ED7">
        <w:rPr>
          <w:lang w:val="fr-FR"/>
        </w:rPr>
        <w:t xml:space="preserve"> </w:t>
      </w:r>
      <w:r w:rsidR="00315ED7" w:rsidRPr="00315ED7">
        <w:rPr>
          <w:lang w:val="fr-FR"/>
        </w:rPr>
        <w:t xml:space="preserve">Part B. </w:t>
      </w:r>
      <w:proofErr w:type="spellStart"/>
      <w:r w:rsidRPr="00315ED7">
        <w:rPr>
          <w:lang w:val="fr-FR"/>
        </w:rPr>
        <w:t>Ebd</w:t>
      </w:r>
      <w:proofErr w:type="spellEnd"/>
      <w:r w:rsidRPr="00315ED7">
        <w:rPr>
          <w:lang w:val="fr-FR"/>
        </w:rPr>
        <w:t>., S. 100.</w:t>
      </w:r>
    </w:p>
  </w:footnote>
  <w:footnote w:id="1827">
    <w:p w14:paraId="210B58F2" w14:textId="33ABB0E6" w:rsidR="00D52A07" w:rsidRPr="00315ED7" w:rsidRDefault="00D52A07">
      <w:pPr>
        <w:pStyle w:val="Funotentext"/>
        <w:rPr>
          <w:lang w:val="fr-FR"/>
        </w:rPr>
      </w:pPr>
      <w:r>
        <w:rPr>
          <w:rStyle w:val="Funotenzeichen"/>
        </w:rPr>
        <w:footnoteRef/>
      </w:r>
      <w:r w:rsidRPr="00315ED7">
        <w:rPr>
          <w:lang w:val="fr-FR"/>
        </w:rPr>
        <w:t xml:space="preserve"> </w:t>
      </w:r>
      <w:r w:rsidR="00315ED7" w:rsidRPr="00315ED7">
        <w:rPr>
          <w:lang w:val="fr-FR"/>
        </w:rPr>
        <w:t xml:space="preserve">Part B. </w:t>
      </w:r>
      <w:proofErr w:type="spellStart"/>
      <w:r w:rsidRPr="00315ED7">
        <w:rPr>
          <w:lang w:val="fr-FR"/>
        </w:rPr>
        <w:t>Ebd</w:t>
      </w:r>
      <w:proofErr w:type="spellEnd"/>
      <w:r w:rsidRPr="00315ED7">
        <w:rPr>
          <w:lang w:val="fr-FR"/>
        </w:rPr>
        <w:t>., S. 101.</w:t>
      </w:r>
    </w:p>
  </w:footnote>
  <w:footnote w:id="1828">
    <w:p w14:paraId="17B9488A" w14:textId="5CAE3BD9" w:rsidR="00D52A07" w:rsidRPr="00315ED7" w:rsidRDefault="00D52A07">
      <w:pPr>
        <w:pStyle w:val="Funotentext"/>
        <w:rPr>
          <w:lang w:val="fr-FR"/>
        </w:rPr>
      </w:pPr>
      <w:r>
        <w:rPr>
          <w:rStyle w:val="Funotenzeichen"/>
        </w:rPr>
        <w:footnoteRef/>
      </w:r>
      <w:r w:rsidRPr="00315ED7">
        <w:rPr>
          <w:lang w:val="fr-FR"/>
        </w:rPr>
        <w:t xml:space="preserve"> </w:t>
      </w:r>
      <w:r w:rsidR="00315ED7" w:rsidRPr="00315ED7">
        <w:rPr>
          <w:lang w:val="fr-FR"/>
        </w:rPr>
        <w:t xml:space="preserve">Part B. </w:t>
      </w:r>
      <w:proofErr w:type="spellStart"/>
      <w:r w:rsidRPr="00315ED7">
        <w:rPr>
          <w:lang w:val="fr-FR"/>
        </w:rPr>
        <w:t>Ebd</w:t>
      </w:r>
      <w:proofErr w:type="spellEnd"/>
      <w:r w:rsidRPr="00315ED7">
        <w:rPr>
          <w:lang w:val="fr-FR"/>
        </w:rPr>
        <w:t>., S. 101.</w:t>
      </w:r>
    </w:p>
  </w:footnote>
  <w:footnote w:id="1829">
    <w:p w14:paraId="6436E520" w14:textId="233ADAEF" w:rsidR="00D52A07" w:rsidRPr="00315ED7" w:rsidRDefault="00D52A07">
      <w:pPr>
        <w:pStyle w:val="Funotentext"/>
        <w:rPr>
          <w:lang w:val="fr-FR"/>
        </w:rPr>
      </w:pPr>
      <w:r>
        <w:rPr>
          <w:rStyle w:val="Funotenzeichen"/>
        </w:rPr>
        <w:footnoteRef/>
      </w:r>
      <w:r w:rsidRPr="00315ED7">
        <w:rPr>
          <w:lang w:val="fr-FR"/>
        </w:rPr>
        <w:t xml:space="preserve"> </w:t>
      </w:r>
      <w:r w:rsidR="00315ED7" w:rsidRPr="00315ED7">
        <w:rPr>
          <w:lang w:val="fr-FR"/>
        </w:rPr>
        <w:t xml:space="preserve">Part B. </w:t>
      </w:r>
      <w:proofErr w:type="spellStart"/>
      <w:r w:rsidRPr="00315ED7">
        <w:rPr>
          <w:lang w:val="fr-FR"/>
        </w:rPr>
        <w:t>Ebd</w:t>
      </w:r>
      <w:proofErr w:type="spellEnd"/>
      <w:r w:rsidRPr="00315ED7">
        <w:rPr>
          <w:lang w:val="fr-FR"/>
        </w:rPr>
        <w:t>., S. 103.</w:t>
      </w:r>
    </w:p>
  </w:footnote>
  <w:footnote w:id="1830">
    <w:p w14:paraId="610F8514" w14:textId="23EDDA44" w:rsidR="0030702C" w:rsidRPr="00315ED7" w:rsidRDefault="0030702C">
      <w:pPr>
        <w:pStyle w:val="Funotentext"/>
        <w:rPr>
          <w:lang w:val="fr-FR"/>
        </w:rPr>
      </w:pPr>
      <w:r>
        <w:rPr>
          <w:rStyle w:val="Funotenzeichen"/>
        </w:rPr>
        <w:footnoteRef/>
      </w:r>
      <w:r w:rsidRPr="00315ED7">
        <w:rPr>
          <w:lang w:val="fr-FR"/>
        </w:rPr>
        <w:t xml:space="preserve"> </w:t>
      </w:r>
      <w:r w:rsidR="00315ED7" w:rsidRPr="00315ED7">
        <w:rPr>
          <w:lang w:val="fr-FR"/>
        </w:rPr>
        <w:t xml:space="preserve">Part B. </w:t>
      </w:r>
      <w:proofErr w:type="spellStart"/>
      <w:r w:rsidRPr="00315ED7">
        <w:rPr>
          <w:lang w:val="fr-FR"/>
        </w:rPr>
        <w:t>Ebd</w:t>
      </w:r>
      <w:proofErr w:type="spellEnd"/>
      <w:r w:rsidRPr="00315ED7">
        <w:rPr>
          <w:lang w:val="fr-FR"/>
        </w:rPr>
        <w:t>., S. 104.</w:t>
      </w:r>
    </w:p>
  </w:footnote>
  <w:footnote w:id="1831">
    <w:p w14:paraId="4BB3ABD9" w14:textId="76DB3B91" w:rsidR="0030702C" w:rsidRPr="00315ED7" w:rsidRDefault="0030702C">
      <w:pPr>
        <w:pStyle w:val="Funotentext"/>
        <w:rPr>
          <w:lang w:val="fr-FR"/>
        </w:rPr>
      </w:pPr>
      <w:r>
        <w:rPr>
          <w:rStyle w:val="Funotenzeichen"/>
        </w:rPr>
        <w:footnoteRef/>
      </w:r>
      <w:r w:rsidRPr="00315ED7">
        <w:rPr>
          <w:lang w:val="fr-FR"/>
        </w:rPr>
        <w:t xml:space="preserve"> </w:t>
      </w:r>
      <w:r w:rsidR="00315ED7" w:rsidRPr="00315ED7">
        <w:rPr>
          <w:lang w:val="fr-FR"/>
        </w:rPr>
        <w:t xml:space="preserve">Part B. </w:t>
      </w:r>
      <w:proofErr w:type="spellStart"/>
      <w:r w:rsidRPr="00315ED7">
        <w:rPr>
          <w:lang w:val="fr-FR"/>
        </w:rPr>
        <w:t>Ebd</w:t>
      </w:r>
      <w:proofErr w:type="spellEnd"/>
      <w:r w:rsidRPr="00315ED7">
        <w:rPr>
          <w:lang w:val="fr-FR"/>
        </w:rPr>
        <w:t>., S. 105.</w:t>
      </w:r>
    </w:p>
  </w:footnote>
  <w:footnote w:id="1832">
    <w:p w14:paraId="533B84C6" w14:textId="77777777" w:rsidR="00F3477B" w:rsidRPr="00F3477B" w:rsidRDefault="00F3477B" w:rsidP="00F3477B">
      <w:pPr>
        <w:pStyle w:val="Funotentext"/>
        <w:rPr>
          <w:lang w:val="en-GB"/>
        </w:rPr>
      </w:pPr>
      <w:r>
        <w:rPr>
          <w:rStyle w:val="Funotenzeichen"/>
        </w:rPr>
        <w:footnoteRef/>
      </w:r>
      <w:r w:rsidRPr="00F3477B">
        <w:rPr>
          <w:lang w:val="en-GB"/>
        </w:rPr>
        <w:t xml:space="preserve"> „The demand for grid components (e.g. cables, </w:t>
      </w:r>
      <w:proofErr w:type="gramStart"/>
      <w:r w:rsidRPr="00F3477B">
        <w:rPr>
          <w:lang w:val="en-GB"/>
        </w:rPr>
        <w:t>converters</w:t>
      </w:r>
      <w:proofErr w:type="gramEnd"/>
      <w:r w:rsidRPr="00F3477B">
        <w:rPr>
          <w:lang w:val="en-GB"/>
        </w:rPr>
        <w:t xml:space="preserve"> and substations) is also set to surge and exceed</w:t>
      </w:r>
    </w:p>
    <w:p w14:paraId="0193B07E" w14:textId="5EDE2C01" w:rsidR="00F3477B" w:rsidRPr="00601FCC" w:rsidRDefault="00F3477B" w:rsidP="00F3477B">
      <w:pPr>
        <w:pStyle w:val="Funotentext"/>
        <w:rPr>
          <w:lang w:val="fr-FR"/>
        </w:rPr>
      </w:pPr>
      <w:r w:rsidRPr="00F3477B">
        <w:rPr>
          <w:lang w:val="en-GB"/>
        </w:rPr>
        <w:t>manufacturing capacity in Europe. It will be necessary to renew over 7 million km of power lines across all</w:t>
      </w:r>
      <w:r>
        <w:rPr>
          <w:lang w:val="en-GB"/>
        </w:rPr>
        <w:t xml:space="preserve"> </w:t>
      </w:r>
      <w:r w:rsidRPr="00F3477B">
        <w:rPr>
          <w:lang w:val="en-GB"/>
        </w:rPr>
        <w:t>voltage</w:t>
      </w:r>
      <w:r>
        <w:rPr>
          <w:lang w:val="en-GB"/>
        </w:rPr>
        <w:t xml:space="preserve"> </w:t>
      </w:r>
      <w:r w:rsidRPr="00F3477B">
        <w:rPr>
          <w:lang w:val="en-GB"/>
        </w:rPr>
        <w:t>levels by 2050 for distribution and transmission, as well as over 43,000 km of additional cables at</w:t>
      </w:r>
      <w:r>
        <w:rPr>
          <w:lang w:val="en-GB"/>
        </w:rPr>
        <w:t xml:space="preserve"> </w:t>
      </w:r>
      <w:r w:rsidRPr="00F3477B">
        <w:rPr>
          <w:lang w:val="en-GB"/>
        </w:rPr>
        <w:t>transmission level</w:t>
      </w:r>
      <w:r>
        <w:rPr>
          <w:lang w:val="en-GB"/>
        </w:rPr>
        <w:t xml:space="preserve">. </w:t>
      </w:r>
      <w:r w:rsidRPr="00F3477B">
        <w:rPr>
          <w:lang w:val="en-GB"/>
        </w:rPr>
        <w:t>Despite the EU grid manufacturing industry’s global leadership, grid project promoters flag</w:t>
      </w:r>
      <w:r>
        <w:rPr>
          <w:lang w:val="en-GB"/>
        </w:rPr>
        <w:t xml:space="preserve"> </w:t>
      </w:r>
      <w:r w:rsidRPr="00F3477B">
        <w:rPr>
          <w:lang w:val="en-GB"/>
        </w:rPr>
        <w:t>long and growing lead</w:t>
      </w:r>
      <w:r>
        <w:rPr>
          <w:lang w:val="en-GB"/>
        </w:rPr>
        <w:t xml:space="preserve"> </w:t>
      </w:r>
      <w:r w:rsidRPr="00F3477B">
        <w:rPr>
          <w:lang w:val="en-GB"/>
        </w:rPr>
        <w:t xml:space="preserve">times for procuring specific grid components – sometimes of several years, even for the most urgent </w:t>
      </w:r>
      <w:proofErr w:type="gramStart"/>
      <w:r w:rsidRPr="00F3477B">
        <w:rPr>
          <w:lang w:val="en-GB"/>
        </w:rPr>
        <w:t>IPCEIs“</w:t>
      </w:r>
      <w:proofErr w:type="gramEnd"/>
      <w:r w:rsidRPr="00F3477B">
        <w:rPr>
          <w:lang w:val="en-GB"/>
        </w:rPr>
        <w:t xml:space="preserve">. </w:t>
      </w:r>
      <w:proofErr w:type="spellStart"/>
      <w:r w:rsidRPr="00601FCC">
        <w:rPr>
          <w:lang w:val="fr-FR"/>
        </w:rPr>
        <w:t>Ebd</w:t>
      </w:r>
      <w:proofErr w:type="spellEnd"/>
      <w:r w:rsidRPr="00601FCC">
        <w:rPr>
          <w:lang w:val="fr-FR"/>
        </w:rPr>
        <w:t>., S. 15.</w:t>
      </w:r>
    </w:p>
  </w:footnote>
  <w:footnote w:id="1833">
    <w:p w14:paraId="5FA68A03" w14:textId="538913D9" w:rsidR="006B0649" w:rsidRPr="00315ED7" w:rsidRDefault="006B0649">
      <w:pPr>
        <w:pStyle w:val="Funotentext"/>
        <w:rPr>
          <w:lang w:val="fr-FR"/>
        </w:rPr>
      </w:pPr>
      <w:r>
        <w:rPr>
          <w:rStyle w:val="Funotenzeichen"/>
        </w:rPr>
        <w:footnoteRef/>
      </w:r>
      <w:r w:rsidRPr="00315ED7">
        <w:rPr>
          <w:lang w:val="fr-FR"/>
        </w:rPr>
        <w:t xml:space="preserve"> </w:t>
      </w:r>
      <w:bookmarkStart w:id="102" w:name="_Hlk202814002"/>
      <w:r w:rsidR="00315ED7" w:rsidRPr="00315ED7">
        <w:rPr>
          <w:lang w:val="fr-FR"/>
        </w:rPr>
        <w:t xml:space="preserve">Part B. </w:t>
      </w:r>
      <w:proofErr w:type="spellStart"/>
      <w:r w:rsidRPr="00315ED7">
        <w:rPr>
          <w:lang w:val="fr-FR"/>
        </w:rPr>
        <w:t>Ebd</w:t>
      </w:r>
      <w:proofErr w:type="spellEnd"/>
      <w:r w:rsidRPr="00315ED7">
        <w:rPr>
          <w:lang w:val="fr-FR"/>
        </w:rPr>
        <w:t>., S. 19-20.</w:t>
      </w:r>
    </w:p>
    <w:bookmarkEnd w:id="102"/>
  </w:footnote>
  <w:footnote w:id="1834">
    <w:p w14:paraId="2D8316E9" w14:textId="4CCB5482" w:rsidR="006B0649" w:rsidRPr="00315ED7" w:rsidRDefault="006B0649">
      <w:pPr>
        <w:pStyle w:val="Funotentext"/>
        <w:rPr>
          <w:lang w:val="fr-FR"/>
        </w:rPr>
      </w:pPr>
      <w:r>
        <w:rPr>
          <w:rStyle w:val="Funotenzeichen"/>
        </w:rPr>
        <w:footnoteRef/>
      </w:r>
      <w:r w:rsidRPr="00315ED7">
        <w:rPr>
          <w:lang w:val="fr-FR"/>
        </w:rPr>
        <w:t xml:space="preserve"> </w:t>
      </w:r>
      <w:r w:rsidR="00315ED7" w:rsidRPr="00315ED7">
        <w:rPr>
          <w:lang w:val="fr-FR"/>
        </w:rPr>
        <w:t xml:space="preserve">Part B. </w:t>
      </w:r>
      <w:proofErr w:type="spellStart"/>
      <w:r w:rsidRPr="00315ED7">
        <w:rPr>
          <w:lang w:val="fr-FR"/>
        </w:rPr>
        <w:t>Ebd</w:t>
      </w:r>
      <w:proofErr w:type="spellEnd"/>
      <w:r w:rsidRPr="00315ED7">
        <w:rPr>
          <w:lang w:val="fr-FR"/>
        </w:rPr>
        <w:t>., S. 21.</w:t>
      </w:r>
    </w:p>
  </w:footnote>
  <w:footnote w:id="1835">
    <w:p w14:paraId="46E31840" w14:textId="56A31F9C" w:rsidR="00AE0712" w:rsidRPr="00AE0712" w:rsidRDefault="00AE0712">
      <w:pPr>
        <w:pStyle w:val="Funotentext"/>
        <w:rPr>
          <w:lang w:val="fr-FR"/>
        </w:rPr>
      </w:pPr>
      <w:r>
        <w:rPr>
          <w:rStyle w:val="Funotenzeichen"/>
        </w:rPr>
        <w:footnoteRef/>
      </w:r>
      <w:r w:rsidRPr="00AE0712">
        <w:rPr>
          <w:lang w:val="fr-FR"/>
        </w:rPr>
        <w:t xml:space="preserve"> P</w:t>
      </w:r>
      <w:r>
        <w:rPr>
          <w:lang w:val="fr-FR"/>
        </w:rPr>
        <w:t xml:space="preserve">art B. </w:t>
      </w:r>
      <w:proofErr w:type="spellStart"/>
      <w:r>
        <w:rPr>
          <w:lang w:val="fr-FR"/>
        </w:rPr>
        <w:t>Ebd</w:t>
      </w:r>
      <w:proofErr w:type="spellEnd"/>
      <w:r>
        <w:rPr>
          <w:lang w:val="fr-FR"/>
        </w:rPr>
        <w:t>., S. 21.</w:t>
      </w:r>
    </w:p>
  </w:footnote>
  <w:footnote w:id="1836">
    <w:p w14:paraId="14594193" w14:textId="36B573A0" w:rsidR="00AE0712" w:rsidRPr="00AE0712" w:rsidRDefault="00AE0712">
      <w:pPr>
        <w:pStyle w:val="Funotentext"/>
        <w:rPr>
          <w:lang w:val="fr-FR"/>
        </w:rPr>
      </w:pPr>
      <w:r>
        <w:rPr>
          <w:rStyle w:val="Funotenzeichen"/>
        </w:rPr>
        <w:footnoteRef/>
      </w:r>
      <w:r w:rsidRPr="00AE0712">
        <w:rPr>
          <w:lang w:val="fr-FR"/>
        </w:rPr>
        <w:t xml:space="preserve"> </w:t>
      </w:r>
      <w:r>
        <w:rPr>
          <w:lang w:val="fr-FR"/>
        </w:rPr>
        <w:t xml:space="preserve">Part B. </w:t>
      </w:r>
      <w:proofErr w:type="spellStart"/>
      <w:r>
        <w:rPr>
          <w:lang w:val="fr-FR"/>
        </w:rPr>
        <w:t>Ebd</w:t>
      </w:r>
      <w:proofErr w:type="spellEnd"/>
      <w:r>
        <w:rPr>
          <w:lang w:val="fr-FR"/>
        </w:rPr>
        <w:t>., S. 22.</w:t>
      </w:r>
    </w:p>
  </w:footnote>
  <w:footnote w:id="1837">
    <w:p w14:paraId="0B7FBA6D" w14:textId="2F75CF8D" w:rsidR="0000459C" w:rsidRPr="00315ED7" w:rsidRDefault="0000459C">
      <w:pPr>
        <w:pStyle w:val="Funotentext"/>
        <w:rPr>
          <w:lang w:val="fr-FR"/>
        </w:rPr>
      </w:pPr>
      <w:r>
        <w:rPr>
          <w:rStyle w:val="Funotenzeichen"/>
        </w:rPr>
        <w:footnoteRef/>
      </w:r>
      <w:r w:rsidRPr="00315ED7">
        <w:rPr>
          <w:lang w:val="fr-FR"/>
        </w:rPr>
        <w:t xml:space="preserve"> </w:t>
      </w:r>
      <w:r w:rsidR="00315ED7" w:rsidRPr="00315ED7">
        <w:rPr>
          <w:lang w:val="fr-FR"/>
        </w:rPr>
        <w:t xml:space="preserve">Part B. </w:t>
      </w:r>
      <w:proofErr w:type="spellStart"/>
      <w:r w:rsidRPr="00315ED7">
        <w:rPr>
          <w:lang w:val="fr-FR"/>
        </w:rPr>
        <w:t>Ebd</w:t>
      </w:r>
      <w:proofErr w:type="spellEnd"/>
      <w:r w:rsidRPr="00315ED7">
        <w:rPr>
          <w:lang w:val="fr-FR"/>
        </w:rPr>
        <w:t>., S. 107-108.</w:t>
      </w:r>
    </w:p>
  </w:footnote>
  <w:footnote w:id="1838">
    <w:p w14:paraId="42090601" w14:textId="55A82345" w:rsidR="006B0649" w:rsidRPr="00315ED7" w:rsidRDefault="006B0649">
      <w:pPr>
        <w:pStyle w:val="Funotentext"/>
        <w:rPr>
          <w:lang w:val="fr-FR"/>
        </w:rPr>
      </w:pPr>
      <w:r>
        <w:rPr>
          <w:rStyle w:val="Funotenzeichen"/>
        </w:rPr>
        <w:footnoteRef/>
      </w:r>
      <w:r w:rsidRPr="00315ED7">
        <w:rPr>
          <w:lang w:val="fr-FR"/>
        </w:rPr>
        <w:t xml:space="preserve"> </w:t>
      </w:r>
      <w:r w:rsidR="00315ED7" w:rsidRPr="00315ED7">
        <w:rPr>
          <w:lang w:val="fr-FR"/>
        </w:rPr>
        <w:t xml:space="preserve">Part B. </w:t>
      </w:r>
      <w:proofErr w:type="spellStart"/>
      <w:r w:rsidRPr="00315ED7">
        <w:rPr>
          <w:lang w:val="fr-FR"/>
        </w:rPr>
        <w:t>Ebd</w:t>
      </w:r>
      <w:proofErr w:type="spellEnd"/>
      <w:r w:rsidRPr="00315ED7">
        <w:rPr>
          <w:lang w:val="fr-FR"/>
        </w:rPr>
        <w:t>., S. 23.</w:t>
      </w:r>
    </w:p>
  </w:footnote>
  <w:footnote w:id="1839">
    <w:p w14:paraId="1E68411A" w14:textId="6C02A7FC" w:rsidR="00DB6C81" w:rsidRDefault="00DB6C81">
      <w:pPr>
        <w:pStyle w:val="Funotentext"/>
      </w:pPr>
      <w:r>
        <w:rPr>
          <w:rStyle w:val="Funotenzeichen"/>
        </w:rPr>
        <w:footnoteRef/>
      </w:r>
      <w:r w:rsidRPr="0045135C">
        <w:t xml:space="preserve"> Werner Mussler. </w:t>
      </w:r>
      <w:r>
        <w:t>Von der Leyens 100-Tage Programm. FAZ, 28.11.2024.</w:t>
      </w:r>
    </w:p>
  </w:footnote>
  <w:footnote w:id="1840">
    <w:p w14:paraId="1EB4CDFF" w14:textId="77777777" w:rsidR="004C61DD" w:rsidRDefault="004C61DD" w:rsidP="004C61DD">
      <w:pPr>
        <w:pStyle w:val="Funotentext"/>
      </w:pPr>
      <w:r>
        <w:rPr>
          <w:rStyle w:val="Funotenzeichen"/>
        </w:rPr>
        <w:footnoteRef/>
      </w:r>
      <w:r w:rsidRPr="0045135C">
        <w:t xml:space="preserve"> Werner Mussler. </w:t>
      </w:r>
      <w:r>
        <w:t>Von der Leyens 100-Tage Programm. FAZ, 28.11.2024.</w:t>
      </w:r>
    </w:p>
  </w:footnote>
  <w:footnote w:id="1841">
    <w:p w14:paraId="166897B7" w14:textId="77777777" w:rsidR="001230E6" w:rsidRPr="00241C22" w:rsidRDefault="001230E6" w:rsidP="001230E6">
      <w:pPr>
        <w:pStyle w:val="Funotentext"/>
      </w:pPr>
      <w:r>
        <w:rPr>
          <w:rStyle w:val="Funotenzeichen"/>
        </w:rPr>
        <w:footnoteRef/>
      </w:r>
      <w:r w:rsidRPr="00241C22">
        <w:t xml:space="preserve"> </w:t>
      </w:r>
      <w:r>
        <w:t xml:space="preserve">Götz Reichert, Andre Wolf. </w:t>
      </w:r>
      <w:r w:rsidRPr="001230E6">
        <w:t xml:space="preserve">Clean Industrial Deal. </w:t>
      </w:r>
      <w:proofErr w:type="gramStart"/>
      <w:r w:rsidRPr="00241C22">
        <w:t>CEP Analyse</w:t>
      </w:r>
      <w:proofErr w:type="gramEnd"/>
      <w:r w:rsidRPr="00241C22">
        <w:t xml:space="preserve"> 1/2025, sieh</w:t>
      </w:r>
      <w:r>
        <w:t>e:</w:t>
      </w:r>
      <w:r w:rsidRPr="00241C22">
        <w:t xml:space="preserve"> </w:t>
      </w:r>
      <w:hyperlink r:id="rId1373" w:history="1">
        <w:r w:rsidRPr="004804C4">
          <w:rPr>
            <w:rStyle w:val="Hyperlink"/>
          </w:rPr>
          <w:t>https://www.cep.eu/de/eu-themen/details/clean-industrial-deal.html</w:t>
        </w:r>
      </w:hyperlink>
      <w:r>
        <w:t xml:space="preserve"> - Zugegriffen: 18.05.2025. </w:t>
      </w:r>
    </w:p>
  </w:footnote>
  <w:footnote w:id="1842">
    <w:p w14:paraId="44950BDA" w14:textId="61683C56" w:rsidR="00AC06E2" w:rsidRDefault="00AC06E2">
      <w:pPr>
        <w:pStyle w:val="Funotentext"/>
      </w:pPr>
      <w:r>
        <w:rPr>
          <w:rStyle w:val="Funotenzeichen"/>
        </w:rPr>
        <w:footnoteRef/>
      </w:r>
      <w:r>
        <w:t xml:space="preserve"> Siehe hier: </w:t>
      </w:r>
      <w:hyperlink r:id="rId1374" w:history="1">
        <w:r w:rsidRPr="004D34B9">
          <w:rPr>
            <w:rStyle w:val="Hyperlink"/>
          </w:rPr>
          <w:t>https://commission.europa.eu/document/download/9db1c5c8-9e82-467b-ab6a-905feeb4b6b0_en?filename=Communication%20-%20Clean%20Industrial%20Deal_en.pdf&amp;prefLang=de</w:t>
        </w:r>
      </w:hyperlink>
      <w:r>
        <w:t xml:space="preserve"> – Zugegriffen: 15.05.2025. </w:t>
      </w:r>
    </w:p>
  </w:footnote>
  <w:footnote w:id="1843">
    <w:p w14:paraId="612F8460" w14:textId="6C145266" w:rsidR="00986DC4" w:rsidRPr="00986DC4" w:rsidRDefault="00986DC4">
      <w:pPr>
        <w:pStyle w:val="Funotentext"/>
      </w:pPr>
      <w:r>
        <w:rPr>
          <w:rStyle w:val="Funotenzeichen"/>
        </w:rPr>
        <w:footnoteRef/>
      </w:r>
      <w:r w:rsidRPr="00986DC4">
        <w:rPr>
          <w:lang w:val="en-GB"/>
        </w:rPr>
        <w:t xml:space="preserve"> Industrial Action Plan for </w:t>
      </w:r>
      <w:r>
        <w:rPr>
          <w:lang w:val="en-GB"/>
        </w:rPr>
        <w:t xml:space="preserve">the European automotive sector. </w:t>
      </w:r>
      <w:r w:rsidRPr="00601FCC">
        <w:t xml:space="preserve">COM (2025) 95 final, 5.3.2025. </w:t>
      </w:r>
      <w:r w:rsidRPr="00986DC4">
        <w:t xml:space="preserve">Siehe: </w:t>
      </w:r>
      <w:hyperlink r:id="rId1375" w:history="1">
        <w:r w:rsidRPr="004D34B9">
          <w:rPr>
            <w:rStyle w:val="Hyperlink"/>
          </w:rPr>
          <w:t>https://transport.ec.europa.eu/document/download/89b3143e-09b6-4ae6-a826-932b90ed0816_en?filename=Communication%20-%20Action%20Plan.pdf</w:t>
        </w:r>
      </w:hyperlink>
      <w:r>
        <w:t xml:space="preserve"> – Zugegriffen: 18.05.2025. </w:t>
      </w:r>
    </w:p>
  </w:footnote>
  <w:footnote w:id="1844">
    <w:p w14:paraId="1FC34F3A" w14:textId="6476FACD" w:rsidR="00A20234" w:rsidRDefault="00A20234">
      <w:pPr>
        <w:pStyle w:val="Funotentext"/>
      </w:pPr>
      <w:r>
        <w:rPr>
          <w:rStyle w:val="Funotenzeichen"/>
        </w:rPr>
        <w:footnoteRef/>
      </w:r>
      <w:r>
        <w:t xml:space="preserve"> Stahl und Metalle: </w:t>
      </w:r>
      <w:hyperlink r:id="rId1376" w:history="1">
        <w:r w:rsidRPr="004D34B9">
          <w:rPr>
            <w:rStyle w:val="Hyperlink"/>
          </w:rPr>
          <w:t>https://ec.europa.eu/commission/presscorner/detail/en/ip_25_805</w:t>
        </w:r>
      </w:hyperlink>
      <w:r>
        <w:t xml:space="preserve"> - Zugegriffen: 18.05.2025.</w:t>
      </w:r>
    </w:p>
  </w:footnote>
  <w:footnote w:id="1845">
    <w:p w14:paraId="1A0E3ACB" w14:textId="7DFA6092" w:rsidR="00986DC4" w:rsidRPr="00986DC4" w:rsidRDefault="00986DC4">
      <w:pPr>
        <w:pStyle w:val="Funotentext"/>
      </w:pPr>
      <w:r>
        <w:rPr>
          <w:rStyle w:val="Funotenzeichen"/>
        </w:rPr>
        <w:footnoteRef/>
      </w:r>
      <w:r w:rsidRPr="00986DC4">
        <w:rPr>
          <w:lang w:val="en-GB"/>
        </w:rPr>
        <w:t xml:space="preserve"> A European Steel and M</w:t>
      </w:r>
      <w:r>
        <w:rPr>
          <w:lang w:val="en-GB"/>
        </w:rPr>
        <w:t xml:space="preserve">etal Action Plan. </w:t>
      </w:r>
      <w:r w:rsidRPr="00986DC4">
        <w:t>COM</w:t>
      </w:r>
      <w:r>
        <w:t xml:space="preserve"> (2025) 125 final, 19.3.2025. Siehe: </w:t>
      </w:r>
      <w:hyperlink r:id="rId1377" w:history="1">
        <w:r w:rsidRPr="004D34B9">
          <w:rPr>
            <w:rStyle w:val="Hyperlink"/>
          </w:rPr>
          <w:t>https://single-market-economy.ec.europa.eu/document/download/7807ca8b-10ce-4ee2-9c11-357afe163190_en?filename=Communication%20-%20Steel%20and%20Metals%20Action%20Plan.pdf</w:t>
        </w:r>
      </w:hyperlink>
      <w:r>
        <w:t xml:space="preserve"> – Zugegriffen: 18.05.2025. </w:t>
      </w:r>
    </w:p>
  </w:footnote>
  <w:footnote w:id="1846">
    <w:p w14:paraId="6CC0D793" w14:textId="77777777" w:rsidR="00CC69EA" w:rsidRPr="00CC69EA" w:rsidRDefault="00CC69EA" w:rsidP="00CC69EA">
      <w:pPr>
        <w:pStyle w:val="Funotentext"/>
        <w:rPr>
          <w:lang w:val="en-GB"/>
        </w:rPr>
      </w:pPr>
      <w:r>
        <w:rPr>
          <w:rStyle w:val="Funotenzeichen"/>
        </w:rPr>
        <w:footnoteRef/>
      </w:r>
      <w:r w:rsidRPr="00CC69EA">
        <w:rPr>
          <w:lang w:val="en-GB"/>
        </w:rPr>
        <w:t xml:space="preserve"> </w:t>
      </w:r>
      <w:proofErr w:type="spellStart"/>
      <w:r>
        <w:rPr>
          <w:lang w:val="en-GB"/>
        </w:rPr>
        <w:t>Ebd</w:t>
      </w:r>
      <w:proofErr w:type="spellEnd"/>
      <w:r>
        <w:rPr>
          <w:lang w:val="en-GB"/>
        </w:rPr>
        <w:t>. S. 4, “</w:t>
      </w:r>
      <w:r w:rsidRPr="00CC69EA">
        <w:rPr>
          <w:lang w:val="en-GB"/>
        </w:rPr>
        <w:t>Direct electrification remains the most efficient pathway for</w:t>
      </w:r>
      <w:r>
        <w:rPr>
          <w:lang w:val="en-GB"/>
        </w:rPr>
        <w:t xml:space="preserve"> </w:t>
      </w:r>
      <w:r w:rsidRPr="00CC69EA">
        <w:rPr>
          <w:lang w:val="en-GB"/>
        </w:rPr>
        <w:t>decarbonising several forms of steel and metals production, while others will depend on</w:t>
      </w:r>
      <w:r>
        <w:rPr>
          <w:lang w:val="en-GB"/>
        </w:rPr>
        <w:t xml:space="preserve"> </w:t>
      </w:r>
      <w:r w:rsidRPr="00CC69EA">
        <w:rPr>
          <w:lang w:val="en-GB"/>
        </w:rPr>
        <w:t>indirect electrification methods, such as hydrogen produced from electrolysis, increasing</w:t>
      </w:r>
      <w:r>
        <w:rPr>
          <w:lang w:val="en-GB"/>
        </w:rPr>
        <w:t xml:space="preserve"> </w:t>
      </w:r>
      <w:r w:rsidRPr="00CC69EA">
        <w:rPr>
          <w:lang w:val="en-GB"/>
        </w:rPr>
        <w:t>the share of energy costs in total production costs compared with fossil-fuel based</w:t>
      </w:r>
    </w:p>
    <w:p w14:paraId="3D1B1664" w14:textId="77777777" w:rsidR="00CC69EA" w:rsidRPr="00CC69EA" w:rsidRDefault="00CC69EA" w:rsidP="00CC69EA">
      <w:pPr>
        <w:pStyle w:val="Funotentext"/>
        <w:rPr>
          <w:lang w:val="en-GB"/>
        </w:rPr>
      </w:pPr>
      <w:r w:rsidRPr="00CC69EA">
        <w:rPr>
          <w:lang w:val="en-GB"/>
        </w:rPr>
        <w:t>technologies. As such, ensuring access to lower electricity prices is crucial to supporting</w:t>
      </w:r>
      <w:r>
        <w:rPr>
          <w:lang w:val="en-GB"/>
        </w:rPr>
        <w:t xml:space="preserve"> </w:t>
      </w:r>
      <w:r w:rsidRPr="00CC69EA">
        <w:rPr>
          <w:lang w:val="en-GB"/>
        </w:rPr>
        <w:t>this transition. Additionally, technologies such as Carbon Capture and Storage and the</w:t>
      </w:r>
      <w:r>
        <w:rPr>
          <w:lang w:val="en-GB"/>
        </w:rPr>
        <w:t xml:space="preserve"> </w:t>
      </w:r>
      <w:r w:rsidRPr="00CC69EA">
        <w:rPr>
          <w:lang w:val="en-GB"/>
        </w:rPr>
        <w:t>circular use of raw materials are also relevant.</w:t>
      </w:r>
      <w:r>
        <w:rPr>
          <w:lang w:val="en-GB"/>
        </w:rPr>
        <w:t>”</w:t>
      </w:r>
    </w:p>
  </w:footnote>
  <w:footnote w:id="1847">
    <w:p w14:paraId="32D1C334" w14:textId="44463DA0" w:rsidR="00353F84" w:rsidRDefault="00353F84">
      <w:pPr>
        <w:pStyle w:val="Funotentext"/>
      </w:pPr>
      <w:r>
        <w:rPr>
          <w:rStyle w:val="Funotenzeichen"/>
        </w:rPr>
        <w:footnoteRef/>
      </w:r>
      <w:r>
        <w:t xml:space="preserve"> Siehe: </w:t>
      </w:r>
      <w:hyperlink r:id="rId1378" w:history="1">
        <w:r w:rsidRPr="004D34B9">
          <w:rPr>
            <w:rStyle w:val="Hyperlink"/>
          </w:rPr>
          <w:t>https://single-market-economy.ec.europa.eu/industry/industrial-alliances/european-clean-hydrogen-alliance/roundtables-european-clean-hydrogen-alliance_en</w:t>
        </w:r>
      </w:hyperlink>
      <w:r>
        <w:t xml:space="preserve"> - Zugegriffen: 18.05.2025.</w:t>
      </w:r>
    </w:p>
  </w:footnote>
  <w:footnote w:id="1848">
    <w:p w14:paraId="363A3104" w14:textId="10E57071" w:rsidR="00353F84" w:rsidRPr="00353F84" w:rsidRDefault="00353F84">
      <w:pPr>
        <w:pStyle w:val="Funotentext"/>
      </w:pPr>
      <w:r>
        <w:rPr>
          <w:rStyle w:val="Funotenzeichen"/>
        </w:rPr>
        <w:footnoteRef/>
      </w:r>
      <w:r w:rsidRPr="00353F84">
        <w:t xml:space="preserve"> Siehe: </w:t>
      </w:r>
      <w:hyperlink r:id="rId1379" w:history="1">
        <w:r w:rsidRPr="004D34B9">
          <w:rPr>
            <w:rStyle w:val="Hyperlink"/>
          </w:rPr>
          <w:t>https://hydrogen-portal.com/european-clean-hydrogen-alliance/</w:t>
        </w:r>
      </w:hyperlink>
      <w:r>
        <w:t xml:space="preserve"> - Zugegriffen: 18.05.2025. </w:t>
      </w:r>
    </w:p>
  </w:footnote>
  <w:footnote w:id="1849">
    <w:p w14:paraId="38C8A1D4" w14:textId="2A4DD3E2" w:rsidR="003D195A" w:rsidRDefault="003D195A" w:rsidP="003D195A">
      <w:pPr>
        <w:pStyle w:val="Funotentext"/>
      </w:pPr>
      <w:r>
        <w:rPr>
          <w:rStyle w:val="Funotenzeichen"/>
        </w:rPr>
        <w:footnoteRef/>
      </w:r>
      <w:r w:rsidRPr="00EB1D02">
        <w:t xml:space="preserve"> </w:t>
      </w:r>
      <w:r w:rsidR="0015245A" w:rsidRPr="00EB1D02">
        <w:t xml:space="preserve">S. 16, </w:t>
      </w:r>
      <w:r w:rsidR="0015245A" w:rsidRPr="0015245A">
        <w:t xml:space="preserve">A European Steel and </w:t>
      </w:r>
      <w:proofErr w:type="spellStart"/>
      <w:r w:rsidR="0015245A" w:rsidRPr="0015245A">
        <w:t>Metal</w:t>
      </w:r>
      <w:proofErr w:type="spellEnd"/>
      <w:r w:rsidR="0015245A" w:rsidRPr="0015245A">
        <w:t xml:space="preserve"> Action Plan</w:t>
      </w:r>
      <w:r>
        <w:t xml:space="preserve">: </w:t>
      </w:r>
      <w:hyperlink r:id="rId1380" w:history="1">
        <w:r w:rsidRPr="004D34B9">
          <w:rPr>
            <w:rStyle w:val="Hyperlink"/>
          </w:rPr>
          <w:t>https://ec.europa.eu/commission/presscorner/detail/en/ip_25_805</w:t>
        </w:r>
      </w:hyperlink>
      <w:r>
        <w:t xml:space="preserve"> - Zugegriffen: 18.05.2025.</w:t>
      </w:r>
    </w:p>
  </w:footnote>
  <w:footnote w:id="1850">
    <w:p w14:paraId="27B53553" w14:textId="4FB0523E" w:rsidR="00A20234" w:rsidRDefault="00A20234">
      <w:pPr>
        <w:pStyle w:val="Funotentext"/>
      </w:pPr>
      <w:r>
        <w:rPr>
          <w:rStyle w:val="Funotenzeichen"/>
        </w:rPr>
        <w:footnoteRef/>
      </w:r>
      <w:r>
        <w:t xml:space="preserve"> Siehe: </w:t>
      </w:r>
      <w:hyperlink r:id="rId1381" w:history="1">
        <w:r w:rsidRPr="004D34B9">
          <w:rPr>
            <w:rStyle w:val="Hyperlink"/>
          </w:rPr>
          <w:t>https://single-market-economy.ec.europa.eu/document/download/fe4b7a0b-cfb9-49fd-9d37-139c1e23832d_en</w:t>
        </w:r>
      </w:hyperlink>
      <w:r>
        <w:t xml:space="preserve"> - Zugegriffen: 18.05.2025.</w:t>
      </w:r>
    </w:p>
  </w:footnote>
  <w:footnote w:id="1851">
    <w:p w14:paraId="73A7FE58" w14:textId="77777777" w:rsidR="00AC06E2" w:rsidRDefault="00AC06E2" w:rsidP="00AC06E2">
      <w:pPr>
        <w:pStyle w:val="Funotentext"/>
      </w:pPr>
      <w:r>
        <w:rPr>
          <w:rStyle w:val="Funotenzeichen"/>
        </w:rPr>
        <w:footnoteRef/>
      </w:r>
      <w:r>
        <w:t xml:space="preserve"> Siehe hier: </w:t>
      </w:r>
      <w:hyperlink r:id="rId1382" w:history="1">
        <w:r w:rsidRPr="004D34B9">
          <w:rPr>
            <w:rStyle w:val="Hyperlink"/>
          </w:rPr>
          <w:t>https://eur-lex.europa.eu/legal-content/DE/TXT/PDF/?uri=CELEX:52025DC0079</w:t>
        </w:r>
      </w:hyperlink>
      <w:r>
        <w:t xml:space="preserve"> – Zugegriffen: 15.05.2025.</w:t>
      </w:r>
    </w:p>
  </w:footnote>
  <w:footnote w:id="1852">
    <w:p w14:paraId="6933FACB" w14:textId="1E9B4BF9" w:rsidR="00EC7A2C" w:rsidRPr="00EC7A2C" w:rsidRDefault="00EC7A2C">
      <w:pPr>
        <w:pStyle w:val="Funotentext"/>
      </w:pPr>
      <w:r>
        <w:rPr>
          <w:rStyle w:val="Funotenzeichen"/>
        </w:rPr>
        <w:footnoteRef/>
      </w:r>
      <w:r w:rsidRPr="00EC7A2C">
        <w:t xml:space="preserve"> Sieh</w:t>
      </w:r>
      <w:r>
        <w:t>e:</w:t>
      </w:r>
      <w:r w:rsidRPr="00EC7A2C">
        <w:t xml:space="preserve"> </w:t>
      </w:r>
      <w:hyperlink r:id="rId1383" w:history="1">
        <w:r w:rsidRPr="004D34B9">
          <w:rPr>
            <w:rStyle w:val="Hyperlink"/>
          </w:rPr>
          <w:t>https://publications.jrc.ec.europa.eu/repository/handle/JRC137685</w:t>
        </w:r>
      </w:hyperlink>
      <w:r>
        <w:t xml:space="preserve"> - Zugegriffen: 15.05.2025. </w:t>
      </w:r>
    </w:p>
  </w:footnote>
  <w:footnote w:id="1853">
    <w:p w14:paraId="633E5127" w14:textId="4A11F03C" w:rsidR="00D46379" w:rsidRDefault="00D46379">
      <w:pPr>
        <w:pStyle w:val="Funotentext"/>
      </w:pPr>
      <w:r>
        <w:rPr>
          <w:rStyle w:val="Funotenzeichen"/>
        </w:rPr>
        <w:footnoteRef/>
      </w:r>
      <w:r>
        <w:t xml:space="preserve"> </w:t>
      </w:r>
      <w:r w:rsidRPr="00D46379">
        <w:t xml:space="preserve">Beschleunigung der Elektrifizierung 40 Mrd., bidirektionales Laden 9,7 Mrd., Einführung von Wärmepumpen 60 Mrd. Senkung der Importe fossiler Brennstoff. Einsparpotentiale mit Berechnungen zu behaupten, ist </w:t>
      </w:r>
      <w:r w:rsidR="00962216">
        <w:t xml:space="preserve">aus meiner Sicht </w:t>
      </w:r>
      <w:r w:rsidRPr="00D46379">
        <w:t xml:space="preserve">jedenfalls </w:t>
      </w:r>
      <w:r>
        <w:t>nicht unproblematisch</w:t>
      </w:r>
      <w:r w:rsidRPr="00D46379">
        <w:t>, wenn sie sehr pauschal abgefasst sind und der Gesamtkontext nicht beachtet wird</w:t>
      </w:r>
      <w:r>
        <w:t>, etwa wie schwer diese Maßnahmen umgesetzt werden können</w:t>
      </w:r>
      <w:r w:rsidRPr="00D46379">
        <w:t xml:space="preserve"> – </w:t>
      </w:r>
      <w:r w:rsidR="00962216">
        <w:t xml:space="preserve">Stichwort bidirektionales Laden: einfach mal umsetzen! Das geht nicht! Das dauert viele Jahren, wenn man überhaupt die E-Auto Besitzer dazu bringen kann. </w:t>
      </w:r>
      <w:r>
        <w:t xml:space="preserve">damit kann man jede Diskussion auseinandernehmen - </w:t>
      </w:r>
      <w:r w:rsidRPr="00D46379">
        <w:t xml:space="preserve">mir erscheint es </w:t>
      </w:r>
      <w:r w:rsidR="00962216">
        <w:t xml:space="preserve">zudem </w:t>
      </w:r>
      <w:r w:rsidRPr="00D46379">
        <w:t>so, dass ein Hauptteil der Kosten durch gute Planung u.a. der Orte von Netzausbau, Elektrolyseuren, erneuerbaren Energien vermieden werden kann und durch klare Entscheidungen durch die Großunternehmen, die für einen großen Teil der ‚Probleme‘ sorgen.</w:t>
      </w:r>
    </w:p>
  </w:footnote>
  <w:footnote w:id="1854">
    <w:p w14:paraId="102461BB" w14:textId="11C24C38" w:rsidR="002C7754" w:rsidRDefault="002C7754" w:rsidP="002C7754">
      <w:pPr>
        <w:pStyle w:val="Funotentext"/>
      </w:pPr>
      <w:r>
        <w:rPr>
          <w:rStyle w:val="Funotenzeichen"/>
        </w:rPr>
        <w:footnoteRef/>
      </w:r>
      <w:r>
        <w:t xml:space="preserve"> S. 24-25, siehe hier: </w:t>
      </w:r>
      <w:hyperlink r:id="rId1384" w:history="1">
        <w:r w:rsidRPr="004D34B9">
          <w:rPr>
            <w:rStyle w:val="Hyperlink"/>
          </w:rPr>
          <w:t>https://eur-lex.europa.eu/legal-content/DE/TXT/PDF/?uri=CELEX:52025DC0079</w:t>
        </w:r>
      </w:hyperlink>
      <w:r>
        <w:t xml:space="preserve"> – Zugegriffen: 15.05.2025. </w:t>
      </w:r>
    </w:p>
  </w:footnote>
  <w:footnote w:id="1855">
    <w:p w14:paraId="3561C6E5" w14:textId="163D32BF" w:rsidR="00D46379" w:rsidRDefault="00D46379" w:rsidP="00D46379">
      <w:pPr>
        <w:pStyle w:val="Funotentext"/>
      </w:pPr>
      <w:r>
        <w:rPr>
          <w:rStyle w:val="Funotenzeichen"/>
        </w:rPr>
        <w:footnoteRef/>
      </w:r>
      <w:r>
        <w:t xml:space="preserve"> S. 27, siehe hier: </w:t>
      </w:r>
      <w:hyperlink r:id="rId1385" w:history="1">
        <w:r w:rsidRPr="004D34B9">
          <w:rPr>
            <w:rStyle w:val="Hyperlink"/>
          </w:rPr>
          <w:t>https://eur-lex.europa.eu/legal-content/DE/TXT/PDF/?uri=CELEX:52025DC0079</w:t>
        </w:r>
      </w:hyperlink>
      <w:r>
        <w:t xml:space="preserve"> – Zugegriffen: 15.05.2025. </w:t>
      </w:r>
    </w:p>
  </w:footnote>
  <w:footnote w:id="1856">
    <w:p w14:paraId="6C8EFC02" w14:textId="1FFBAA4A" w:rsidR="00D46379" w:rsidRDefault="00D46379">
      <w:pPr>
        <w:pStyle w:val="Funotentext"/>
      </w:pPr>
      <w:r>
        <w:rPr>
          <w:rStyle w:val="Funotenzeichen"/>
        </w:rPr>
        <w:footnoteRef/>
      </w:r>
      <w:r>
        <w:t xml:space="preserve"> Windkraftcharta: </w:t>
      </w:r>
      <w:hyperlink r:id="rId1386" w:history="1">
        <w:r w:rsidRPr="004D34B9">
          <w:rPr>
            <w:rStyle w:val="Hyperlink"/>
          </w:rPr>
          <w:t>https://energy.ec.europa.eu/system/files/2023-12/Charter_logos_final_02.pdf</w:t>
        </w:r>
      </w:hyperlink>
      <w:r>
        <w:t xml:space="preserve"> - Zugegriffen: 18.05.2015.</w:t>
      </w:r>
    </w:p>
  </w:footnote>
  <w:footnote w:id="1857">
    <w:p w14:paraId="2E4EA4EA" w14:textId="530EDD78" w:rsidR="00D46379" w:rsidRPr="00D46379" w:rsidRDefault="00D46379">
      <w:pPr>
        <w:pStyle w:val="Funotentext"/>
      </w:pPr>
      <w:r>
        <w:rPr>
          <w:rStyle w:val="Funotenzeichen"/>
        </w:rPr>
        <w:footnoteRef/>
      </w:r>
      <w:r w:rsidRPr="00D46379">
        <w:t xml:space="preserve"> Solarcharta: </w:t>
      </w:r>
      <w:hyperlink r:id="rId1387" w:history="1">
        <w:r w:rsidRPr="00D46379">
          <w:rPr>
            <w:rStyle w:val="Hyperlink"/>
          </w:rPr>
          <w:t>https://energy.ec.europa.eu/topics/renewable-energy/solar-energy/european-solar-charter_en</w:t>
        </w:r>
      </w:hyperlink>
      <w:r w:rsidRPr="00D46379">
        <w:t xml:space="preserve"> - Zu</w:t>
      </w:r>
      <w:r>
        <w:t xml:space="preserve">gegriffen: 18.05.12025. </w:t>
      </w:r>
    </w:p>
  </w:footnote>
  <w:footnote w:id="1858">
    <w:p w14:paraId="6B5A05F5" w14:textId="77777777" w:rsidR="00112190" w:rsidRDefault="00112190" w:rsidP="00112190">
      <w:pPr>
        <w:pStyle w:val="Funotentext"/>
      </w:pPr>
      <w:r>
        <w:rPr>
          <w:rStyle w:val="Funotenzeichen"/>
        </w:rPr>
        <w:footnoteRef/>
      </w:r>
      <w:r>
        <w:t xml:space="preserve"> NDC USA 2021, S. 1, siehe: </w:t>
      </w:r>
      <w:hyperlink r:id="rId1388" w:history="1">
        <w:r w:rsidRPr="004226BE">
          <w:rPr>
            <w:rStyle w:val="Hyperlink"/>
          </w:rPr>
          <w:t>https://unfccc.int/NDCREG</w:t>
        </w:r>
      </w:hyperlink>
      <w:r>
        <w:t xml:space="preserve"> - Zugegriffen: 30.12.2023. </w:t>
      </w:r>
    </w:p>
  </w:footnote>
  <w:footnote w:id="1859">
    <w:p w14:paraId="77A379AB" w14:textId="77777777" w:rsidR="00112190" w:rsidRDefault="00112190" w:rsidP="00112190">
      <w:pPr>
        <w:pStyle w:val="Funotentext"/>
      </w:pPr>
      <w:r>
        <w:rPr>
          <w:rStyle w:val="Funotenzeichen"/>
        </w:rPr>
        <w:footnoteRef/>
      </w:r>
      <w:r>
        <w:t xml:space="preserve"> Thielges et al. 2022: 11. Info bzw. Link: Thielges et al., Stiftung Arbeit und Umwelt der IG BCE, </w:t>
      </w:r>
      <w:r w:rsidRPr="00EC37D0">
        <w:t>Eine neue Ära? US-Klimapolitik unter Präsident Biden.</w:t>
      </w:r>
      <w:r>
        <w:t xml:space="preserve"> Berlin,</w:t>
      </w:r>
      <w:r w:rsidRPr="00EC37D0">
        <w:t xml:space="preserve"> </w:t>
      </w:r>
      <w:r>
        <w:t xml:space="preserve">Januar, 2022, siehe: </w:t>
      </w:r>
      <w:hyperlink r:id="rId1389" w:history="1">
        <w:r w:rsidRPr="004226BE">
          <w:rPr>
            <w:rStyle w:val="Hyperlink"/>
          </w:rPr>
          <w:t>https://www.arbeit-umwelt.de/wp-content/uploads/Klimapolitik_USA_StiftungIGBCE.pdf</w:t>
        </w:r>
      </w:hyperlink>
      <w:r>
        <w:t xml:space="preserve"> - Zugegriffen: 30.12.2023. </w:t>
      </w:r>
    </w:p>
  </w:footnote>
  <w:footnote w:id="1860">
    <w:p w14:paraId="557F8417" w14:textId="77777777" w:rsidR="00112190" w:rsidRPr="00271F37" w:rsidRDefault="00112190" w:rsidP="00112190">
      <w:pPr>
        <w:pStyle w:val="Funotentext"/>
        <w:rPr>
          <w:lang w:val="fr-FR"/>
        </w:rPr>
      </w:pPr>
      <w:r>
        <w:rPr>
          <w:rStyle w:val="Funotenzeichen"/>
        </w:rPr>
        <w:footnoteRef/>
      </w:r>
      <w:r w:rsidRPr="00271F37">
        <w:rPr>
          <w:lang w:val="fr-FR"/>
        </w:rPr>
        <w:t xml:space="preserve"> Thielges et al. </w:t>
      </w:r>
      <w:proofErr w:type="gramStart"/>
      <w:r w:rsidRPr="00271F37">
        <w:rPr>
          <w:lang w:val="fr-FR"/>
        </w:rPr>
        <w:t>2022:</w:t>
      </w:r>
      <w:proofErr w:type="gramEnd"/>
      <w:r w:rsidRPr="00271F37">
        <w:rPr>
          <w:lang w:val="fr-FR"/>
        </w:rPr>
        <w:t xml:space="preserve"> </w:t>
      </w:r>
      <w:r>
        <w:rPr>
          <w:lang w:val="fr-FR"/>
        </w:rPr>
        <w:t xml:space="preserve">11. </w:t>
      </w:r>
    </w:p>
  </w:footnote>
  <w:footnote w:id="1861">
    <w:p w14:paraId="17FB40A6" w14:textId="77777777" w:rsidR="00112190" w:rsidRPr="009A2B84" w:rsidRDefault="00112190" w:rsidP="00112190">
      <w:pPr>
        <w:pStyle w:val="Funotentext"/>
        <w:rPr>
          <w:lang w:val="fr-FR"/>
        </w:rPr>
      </w:pPr>
      <w:r>
        <w:rPr>
          <w:rStyle w:val="Funotenzeichen"/>
        </w:rPr>
        <w:footnoteRef/>
      </w:r>
      <w:r w:rsidRPr="009A2B84">
        <w:rPr>
          <w:lang w:val="fr-FR"/>
        </w:rPr>
        <w:t xml:space="preserve"> Thielges e</w:t>
      </w:r>
      <w:r>
        <w:rPr>
          <w:lang w:val="fr-FR"/>
        </w:rPr>
        <w:t>t al. 2022 : 12.</w:t>
      </w:r>
    </w:p>
  </w:footnote>
  <w:footnote w:id="1862">
    <w:p w14:paraId="7A3BDA35" w14:textId="77777777" w:rsidR="003E5125" w:rsidRDefault="003E5125" w:rsidP="003E5125">
      <w:pPr>
        <w:pStyle w:val="Funotentext"/>
      </w:pPr>
      <w:r>
        <w:rPr>
          <w:rStyle w:val="Funotenzeichen"/>
        </w:rPr>
        <w:footnoteRef/>
      </w:r>
      <w:r>
        <w:t xml:space="preserve"> Siehe: </w:t>
      </w:r>
      <w:hyperlink r:id="rId1390" w:history="1">
        <w:r w:rsidRPr="001B0D55">
          <w:rPr>
            <w:rStyle w:val="Hyperlink"/>
          </w:rPr>
          <w:t>https://www.zdf.de/nachrichten/politik/ausland/trump-usa-pariser-klimaabkommen-ausstieg-folgen-100.html</w:t>
        </w:r>
      </w:hyperlink>
      <w:r>
        <w:t xml:space="preserve"> - Zugegriffen: 11.04.2025. </w:t>
      </w:r>
    </w:p>
  </w:footnote>
  <w:footnote w:id="1863">
    <w:p w14:paraId="652F2A46" w14:textId="77777777" w:rsidR="003E5125" w:rsidRPr="003E5125" w:rsidRDefault="003E5125" w:rsidP="003E5125">
      <w:pPr>
        <w:pStyle w:val="Funotentext"/>
      </w:pPr>
      <w:r>
        <w:rPr>
          <w:rStyle w:val="Funotenzeichen"/>
        </w:rPr>
        <w:footnoteRef/>
      </w:r>
      <w:r w:rsidRPr="003E5125">
        <w:t xml:space="preserve"> Siehe: </w:t>
      </w:r>
      <w:hyperlink r:id="rId1391" w:history="1">
        <w:r w:rsidRPr="003E5125">
          <w:rPr>
            <w:rStyle w:val="Hyperlink"/>
          </w:rPr>
          <w:t>https://usclimatealliance.org/</w:t>
        </w:r>
      </w:hyperlink>
      <w:r w:rsidRPr="003E5125">
        <w:t xml:space="preserve"> - Z</w:t>
      </w:r>
      <w:r>
        <w:t xml:space="preserve">ugegriffen: 30.04.2025. </w:t>
      </w:r>
    </w:p>
  </w:footnote>
  <w:footnote w:id="1864">
    <w:p w14:paraId="5D75A58E" w14:textId="77777777" w:rsidR="003E5125" w:rsidRPr="00D51FF5" w:rsidRDefault="003E5125" w:rsidP="003E5125">
      <w:pPr>
        <w:pStyle w:val="Funotentext"/>
      </w:pPr>
      <w:r>
        <w:rPr>
          <w:rStyle w:val="Funotenzeichen"/>
        </w:rPr>
        <w:footnoteRef/>
      </w:r>
      <w:r w:rsidRPr="00D51FF5">
        <w:t xml:space="preserve"> Hinweis von </w:t>
      </w:r>
      <w:proofErr w:type="spellStart"/>
      <w:r w:rsidRPr="00D51FF5">
        <w:t>Youtube</w:t>
      </w:r>
      <w:proofErr w:type="spellEnd"/>
      <w:r w:rsidRPr="00D51FF5">
        <w:t xml:space="preserve"> Blogger Just Have a Think: </w:t>
      </w:r>
      <w:hyperlink r:id="rId1392" w:history="1">
        <w:r w:rsidRPr="00D51FF5">
          <w:rPr>
            <w:rStyle w:val="Hyperlink"/>
          </w:rPr>
          <w:t>https://www.youtube.com/watch?v=242pqLSFzh4</w:t>
        </w:r>
      </w:hyperlink>
      <w:r w:rsidRPr="00D51FF5">
        <w:t xml:space="preserve"> – Zugegriffen: 30.04.2025.</w:t>
      </w:r>
    </w:p>
  </w:footnote>
  <w:footnote w:id="1865">
    <w:p w14:paraId="6E68F98E" w14:textId="77777777" w:rsidR="00CA3D74" w:rsidRPr="00601FCC" w:rsidRDefault="00CA3D74" w:rsidP="00CA3D74">
      <w:pPr>
        <w:pStyle w:val="Funotentext"/>
      </w:pPr>
      <w:r>
        <w:rPr>
          <w:rStyle w:val="Funotenzeichen"/>
        </w:rPr>
        <w:footnoteRef/>
      </w:r>
      <w:r w:rsidRPr="00601FCC">
        <w:t xml:space="preserve"> Thielges et al. 2022: 29.</w:t>
      </w:r>
    </w:p>
  </w:footnote>
  <w:footnote w:id="1866">
    <w:p w14:paraId="4C3AAAA8" w14:textId="77777777" w:rsidR="00CA3D74" w:rsidRPr="00601FCC" w:rsidRDefault="00CA3D74" w:rsidP="00CA3D74">
      <w:pPr>
        <w:pStyle w:val="Funotentext"/>
      </w:pPr>
      <w:r>
        <w:rPr>
          <w:rStyle w:val="Funotenzeichen"/>
        </w:rPr>
        <w:footnoteRef/>
      </w:r>
      <w:r w:rsidRPr="00601FCC">
        <w:t xml:space="preserve"> Thielges et al. 2022: 29.</w:t>
      </w:r>
    </w:p>
  </w:footnote>
  <w:footnote w:id="1867">
    <w:p w14:paraId="1CEBCF10" w14:textId="77777777" w:rsidR="00112190" w:rsidRPr="00741BAE" w:rsidRDefault="00112190" w:rsidP="00112190">
      <w:pPr>
        <w:pStyle w:val="Funotentext"/>
      </w:pPr>
      <w:r>
        <w:rPr>
          <w:rStyle w:val="Funotenzeichen"/>
        </w:rPr>
        <w:footnoteRef/>
      </w:r>
      <w:r w:rsidRPr="00741BAE">
        <w:t xml:space="preserve"> Thielges et al. </w:t>
      </w:r>
      <w:proofErr w:type="gramStart"/>
      <w:r w:rsidRPr="00741BAE">
        <w:t>2002 :</w:t>
      </w:r>
      <w:proofErr w:type="gramEnd"/>
      <w:r w:rsidRPr="00741BAE">
        <w:t xml:space="preserve"> 31.</w:t>
      </w:r>
    </w:p>
  </w:footnote>
  <w:footnote w:id="1868">
    <w:p w14:paraId="57A9085B" w14:textId="781575F9" w:rsidR="00A217B3" w:rsidRDefault="00A217B3">
      <w:pPr>
        <w:pStyle w:val="Funotentext"/>
      </w:pPr>
      <w:r>
        <w:rPr>
          <w:rStyle w:val="Funotenzeichen"/>
        </w:rPr>
        <w:footnoteRef/>
      </w:r>
      <w:r>
        <w:t xml:space="preserve"> </w:t>
      </w:r>
      <w:proofErr w:type="spellStart"/>
      <w:r>
        <w:t>Elektravision</w:t>
      </w:r>
      <w:proofErr w:type="spellEnd"/>
      <w:r>
        <w:t xml:space="preserve"> 2024: 6.</w:t>
      </w:r>
    </w:p>
  </w:footnote>
  <w:footnote w:id="1869">
    <w:p w14:paraId="4FC29E94" w14:textId="1C65AC29" w:rsidR="004640D3" w:rsidRDefault="004640D3">
      <w:pPr>
        <w:pStyle w:val="Funotentext"/>
      </w:pPr>
      <w:r>
        <w:rPr>
          <w:rStyle w:val="Funotenzeichen"/>
        </w:rPr>
        <w:footnoteRef/>
      </w:r>
      <w:r>
        <w:t xml:space="preserve"> Diese Zahlen aus: Winand von Petersdorff-Campen. USA peilen großes Kernkraft-Comeback an. FAZ, 19.06.2024. </w:t>
      </w:r>
    </w:p>
  </w:footnote>
  <w:footnote w:id="1870">
    <w:p w14:paraId="29BA523D" w14:textId="6A5BBB2E" w:rsidR="00A217B3" w:rsidRDefault="00A217B3">
      <w:pPr>
        <w:pStyle w:val="Funotentext"/>
      </w:pPr>
      <w:r>
        <w:rPr>
          <w:rStyle w:val="Funotenzeichen"/>
        </w:rPr>
        <w:footnoteRef/>
      </w:r>
      <w:r>
        <w:t xml:space="preserve"> </w:t>
      </w:r>
      <w:proofErr w:type="spellStart"/>
      <w:r>
        <w:t>Elektravision</w:t>
      </w:r>
      <w:proofErr w:type="spellEnd"/>
      <w:r>
        <w:t xml:space="preserve"> 2024: 34.</w:t>
      </w:r>
    </w:p>
  </w:footnote>
  <w:footnote w:id="1871">
    <w:p w14:paraId="1D73597A" w14:textId="77777777" w:rsidR="00112190" w:rsidRPr="0098534D" w:rsidRDefault="00112190" w:rsidP="00112190">
      <w:pPr>
        <w:pStyle w:val="Funotentext"/>
      </w:pPr>
      <w:r>
        <w:rPr>
          <w:rStyle w:val="Funotenzeichen"/>
        </w:rPr>
        <w:footnoteRef/>
      </w:r>
      <w:r w:rsidRPr="0098534D">
        <w:t xml:space="preserve"> Die FAZ berich</w:t>
      </w:r>
      <w:r>
        <w:t xml:space="preserve">tet vom Anschluss von South Fork, 12 Windkraftanlagen vor der New Yorker Long Island Küste, 132 MW Leistung, nur ein mittelgroßer Windpark. FAZ. Die USA bekommen erstmals Windstrom vom Meer, FAZ, 18.03.2024. Erstmals ist nicht richtig, siehe Wikipedia: </w:t>
      </w:r>
      <w:hyperlink r:id="rId1393" w:history="1">
        <w:r w:rsidRPr="001344B6">
          <w:rPr>
            <w:rStyle w:val="Hyperlink"/>
          </w:rPr>
          <w:t>https://de.wikipedia.org/wiki/Liste_der_Offshore-Windparks</w:t>
        </w:r>
      </w:hyperlink>
      <w:r>
        <w:t xml:space="preserve"> - Zugegriffen: 24.03.2024. </w:t>
      </w:r>
    </w:p>
  </w:footnote>
  <w:footnote w:id="1872">
    <w:p w14:paraId="6D3C6DCA" w14:textId="77777777" w:rsidR="00112190" w:rsidRDefault="00112190" w:rsidP="00112190">
      <w:pPr>
        <w:pStyle w:val="Funotentext"/>
      </w:pPr>
      <w:r>
        <w:rPr>
          <w:rStyle w:val="Funotenzeichen"/>
        </w:rPr>
        <w:footnoteRef/>
      </w:r>
      <w:r>
        <w:t xml:space="preserve"> Siehe Wikipedia: </w:t>
      </w:r>
      <w:hyperlink r:id="rId1394" w:history="1">
        <w:r w:rsidRPr="001344B6">
          <w:rPr>
            <w:rStyle w:val="Hyperlink"/>
          </w:rPr>
          <w:t>https://de.wikipedia.org/wiki/Liste_der_Offshore-Windparks</w:t>
        </w:r>
      </w:hyperlink>
      <w:r>
        <w:t xml:space="preserve"> - Zugegriffen: 24.03.2024.  </w:t>
      </w:r>
    </w:p>
  </w:footnote>
  <w:footnote w:id="1873">
    <w:p w14:paraId="3374B696" w14:textId="16FAE3E8" w:rsidR="00695FBD" w:rsidRPr="007B6CDD" w:rsidRDefault="00695FBD">
      <w:pPr>
        <w:pStyle w:val="Funotentext"/>
        <w:rPr>
          <w:lang w:val="fr-FR"/>
        </w:rPr>
      </w:pPr>
      <w:r>
        <w:rPr>
          <w:rStyle w:val="Funotenzeichen"/>
        </w:rPr>
        <w:footnoteRef/>
      </w:r>
      <w:r>
        <w:t xml:space="preserve"> </w:t>
      </w:r>
      <w:r w:rsidR="001F55CA">
        <w:t xml:space="preserve">Windpark vor New York wird gebaut. </w:t>
      </w:r>
      <w:r w:rsidR="001F55CA" w:rsidRPr="007B6CDD">
        <w:rPr>
          <w:lang w:val="fr-FR"/>
        </w:rPr>
        <w:t>FAZ, 21.05.2025.</w:t>
      </w:r>
    </w:p>
  </w:footnote>
  <w:footnote w:id="1874">
    <w:p w14:paraId="424CE1BB" w14:textId="77777777" w:rsidR="00112190" w:rsidRPr="007B6CDD" w:rsidRDefault="00112190" w:rsidP="00112190">
      <w:pPr>
        <w:pStyle w:val="Funotentext"/>
        <w:rPr>
          <w:lang w:val="fr-FR"/>
        </w:rPr>
      </w:pPr>
      <w:r>
        <w:rPr>
          <w:rStyle w:val="Funotenzeichen"/>
        </w:rPr>
        <w:footnoteRef/>
      </w:r>
      <w:r w:rsidRPr="007B6CDD">
        <w:rPr>
          <w:lang w:val="fr-FR"/>
        </w:rPr>
        <w:t xml:space="preserve"> Thielges et al. </w:t>
      </w:r>
      <w:proofErr w:type="gramStart"/>
      <w:r w:rsidRPr="007B6CDD">
        <w:rPr>
          <w:lang w:val="fr-FR"/>
        </w:rPr>
        <w:t>2002:</w:t>
      </w:r>
      <w:proofErr w:type="gramEnd"/>
      <w:r w:rsidRPr="007B6CDD">
        <w:rPr>
          <w:lang w:val="fr-FR"/>
        </w:rPr>
        <w:t xml:space="preserve"> 36.</w:t>
      </w:r>
    </w:p>
  </w:footnote>
  <w:footnote w:id="1875">
    <w:p w14:paraId="3AFFBBBC" w14:textId="77777777" w:rsidR="00CA3D74" w:rsidRPr="00370D14" w:rsidRDefault="00CA3D74" w:rsidP="00CA3D74">
      <w:pPr>
        <w:pStyle w:val="Funotentext"/>
        <w:rPr>
          <w:lang w:val="fr-FR"/>
        </w:rPr>
      </w:pPr>
      <w:r>
        <w:rPr>
          <w:rStyle w:val="Funotenzeichen"/>
        </w:rPr>
        <w:footnoteRef/>
      </w:r>
      <w:r w:rsidRPr="00370D14">
        <w:rPr>
          <w:lang w:val="fr-FR"/>
        </w:rPr>
        <w:t xml:space="preserve"> Thielges et al. </w:t>
      </w:r>
      <w:proofErr w:type="gramStart"/>
      <w:r w:rsidRPr="00370D14">
        <w:rPr>
          <w:lang w:val="fr-FR"/>
        </w:rPr>
        <w:t>2022:</w:t>
      </w:r>
      <w:proofErr w:type="gramEnd"/>
      <w:r w:rsidRPr="00370D14">
        <w:rPr>
          <w:lang w:val="fr-FR"/>
        </w:rPr>
        <w:t xml:space="preserve"> 29.</w:t>
      </w:r>
    </w:p>
  </w:footnote>
  <w:footnote w:id="1876">
    <w:p w14:paraId="1A7CACCF" w14:textId="77777777" w:rsidR="00112190" w:rsidRDefault="00112190" w:rsidP="00112190">
      <w:pPr>
        <w:pStyle w:val="Funotentext"/>
      </w:pPr>
      <w:r>
        <w:rPr>
          <w:rStyle w:val="Funotenzeichen"/>
        </w:rPr>
        <w:footnoteRef/>
      </w:r>
      <w:r>
        <w:t xml:space="preserve"> Siehe diese Publikation von C2ES: </w:t>
      </w:r>
      <w:hyperlink r:id="rId1395" w:history="1">
        <w:r w:rsidRPr="00EF68D4">
          <w:rPr>
            <w:rStyle w:val="Hyperlink"/>
          </w:rPr>
          <w:t>https://www.c2es.org/wp-content/uploads/2023/12/carbon-pricing-proposals-in-the-118th-congress.pdf</w:t>
        </w:r>
      </w:hyperlink>
      <w:r>
        <w:t xml:space="preserve"> - Zugegriffen: 24.02.2024. </w:t>
      </w:r>
    </w:p>
  </w:footnote>
  <w:footnote w:id="1877">
    <w:p w14:paraId="1010D4DC" w14:textId="77777777" w:rsidR="00E11353" w:rsidRPr="00E11353" w:rsidRDefault="00E11353" w:rsidP="00E11353">
      <w:pPr>
        <w:pStyle w:val="Funotentext"/>
      </w:pPr>
      <w:r>
        <w:rPr>
          <w:rStyle w:val="Funotenzeichen"/>
        </w:rPr>
        <w:footnoteRef/>
      </w:r>
      <w:r w:rsidRPr="00E11353">
        <w:rPr>
          <w:lang w:val="en-GB"/>
        </w:rPr>
        <w:t xml:space="preserve"> Clausing, Kimberly, Crampton, Peter, Ockenfels, </w:t>
      </w:r>
      <w:r>
        <w:rPr>
          <w:lang w:val="en-GB"/>
        </w:rPr>
        <w:t xml:space="preserve">Axel, Wolfram, Cahterine. Letter from America. </w:t>
      </w:r>
      <w:r w:rsidRPr="00E11353">
        <w:rPr>
          <w:lang w:val="en-GB"/>
        </w:rPr>
        <w:t xml:space="preserve">Strategic Climate Cooperation and Greenhouse Gase Price Coordination. </w:t>
      </w:r>
      <w:proofErr w:type="spellStart"/>
      <w:r w:rsidRPr="00F769C8">
        <w:t>Intereconomics</w:t>
      </w:r>
      <w:proofErr w:type="spellEnd"/>
      <w:r w:rsidRPr="00F769C8">
        <w:t xml:space="preserve">, Vol. 59. </w:t>
      </w:r>
      <w:proofErr w:type="spellStart"/>
      <w:r w:rsidRPr="00E11353">
        <w:t>No</w:t>
      </w:r>
      <w:proofErr w:type="spellEnd"/>
      <w:r w:rsidRPr="00E11353">
        <w:t xml:space="preserve">. 1, 2024. Pp. 55-56. Siehe: </w:t>
      </w:r>
      <w:hyperlink r:id="rId1396" w:history="1">
        <w:r w:rsidRPr="00E11353">
          <w:rPr>
            <w:rStyle w:val="Hyperlink"/>
          </w:rPr>
          <w:t>https://www.intereconomics.eu/contents/year/2024/number/1/article/strategic-climate-cooperation-and-greenhouse-gas-price-coordination.html</w:t>
        </w:r>
      </w:hyperlink>
      <w:r w:rsidRPr="00E11353">
        <w:t xml:space="preserve"> </w:t>
      </w:r>
      <w:r>
        <w:t xml:space="preserve">- Zugegriffen: 17.07.2024. </w:t>
      </w:r>
    </w:p>
  </w:footnote>
  <w:footnote w:id="1878">
    <w:p w14:paraId="3BFE4DED" w14:textId="77777777" w:rsidR="00112190" w:rsidRPr="000C6D3D" w:rsidRDefault="00112190" w:rsidP="00112190">
      <w:pPr>
        <w:pStyle w:val="Funotentext"/>
      </w:pPr>
      <w:r>
        <w:rPr>
          <w:rStyle w:val="Funotenzeichen"/>
        </w:rPr>
        <w:footnoteRef/>
      </w:r>
      <w:r w:rsidRPr="000C6D3D">
        <w:t xml:space="preserve"> Siehe: </w:t>
      </w:r>
      <w:hyperlink r:id="rId1397" w:history="1">
        <w:r w:rsidRPr="005A2154">
          <w:rPr>
            <w:rStyle w:val="Hyperlink"/>
          </w:rPr>
          <w:t>https://de.wikipedia.org/wiki/Erd%C3%B6l/Tabellen_und_Grafiken</w:t>
        </w:r>
      </w:hyperlink>
      <w:r>
        <w:t xml:space="preserve"> - Zugegriffen: 28.01.2024.</w:t>
      </w:r>
    </w:p>
  </w:footnote>
  <w:footnote w:id="1879">
    <w:p w14:paraId="260056F0" w14:textId="77777777" w:rsidR="00112190" w:rsidRPr="000C6D3D" w:rsidRDefault="00112190" w:rsidP="00112190">
      <w:pPr>
        <w:pStyle w:val="Funotentext"/>
      </w:pPr>
      <w:r>
        <w:rPr>
          <w:rStyle w:val="Funotenzeichen"/>
        </w:rPr>
        <w:footnoteRef/>
      </w:r>
      <w:r w:rsidRPr="000C6D3D">
        <w:t xml:space="preserve"> Si</w:t>
      </w:r>
      <w:r>
        <w:t xml:space="preserve">ehe: </w:t>
      </w:r>
      <w:hyperlink r:id="rId1398" w:history="1">
        <w:r w:rsidRPr="005A2154">
          <w:rPr>
            <w:rStyle w:val="Hyperlink"/>
          </w:rPr>
          <w:t>https://de.wikipedia.org/wiki/Erd%C3%B6l/Tabellen_und_Grafiken</w:t>
        </w:r>
      </w:hyperlink>
      <w:r>
        <w:t xml:space="preserve"> - Zugegriffen: 28.01.2024.</w:t>
      </w:r>
    </w:p>
  </w:footnote>
  <w:footnote w:id="1880">
    <w:p w14:paraId="761406DB" w14:textId="77777777" w:rsidR="00112190" w:rsidRPr="00A0352F" w:rsidRDefault="00112190" w:rsidP="00112190">
      <w:pPr>
        <w:pStyle w:val="Funotentext"/>
      </w:pPr>
      <w:r>
        <w:rPr>
          <w:rStyle w:val="Funotenzeichen"/>
        </w:rPr>
        <w:footnoteRef/>
      </w:r>
      <w:r w:rsidRPr="00A0352F">
        <w:t xml:space="preserve"> </w:t>
      </w:r>
      <w:r w:rsidRPr="007356DD">
        <w:t xml:space="preserve">In der weltweiten Ölproduktion liegt die USA mit 12,9 Mill. Barrel pro Tag weltweit vorne, es folgt Russland, mit 9,4 Mill. und </w:t>
      </w:r>
      <w:proofErr w:type="gramStart"/>
      <w:r w:rsidRPr="007356DD">
        <w:t>Saudi Arabien</w:t>
      </w:r>
      <w:proofErr w:type="gramEnd"/>
      <w:r w:rsidRPr="007356DD">
        <w:t xml:space="preserve"> mit 9,0 Mill., Kanada mit 4,7 Mill. und Irak mit 4,3 Mill. und China mit 4,0 Mill, Brasilien mit 3,6 Mill, dann folgen die die Vereinigten Arabischen Emirate, Iran, Kuwait etc</w:t>
      </w:r>
      <w:r>
        <w:t xml:space="preserve">. </w:t>
      </w:r>
      <w:r w:rsidRPr="00A0352F">
        <w:t>Si</w:t>
      </w:r>
      <w:r>
        <w:t xml:space="preserve">ehe: </w:t>
      </w:r>
      <w:hyperlink r:id="rId1399" w:history="1">
        <w:r w:rsidRPr="00CC56F2">
          <w:rPr>
            <w:rStyle w:val="Hyperlink"/>
          </w:rPr>
          <w:t>https://en.wikipedia.org/wiki/List_of_countries_by_oil_production</w:t>
        </w:r>
      </w:hyperlink>
      <w:r>
        <w:t xml:space="preserve"> - Zugegriffen: 07.01.2024. Siehe auch: </w:t>
      </w:r>
      <w:r w:rsidRPr="007356DD">
        <w:t xml:space="preserve">Siehe auch: </w:t>
      </w:r>
      <w:hyperlink r:id="rId1400" w:history="1">
        <w:r w:rsidRPr="005A2154">
          <w:rPr>
            <w:rStyle w:val="Hyperlink"/>
          </w:rPr>
          <w:t>https://www.eia.gov/tools/faqs/faq.php?id=709&amp;t=6</w:t>
        </w:r>
      </w:hyperlink>
      <w:r>
        <w:t xml:space="preserve"> – Zugegriffen: 28.01.2024. </w:t>
      </w:r>
    </w:p>
  </w:footnote>
  <w:footnote w:id="1881">
    <w:p w14:paraId="7957FF4F" w14:textId="77777777" w:rsidR="00112190" w:rsidRPr="001A5024" w:rsidRDefault="00112190" w:rsidP="00112190">
      <w:pPr>
        <w:pStyle w:val="Funotentext"/>
      </w:pPr>
      <w:r>
        <w:rPr>
          <w:rStyle w:val="Funotenzeichen"/>
        </w:rPr>
        <w:footnoteRef/>
      </w:r>
      <w:r w:rsidRPr="001A5024">
        <w:t xml:space="preserve"> Thielges et al. </w:t>
      </w:r>
      <w:proofErr w:type="gramStart"/>
      <w:r w:rsidRPr="001A5024">
        <w:t>2022 :</w:t>
      </w:r>
      <w:proofErr w:type="gramEnd"/>
      <w:r w:rsidRPr="001A5024">
        <w:t xml:space="preserve"> 12.</w:t>
      </w:r>
    </w:p>
  </w:footnote>
  <w:footnote w:id="1882">
    <w:p w14:paraId="3FEA6E5D" w14:textId="77777777" w:rsidR="00112190" w:rsidRPr="002E249A" w:rsidRDefault="00112190" w:rsidP="00112190">
      <w:pPr>
        <w:pStyle w:val="Funotentext"/>
      </w:pPr>
      <w:r>
        <w:rPr>
          <w:rStyle w:val="Funotenzeichen"/>
        </w:rPr>
        <w:footnoteRef/>
      </w:r>
      <w:r w:rsidRPr="002E249A">
        <w:t xml:space="preserve"> Winand von Petersdorff. Die F</w:t>
      </w:r>
      <w:r>
        <w:t xml:space="preserve">racker im Fusionsfieber. FAZ, 16.02.2024. </w:t>
      </w:r>
    </w:p>
  </w:footnote>
  <w:footnote w:id="1883">
    <w:p w14:paraId="1F98B895" w14:textId="77777777" w:rsidR="00112190" w:rsidRPr="00D91407" w:rsidRDefault="00112190" w:rsidP="00112190">
      <w:pPr>
        <w:pStyle w:val="Funotentext"/>
      </w:pPr>
      <w:r>
        <w:rPr>
          <w:rStyle w:val="Funotenzeichen"/>
        </w:rPr>
        <w:footnoteRef/>
      </w:r>
      <w:r w:rsidRPr="00D91407">
        <w:t xml:space="preserve"> Ölbranche konsolidiert. FAZ, Nachrichten a</w:t>
      </w:r>
      <w:r>
        <w:t>us der Finanzwelt, 31.05.2024.</w:t>
      </w:r>
    </w:p>
  </w:footnote>
  <w:footnote w:id="1884">
    <w:p w14:paraId="619A7BBE" w14:textId="77777777" w:rsidR="00227C78" w:rsidRDefault="00227C78" w:rsidP="00227C78">
      <w:pPr>
        <w:pStyle w:val="Funotentext"/>
      </w:pPr>
      <w:r>
        <w:rPr>
          <w:rStyle w:val="Funotenzeichen"/>
        </w:rPr>
        <w:footnoteRef/>
      </w:r>
      <w:r>
        <w:t xml:space="preserve"> Siehe: </w:t>
      </w:r>
      <w:hyperlink r:id="rId1401" w:history="1">
        <w:r w:rsidRPr="004D34B9">
          <w:rPr>
            <w:rStyle w:val="Hyperlink"/>
          </w:rPr>
          <w:t>https://www.whitehouse.gov/presidential-actions/2025/01/unleashing-american-energy/</w:t>
        </w:r>
      </w:hyperlink>
      <w:r>
        <w:t xml:space="preserve"> - Zugegriffen: 18.05.2025. </w:t>
      </w:r>
    </w:p>
  </w:footnote>
  <w:footnote w:id="1885">
    <w:p w14:paraId="7E8A1185" w14:textId="77777777" w:rsidR="00227C78" w:rsidRDefault="00227C78" w:rsidP="00227C78">
      <w:pPr>
        <w:pStyle w:val="Funotentext"/>
      </w:pPr>
      <w:r>
        <w:rPr>
          <w:rStyle w:val="Funotenzeichen"/>
        </w:rPr>
        <w:footnoteRef/>
      </w:r>
      <w:r>
        <w:t xml:space="preserve"> Siehe: </w:t>
      </w:r>
      <w:hyperlink r:id="rId1402" w:history="1">
        <w:r w:rsidRPr="004D34B9">
          <w:rPr>
            <w:rStyle w:val="Hyperlink"/>
          </w:rPr>
          <w:t>https://www.utilitydive.com/news/judge-orders-trump-reinstate-inflation-reduction-act-funding/745541/</w:t>
        </w:r>
      </w:hyperlink>
      <w:r>
        <w:t xml:space="preserve"> - Zugegriffen: 18.05.2025.</w:t>
      </w:r>
    </w:p>
  </w:footnote>
  <w:footnote w:id="1886">
    <w:p w14:paraId="40EDFAF4" w14:textId="77777777" w:rsidR="00112190" w:rsidRPr="00BF7E82" w:rsidRDefault="00112190" w:rsidP="00112190">
      <w:pPr>
        <w:pStyle w:val="Funotentext"/>
      </w:pPr>
      <w:r>
        <w:rPr>
          <w:rStyle w:val="Funotenzeichen"/>
        </w:rPr>
        <w:footnoteRef/>
      </w:r>
      <w:r w:rsidRPr="00BF7E82">
        <w:rPr>
          <w:lang w:val="en-GB"/>
        </w:rPr>
        <w:t xml:space="preserve"> </w:t>
      </w:r>
      <w:r>
        <w:rPr>
          <w:lang w:val="en-GB"/>
        </w:rPr>
        <w:t xml:space="preserve">So: Report of the Electricity Committee 2003: 5. </w:t>
      </w:r>
      <w:r w:rsidRPr="00BF7E82">
        <w:t xml:space="preserve">Siehe diese Webseite: </w:t>
      </w:r>
      <w:hyperlink r:id="rId1403" w:history="1">
        <w:r w:rsidRPr="00AB4BBB">
          <w:rPr>
            <w:rStyle w:val="Hyperlink"/>
          </w:rPr>
          <w:t>https://www.eba-net.org/wp-content/uploads/2023/06/10-Electricity-Committee-ReportFinal_updated06122023.pdf</w:t>
        </w:r>
      </w:hyperlink>
      <w:r>
        <w:t xml:space="preserve"> - Zugegriffen: 07.01.2024. </w:t>
      </w:r>
    </w:p>
  </w:footnote>
  <w:footnote w:id="1887">
    <w:p w14:paraId="04C13FC8" w14:textId="77777777" w:rsidR="00112190" w:rsidRPr="00BF7E82" w:rsidRDefault="00112190" w:rsidP="00112190">
      <w:pPr>
        <w:pStyle w:val="Funotentext"/>
      </w:pPr>
      <w:r>
        <w:rPr>
          <w:rStyle w:val="Funotenzeichen"/>
        </w:rPr>
        <w:footnoteRef/>
      </w:r>
      <w:r w:rsidRPr="00BF7E82">
        <w:t xml:space="preserve"> </w:t>
      </w:r>
      <w:r>
        <w:t>Siehe</w:t>
      </w:r>
      <w:r w:rsidRPr="00BF7E82">
        <w:t xml:space="preserve">: </w:t>
      </w:r>
      <w:hyperlink r:id="rId1404" w:history="1">
        <w:r w:rsidRPr="00BF7E82">
          <w:rPr>
            <w:rStyle w:val="Hyperlink"/>
          </w:rPr>
          <w:t>https://home.treasury.gov/news/press-releases/jy0993</w:t>
        </w:r>
      </w:hyperlink>
      <w:r w:rsidRPr="00BF7E82">
        <w:t xml:space="preserve"> - Zu</w:t>
      </w:r>
      <w:r>
        <w:t xml:space="preserve">gegriffen: 07.01.2024. </w:t>
      </w:r>
    </w:p>
  </w:footnote>
  <w:footnote w:id="1888">
    <w:p w14:paraId="04B886AB" w14:textId="77777777" w:rsidR="00112190" w:rsidRDefault="00112190" w:rsidP="00112190">
      <w:pPr>
        <w:pStyle w:val="Funotentext"/>
      </w:pPr>
      <w:r>
        <w:rPr>
          <w:rStyle w:val="Funotenzeichen"/>
        </w:rPr>
        <w:footnoteRef/>
      </w:r>
      <w:r>
        <w:t xml:space="preserve"> Siehe: </w:t>
      </w:r>
      <w:hyperlink r:id="rId1405" w:history="1">
        <w:r w:rsidRPr="00AB4BBB">
          <w:rPr>
            <w:rStyle w:val="Hyperlink"/>
          </w:rPr>
          <w:t>https://home.treasury.gov/policy-issues/climate-change</w:t>
        </w:r>
      </w:hyperlink>
      <w:r>
        <w:t xml:space="preserve"> - Zugegriffen: 07.01.2024.</w:t>
      </w:r>
    </w:p>
  </w:footnote>
  <w:footnote w:id="1889">
    <w:p w14:paraId="36130BA3" w14:textId="77777777" w:rsidR="00112190" w:rsidRDefault="00112190" w:rsidP="00112190">
      <w:pPr>
        <w:pStyle w:val="Funotentext"/>
      </w:pPr>
      <w:r>
        <w:rPr>
          <w:rStyle w:val="Funotenzeichen"/>
        </w:rPr>
        <w:footnoteRef/>
      </w:r>
      <w:r>
        <w:t xml:space="preserve"> Siehe: </w:t>
      </w:r>
      <w:hyperlink r:id="rId1406" w:history="1">
        <w:r w:rsidRPr="00AB4BBB">
          <w:rPr>
            <w:rStyle w:val="Hyperlink"/>
          </w:rPr>
          <w:t>https://www.irs.gov/credits-and-deductions-under-the-inflation-reduction-act-of-2022</w:t>
        </w:r>
      </w:hyperlink>
      <w:r>
        <w:t xml:space="preserve"> - Zugegriffen: 07.01.2024. </w:t>
      </w:r>
    </w:p>
  </w:footnote>
  <w:footnote w:id="1890">
    <w:p w14:paraId="13B24AED" w14:textId="77777777" w:rsidR="00112190" w:rsidRPr="0080760D" w:rsidRDefault="00112190" w:rsidP="00112190">
      <w:pPr>
        <w:pStyle w:val="Funotentext"/>
      </w:pPr>
      <w:r>
        <w:rPr>
          <w:rStyle w:val="Funotenzeichen"/>
        </w:rPr>
        <w:footnoteRef/>
      </w:r>
      <w:r w:rsidRPr="0080760D">
        <w:t xml:space="preserve"> </w:t>
      </w:r>
      <w:r>
        <w:t xml:space="preserve">Siehe: </w:t>
      </w:r>
      <w:hyperlink r:id="rId1407" w:history="1">
        <w:r w:rsidRPr="00AB4BBB">
          <w:rPr>
            <w:rStyle w:val="Hyperlink"/>
          </w:rPr>
          <w:t>https://www.irs.gov/inflation-reduction-act-of-2022</w:t>
        </w:r>
      </w:hyperlink>
      <w:r>
        <w:t xml:space="preserve"> - Zugegriffen: 07.01.2024.</w:t>
      </w:r>
    </w:p>
  </w:footnote>
  <w:footnote w:id="1891">
    <w:p w14:paraId="39F1305A" w14:textId="77777777" w:rsidR="00112190" w:rsidRPr="0080760D" w:rsidRDefault="00112190" w:rsidP="00112190">
      <w:pPr>
        <w:pStyle w:val="Funotentext"/>
      </w:pPr>
      <w:r>
        <w:rPr>
          <w:rStyle w:val="Funotenzeichen"/>
        </w:rPr>
        <w:footnoteRef/>
      </w:r>
      <w:r w:rsidRPr="0080760D">
        <w:t xml:space="preserve"> </w:t>
      </w:r>
      <w:r>
        <w:t xml:space="preserve">Siehe: </w:t>
      </w:r>
      <w:hyperlink r:id="rId1408" w:history="1">
        <w:r w:rsidRPr="00AB4BBB">
          <w:rPr>
            <w:rStyle w:val="Hyperlink"/>
          </w:rPr>
          <w:t>https://www.irs.gov/newsroom/irs-ramps-up-new-initiatives-using-inflation-reduction-act-funding-to-ensure-complex-partnerships-large-corporations-pay-taxes-owed-continues-to-close-millionaire-tax-debt-cases</w:t>
        </w:r>
      </w:hyperlink>
      <w:r>
        <w:t xml:space="preserve"> - Zugegriffen: 07.01.2024. </w:t>
      </w:r>
    </w:p>
  </w:footnote>
  <w:footnote w:id="1892">
    <w:p w14:paraId="74D8C6C2" w14:textId="77777777" w:rsidR="00112190" w:rsidRPr="00284103" w:rsidRDefault="00112190" w:rsidP="00112190">
      <w:pPr>
        <w:pStyle w:val="Funotentext"/>
      </w:pPr>
      <w:r>
        <w:rPr>
          <w:rStyle w:val="Funotenzeichen"/>
        </w:rPr>
        <w:footnoteRef/>
      </w:r>
      <w:r w:rsidRPr="00284103">
        <w:rPr>
          <w:lang w:val="en-GB"/>
        </w:rPr>
        <w:t xml:space="preserve"> FACT SHEET: One Year In, President Biden’s Inflation Reduction Act is Driving Historic Climate Action and Investing in America to Create Good Paying Jobs and Reduce Costs</w:t>
      </w:r>
      <w:r>
        <w:rPr>
          <w:lang w:val="en-GB"/>
        </w:rPr>
        <w:t xml:space="preserve">, August, 16, 2023. </w:t>
      </w:r>
      <w:r w:rsidRPr="00284103">
        <w:t xml:space="preserve">Siehe:  </w:t>
      </w:r>
      <w:hyperlink r:id="rId1409" w:history="1">
        <w:r w:rsidRPr="00CC56F2">
          <w:rPr>
            <w:rStyle w:val="Hyperlink"/>
          </w:rPr>
          <w:t>https://www.whitehouse.gov/briefing-room/statements-releases/2023/08/16/fact-sheet-one-year-in-president-bidens-inflation-reduction-act-is-driving-historic-climate-action-and-investing-in-america-to-create-good-paying-jobs-and-reduce-costs/</w:t>
        </w:r>
      </w:hyperlink>
      <w:r>
        <w:t xml:space="preserve"> - Zugegriffen: 30.12.2023. </w:t>
      </w:r>
    </w:p>
  </w:footnote>
  <w:footnote w:id="1893">
    <w:p w14:paraId="00A89FDE" w14:textId="28CDD191" w:rsidR="00F008F9" w:rsidRDefault="00F008F9">
      <w:pPr>
        <w:pStyle w:val="Funotentext"/>
      </w:pPr>
      <w:r>
        <w:rPr>
          <w:rStyle w:val="Funotenzeichen"/>
        </w:rPr>
        <w:footnoteRef/>
      </w:r>
      <w:r>
        <w:t xml:space="preserve"> USGS Mineral </w:t>
      </w:r>
      <w:proofErr w:type="spellStart"/>
      <w:r>
        <w:t>Commodity</w:t>
      </w:r>
      <w:proofErr w:type="spellEnd"/>
      <w:r>
        <w:t xml:space="preserve"> </w:t>
      </w:r>
      <w:proofErr w:type="spellStart"/>
      <w:r>
        <w:t>Summaries</w:t>
      </w:r>
      <w:proofErr w:type="spellEnd"/>
      <w:r>
        <w:t xml:space="preserve"> 2024: 111.</w:t>
      </w:r>
    </w:p>
  </w:footnote>
  <w:footnote w:id="1894">
    <w:p w14:paraId="3B4DE70E" w14:textId="77777777" w:rsidR="00112190" w:rsidRPr="00E30C9C" w:rsidRDefault="00112190" w:rsidP="00112190">
      <w:pPr>
        <w:pStyle w:val="Funotentext"/>
        <w:rPr>
          <w:lang w:val="en-GB"/>
        </w:rPr>
      </w:pPr>
      <w:r>
        <w:rPr>
          <w:rStyle w:val="Funotenzeichen"/>
        </w:rPr>
        <w:footnoteRef/>
      </w:r>
      <w:r w:rsidRPr="00E30C9C">
        <w:t xml:space="preserve"> </w:t>
      </w:r>
      <w:r>
        <w:t xml:space="preserve">Informationen in diesem Abschnitt aus dem Artikel der </w:t>
      </w:r>
      <w:r w:rsidRPr="00E30C9C">
        <w:t>FAZ. Biden schnürt milliarden</w:t>
      </w:r>
      <w:r>
        <w:t xml:space="preserve">schweres Hilfspaket für Intel. </w:t>
      </w:r>
      <w:r w:rsidRPr="00E30C9C">
        <w:rPr>
          <w:lang w:val="en-GB"/>
        </w:rPr>
        <w:t>FA</w:t>
      </w:r>
      <w:r>
        <w:rPr>
          <w:lang w:val="en-GB"/>
        </w:rPr>
        <w:t>Z, 21.03.2024.</w:t>
      </w:r>
    </w:p>
  </w:footnote>
  <w:footnote w:id="1895">
    <w:p w14:paraId="36A5D130" w14:textId="77777777" w:rsidR="00112190" w:rsidRPr="0080760D" w:rsidRDefault="00112190" w:rsidP="00112190">
      <w:pPr>
        <w:pStyle w:val="Funotentext"/>
        <w:rPr>
          <w:lang w:val="en-GB"/>
        </w:rPr>
      </w:pPr>
      <w:r>
        <w:rPr>
          <w:rStyle w:val="Funotenzeichen"/>
        </w:rPr>
        <w:footnoteRef/>
      </w:r>
      <w:r w:rsidRPr="00E30C9C">
        <w:rPr>
          <w:lang w:val="en-GB"/>
        </w:rPr>
        <w:t xml:space="preserve"> Der IRS </w:t>
      </w:r>
      <w:proofErr w:type="spellStart"/>
      <w:r w:rsidRPr="00E30C9C">
        <w:rPr>
          <w:lang w:val="en-GB"/>
        </w:rPr>
        <w:t>schreibt</w:t>
      </w:r>
      <w:proofErr w:type="spellEnd"/>
      <w:r w:rsidRPr="00E30C9C">
        <w:rPr>
          <w:lang w:val="en-GB"/>
        </w:rPr>
        <w:t xml:space="preserve"> auf seiner </w:t>
      </w:r>
      <w:proofErr w:type="spellStart"/>
      <w:r w:rsidRPr="00E30C9C">
        <w:rPr>
          <w:lang w:val="en-GB"/>
        </w:rPr>
        <w:t>Seite</w:t>
      </w:r>
      <w:proofErr w:type="spellEnd"/>
      <w:r w:rsidRPr="00E30C9C">
        <w:rPr>
          <w:lang w:val="en-GB"/>
        </w:rPr>
        <w:t xml:space="preserve">: „Since the Inflation Reduction Act is a 10-year plan, the changes </w:t>
      </w:r>
      <w:proofErr w:type="gramStart"/>
      <w:r w:rsidRPr="00E30C9C">
        <w:rPr>
          <w:lang w:val="en-GB"/>
        </w:rPr>
        <w:t>won't</w:t>
      </w:r>
      <w:proofErr w:type="gramEnd"/>
      <w:r w:rsidRPr="00E30C9C">
        <w:rPr>
          <w:lang w:val="en-GB"/>
        </w:rPr>
        <w:t xml:space="preserve"> happen immediately. </w:t>
      </w:r>
      <w:proofErr w:type="gramStart"/>
      <w:r w:rsidRPr="0080760D">
        <w:rPr>
          <w:lang w:val="en-GB"/>
        </w:rPr>
        <w:t>We're</w:t>
      </w:r>
      <w:proofErr w:type="gramEnd"/>
      <w:r w:rsidRPr="0080760D">
        <w:rPr>
          <w:lang w:val="en-GB"/>
        </w:rPr>
        <w:t xml:space="preserve"> working to implement the law as quickly as we can.</w:t>
      </w:r>
      <w:proofErr w:type="gramStart"/>
      <w:r>
        <w:rPr>
          <w:lang w:val="en-GB"/>
        </w:rPr>
        <w:t>”,</w:t>
      </w:r>
      <w:proofErr w:type="gramEnd"/>
      <w:r>
        <w:rPr>
          <w:lang w:val="en-GB"/>
        </w:rPr>
        <w:t xml:space="preserve"> </w:t>
      </w:r>
      <w:proofErr w:type="spellStart"/>
      <w:r>
        <w:rPr>
          <w:lang w:val="en-GB"/>
        </w:rPr>
        <w:t>siehe</w:t>
      </w:r>
      <w:proofErr w:type="spellEnd"/>
      <w:r>
        <w:rPr>
          <w:lang w:val="en-GB"/>
        </w:rPr>
        <w:t xml:space="preserve">: </w:t>
      </w:r>
      <w:r w:rsidRPr="0080760D">
        <w:rPr>
          <w:lang w:val="en-GB"/>
        </w:rPr>
        <w:t xml:space="preserve"> </w:t>
      </w:r>
      <w:hyperlink r:id="rId1410" w:history="1">
        <w:r w:rsidRPr="00AB4BBB">
          <w:rPr>
            <w:rStyle w:val="Hyperlink"/>
            <w:lang w:val="en-GB"/>
          </w:rPr>
          <w:t>https://www.irs.gov/inflation-reduction-act-of-2022</w:t>
        </w:r>
      </w:hyperlink>
      <w:r>
        <w:rPr>
          <w:lang w:val="en-GB"/>
        </w:rPr>
        <w:t xml:space="preserve"> - </w:t>
      </w:r>
      <w:proofErr w:type="spellStart"/>
      <w:r>
        <w:rPr>
          <w:lang w:val="en-GB"/>
        </w:rPr>
        <w:t>Zugegriffen</w:t>
      </w:r>
      <w:proofErr w:type="spellEnd"/>
      <w:r>
        <w:rPr>
          <w:lang w:val="en-GB"/>
        </w:rPr>
        <w:t>: 07.01.2024.</w:t>
      </w:r>
    </w:p>
  </w:footnote>
  <w:footnote w:id="1896">
    <w:p w14:paraId="1256F4C2" w14:textId="77777777" w:rsidR="00112190" w:rsidRPr="00D820E5" w:rsidRDefault="00112190" w:rsidP="00112190">
      <w:pPr>
        <w:pStyle w:val="Funotentext"/>
        <w:rPr>
          <w:lang w:val="en-GB"/>
        </w:rPr>
      </w:pPr>
      <w:r>
        <w:rPr>
          <w:rStyle w:val="Funotenzeichen"/>
        </w:rPr>
        <w:footnoteRef/>
      </w:r>
      <w:r w:rsidRPr="00D820E5">
        <w:rPr>
          <w:lang w:val="en-GB"/>
        </w:rPr>
        <w:t xml:space="preserve"> S. 9-11. Inflation Reduction Act, Guidebook, January 2023, Version 2, Washington: Whitehouse, </w:t>
      </w:r>
      <w:proofErr w:type="spellStart"/>
      <w:r w:rsidRPr="00D820E5">
        <w:rPr>
          <w:lang w:val="en-GB"/>
        </w:rPr>
        <w:t>siehe</w:t>
      </w:r>
      <w:proofErr w:type="spellEnd"/>
      <w:r w:rsidRPr="00D820E5">
        <w:rPr>
          <w:lang w:val="en-GB"/>
        </w:rPr>
        <w:t xml:space="preserve">: </w:t>
      </w:r>
      <w:hyperlink r:id="rId1411" w:history="1">
        <w:r w:rsidRPr="00D820E5">
          <w:rPr>
            <w:rStyle w:val="Hyperlink"/>
            <w:lang w:val="en-GB"/>
          </w:rPr>
          <w:t>https://www.whitehouse.gov/cleanenergy/inflation-reduction-act-guidebook/</w:t>
        </w:r>
      </w:hyperlink>
      <w:r w:rsidRPr="00D820E5">
        <w:rPr>
          <w:lang w:val="en-GB"/>
        </w:rPr>
        <w:t xml:space="preserve"> - </w:t>
      </w:r>
      <w:proofErr w:type="spellStart"/>
      <w:r w:rsidRPr="00D820E5">
        <w:rPr>
          <w:lang w:val="en-GB"/>
        </w:rPr>
        <w:t>Zugegriffen</w:t>
      </w:r>
      <w:proofErr w:type="spellEnd"/>
      <w:r w:rsidRPr="00D820E5">
        <w:rPr>
          <w:lang w:val="en-GB"/>
        </w:rPr>
        <w:t xml:space="preserve">: 30.12.2023. </w:t>
      </w:r>
    </w:p>
  </w:footnote>
  <w:footnote w:id="1897">
    <w:p w14:paraId="2CF8738B" w14:textId="77777777" w:rsidR="00112190" w:rsidRPr="0008686C" w:rsidRDefault="00112190" w:rsidP="00112190">
      <w:pPr>
        <w:pStyle w:val="Funotentext"/>
        <w:rPr>
          <w:lang w:val="en-GB"/>
        </w:rPr>
      </w:pPr>
      <w:r>
        <w:rPr>
          <w:rStyle w:val="Funotenzeichen"/>
        </w:rPr>
        <w:footnoteRef/>
      </w:r>
      <w:r w:rsidRPr="0008686C">
        <w:rPr>
          <w:lang w:val="en-GB"/>
        </w:rPr>
        <w:t xml:space="preserve"> Inflation Reduction Act, Guidebook, 20</w:t>
      </w:r>
      <w:r>
        <w:rPr>
          <w:lang w:val="en-GB"/>
        </w:rPr>
        <w:t xml:space="preserve">23, S. 12. </w:t>
      </w:r>
    </w:p>
  </w:footnote>
  <w:footnote w:id="1898">
    <w:p w14:paraId="527576C2" w14:textId="77777777" w:rsidR="00112190" w:rsidRPr="0008686C" w:rsidRDefault="00112190" w:rsidP="00112190">
      <w:pPr>
        <w:pStyle w:val="Funotentext"/>
        <w:rPr>
          <w:lang w:val="en-GB"/>
        </w:rPr>
      </w:pPr>
      <w:r>
        <w:rPr>
          <w:rStyle w:val="Funotenzeichen"/>
        </w:rPr>
        <w:footnoteRef/>
      </w:r>
      <w:r w:rsidRPr="0008686C">
        <w:rPr>
          <w:lang w:val="en-GB"/>
        </w:rPr>
        <w:t xml:space="preserve"> Inflation Reduction Act, Guidebook, 2023, S. </w:t>
      </w:r>
      <w:r>
        <w:rPr>
          <w:lang w:val="en-GB"/>
        </w:rPr>
        <w:t>16.</w:t>
      </w:r>
    </w:p>
  </w:footnote>
  <w:footnote w:id="1899">
    <w:p w14:paraId="7F59D374" w14:textId="77777777" w:rsidR="00112190" w:rsidRPr="00A30C8F" w:rsidRDefault="00112190" w:rsidP="00112190">
      <w:pPr>
        <w:pStyle w:val="Funotentext"/>
        <w:rPr>
          <w:lang w:val="en-GB"/>
        </w:rPr>
      </w:pPr>
      <w:r>
        <w:rPr>
          <w:rStyle w:val="Funotenzeichen"/>
        </w:rPr>
        <w:footnoteRef/>
      </w:r>
      <w:r w:rsidRPr="00A30C8F">
        <w:rPr>
          <w:lang w:val="en-GB"/>
        </w:rPr>
        <w:t xml:space="preserve"> Inflation Reduction Act, Guidebook, 2023, S. 1</w:t>
      </w:r>
      <w:r>
        <w:rPr>
          <w:lang w:val="en-GB"/>
        </w:rPr>
        <w:t>7</w:t>
      </w:r>
      <w:r w:rsidRPr="00A30C8F">
        <w:rPr>
          <w:lang w:val="en-GB"/>
        </w:rPr>
        <w:t>.</w:t>
      </w:r>
    </w:p>
  </w:footnote>
  <w:footnote w:id="1900">
    <w:p w14:paraId="34120752" w14:textId="77777777" w:rsidR="00112190" w:rsidRPr="00A30C8F" w:rsidRDefault="00112190" w:rsidP="00112190">
      <w:pPr>
        <w:pStyle w:val="Funotentext"/>
        <w:rPr>
          <w:lang w:val="en-GB"/>
        </w:rPr>
      </w:pPr>
      <w:r>
        <w:rPr>
          <w:rStyle w:val="Funotenzeichen"/>
        </w:rPr>
        <w:footnoteRef/>
      </w:r>
      <w:r w:rsidRPr="00A30C8F">
        <w:rPr>
          <w:lang w:val="en-GB"/>
        </w:rPr>
        <w:t xml:space="preserve"> Inflation Reduction Act, Guidebook, 2023, S. </w:t>
      </w:r>
      <w:r>
        <w:rPr>
          <w:lang w:val="en-GB"/>
        </w:rPr>
        <w:t>2</w:t>
      </w:r>
      <w:r w:rsidRPr="00A30C8F">
        <w:rPr>
          <w:lang w:val="en-GB"/>
        </w:rPr>
        <w:t>6.</w:t>
      </w:r>
    </w:p>
  </w:footnote>
  <w:footnote w:id="1901">
    <w:p w14:paraId="32AFAA22" w14:textId="77777777" w:rsidR="00112190" w:rsidRPr="00A30C8F" w:rsidRDefault="00112190" w:rsidP="00112190">
      <w:pPr>
        <w:pStyle w:val="Funotentext"/>
        <w:rPr>
          <w:lang w:val="en-GB"/>
        </w:rPr>
      </w:pPr>
      <w:r>
        <w:rPr>
          <w:rStyle w:val="Funotenzeichen"/>
        </w:rPr>
        <w:footnoteRef/>
      </w:r>
      <w:r w:rsidRPr="00A30C8F">
        <w:rPr>
          <w:lang w:val="en-GB"/>
        </w:rPr>
        <w:t xml:space="preserve"> Inflation Reduction Act, Guidebook, 2023, S. </w:t>
      </w:r>
      <w:r>
        <w:rPr>
          <w:lang w:val="en-GB"/>
        </w:rPr>
        <w:t>26</w:t>
      </w:r>
      <w:r w:rsidRPr="00A30C8F">
        <w:rPr>
          <w:lang w:val="en-GB"/>
        </w:rPr>
        <w:t>.</w:t>
      </w:r>
    </w:p>
  </w:footnote>
  <w:footnote w:id="1902">
    <w:p w14:paraId="181EAFEC" w14:textId="77777777" w:rsidR="00112190" w:rsidRPr="00A30C8F" w:rsidRDefault="00112190" w:rsidP="00112190">
      <w:pPr>
        <w:pStyle w:val="Funotentext"/>
        <w:rPr>
          <w:lang w:val="en-GB"/>
        </w:rPr>
      </w:pPr>
      <w:r>
        <w:rPr>
          <w:rStyle w:val="Funotenzeichen"/>
        </w:rPr>
        <w:footnoteRef/>
      </w:r>
      <w:r w:rsidRPr="00A30C8F">
        <w:rPr>
          <w:lang w:val="en-GB"/>
        </w:rPr>
        <w:t xml:space="preserve"> Inflation Reduction Act, Guidebook, 2023, S. </w:t>
      </w:r>
      <w:r>
        <w:rPr>
          <w:lang w:val="en-GB"/>
        </w:rPr>
        <w:t>26</w:t>
      </w:r>
      <w:r w:rsidRPr="00A30C8F">
        <w:rPr>
          <w:lang w:val="en-GB"/>
        </w:rPr>
        <w:t>.</w:t>
      </w:r>
    </w:p>
  </w:footnote>
  <w:footnote w:id="1903">
    <w:p w14:paraId="6C4FB4D8" w14:textId="77777777" w:rsidR="00112190" w:rsidRPr="00676C8C" w:rsidRDefault="00112190" w:rsidP="00112190">
      <w:pPr>
        <w:pStyle w:val="Funotentext"/>
        <w:rPr>
          <w:lang w:val="en-GB"/>
        </w:rPr>
      </w:pPr>
      <w:r>
        <w:rPr>
          <w:rStyle w:val="Funotenzeichen"/>
        </w:rPr>
        <w:footnoteRef/>
      </w:r>
      <w:r w:rsidRPr="00676C8C">
        <w:rPr>
          <w:lang w:val="en-GB"/>
        </w:rPr>
        <w:t xml:space="preserve"> </w:t>
      </w:r>
      <w:bookmarkStart w:id="106" w:name="_Hlk155376976"/>
      <w:r w:rsidRPr="00676C8C">
        <w:rPr>
          <w:lang w:val="en-GB"/>
        </w:rPr>
        <w:t xml:space="preserve">Inflation Reduction Act, Guidebook, 2023, S. </w:t>
      </w:r>
      <w:r>
        <w:rPr>
          <w:lang w:val="en-GB"/>
        </w:rPr>
        <w:t>47</w:t>
      </w:r>
      <w:bookmarkEnd w:id="106"/>
      <w:r w:rsidRPr="00676C8C">
        <w:rPr>
          <w:lang w:val="en-GB"/>
        </w:rPr>
        <w:t>.</w:t>
      </w:r>
    </w:p>
  </w:footnote>
  <w:footnote w:id="1904">
    <w:p w14:paraId="48D9A094" w14:textId="77777777" w:rsidR="00112190" w:rsidRPr="00B94BEF" w:rsidRDefault="00112190" w:rsidP="00112190">
      <w:pPr>
        <w:pStyle w:val="Funotentext"/>
      </w:pPr>
      <w:r>
        <w:rPr>
          <w:rStyle w:val="Funotenzeichen"/>
        </w:rPr>
        <w:footnoteRef/>
      </w:r>
      <w:r w:rsidRPr="00676C8C">
        <w:rPr>
          <w:lang w:val="en-GB"/>
        </w:rPr>
        <w:t xml:space="preserve"> „$3,750 credit for vehicles meeting critical minerals requirement. The vehicle must contain a threshold percentage of critical minerals extracted or processed in the United States or in a country with which the United States has a free trade agreement, or recycled in North America. Additional $3,750 credit for vehicles meeting the requirement that a threshold percentage of battery components be manufactured or assembled in North America. Vehicles must meet other requirements, including final assembly in North America and MSRP limits (generally $55,000; for vans, SUVs, and pickups $80,000). Starting in 2024, qualifying vehicles cannot have battery components manufactured or assembled by a foreign entity of concern. Starting in 2025, qualifying vehicles’ batteries cannot contain critical minerals extracted, processed, or recycled by a foreign entity of </w:t>
      </w:r>
      <w:proofErr w:type="gramStart"/>
      <w:r w:rsidRPr="00676C8C">
        <w:rPr>
          <w:lang w:val="en-GB"/>
        </w:rPr>
        <w:t>concern.“</w:t>
      </w:r>
      <w:proofErr w:type="gramEnd"/>
      <w:r w:rsidRPr="00676C8C">
        <w:rPr>
          <w:lang w:val="en-GB"/>
        </w:rPr>
        <w:t xml:space="preserve"> </w:t>
      </w:r>
      <w:r w:rsidRPr="00B94BEF">
        <w:t xml:space="preserve">Inflation </w:t>
      </w:r>
      <w:proofErr w:type="spellStart"/>
      <w:r w:rsidRPr="00B94BEF">
        <w:t>Reduction</w:t>
      </w:r>
      <w:proofErr w:type="spellEnd"/>
      <w:r w:rsidRPr="00B94BEF">
        <w:t xml:space="preserve"> Act, </w:t>
      </w:r>
      <w:proofErr w:type="spellStart"/>
      <w:r w:rsidRPr="00B94BEF">
        <w:t>Guidebook</w:t>
      </w:r>
      <w:proofErr w:type="spellEnd"/>
      <w:r w:rsidRPr="00B94BEF">
        <w:t>, 2023, S. 49.</w:t>
      </w:r>
    </w:p>
  </w:footnote>
  <w:footnote w:id="1905">
    <w:p w14:paraId="5FF22CFF" w14:textId="77777777" w:rsidR="00112190" w:rsidRDefault="00112190" w:rsidP="00112190">
      <w:pPr>
        <w:pStyle w:val="Funotentext"/>
      </w:pPr>
      <w:r>
        <w:rPr>
          <w:rStyle w:val="Funotenzeichen"/>
        </w:rPr>
        <w:footnoteRef/>
      </w:r>
      <w:r>
        <w:t xml:space="preserve"> </w:t>
      </w:r>
      <w:r w:rsidRPr="00BE0B0E">
        <w:t xml:space="preserve">Stiftung </w:t>
      </w:r>
      <w:proofErr w:type="spellStart"/>
      <w:r w:rsidRPr="00BE0B0E">
        <w:t>KlimaWirtschaft</w:t>
      </w:r>
      <w:proofErr w:type="spellEnd"/>
      <w:r w:rsidRPr="00BE0B0E">
        <w:t>/Deloitte 2023:</w:t>
      </w:r>
      <w:r>
        <w:t xml:space="preserve"> 21.</w:t>
      </w:r>
    </w:p>
  </w:footnote>
  <w:footnote w:id="1906">
    <w:p w14:paraId="1FE8D4D2" w14:textId="77777777" w:rsidR="00E26EA9" w:rsidRDefault="00E26EA9" w:rsidP="00E26EA9">
      <w:pPr>
        <w:pStyle w:val="Funotentext"/>
      </w:pPr>
      <w:r>
        <w:rPr>
          <w:rStyle w:val="Funotenzeichen"/>
        </w:rPr>
        <w:footnoteRef/>
      </w:r>
      <w:r>
        <w:t xml:space="preserve"> Siehe: </w:t>
      </w:r>
      <w:hyperlink r:id="rId1412" w:history="1">
        <w:r w:rsidRPr="00FD1CE6">
          <w:rPr>
            <w:rStyle w:val="Hyperlink"/>
          </w:rPr>
          <w:t>https://www.iea.org/policies/16255-inflation-reduction-act-2022-sec-13104-extension-and-modification-of-credit-for-carbon-oxide-sequestration</w:t>
        </w:r>
      </w:hyperlink>
      <w:r>
        <w:t xml:space="preserve"> - Zugegriffen: 21.01.2025. </w:t>
      </w:r>
    </w:p>
  </w:footnote>
  <w:footnote w:id="1907">
    <w:p w14:paraId="423930AA" w14:textId="77777777" w:rsidR="00E26EA9" w:rsidRDefault="00E26EA9" w:rsidP="00E26EA9">
      <w:pPr>
        <w:pStyle w:val="Funotentext"/>
      </w:pPr>
      <w:r>
        <w:rPr>
          <w:rStyle w:val="Funotenzeichen"/>
        </w:rPr>
        <w:footnoteRef/>
      </w:r>
      <w:r>
        <w:t xml:space="preserve"> Siehe: </w:t>
      </w:r>
      <w:hyperlink r:id="rId1413" w:history="1">
        <w:r w:rsidRPr="00FD1CE6">
          <w:rPr>
            <w:rStyle w:val="Hyperlink"/>
          </w:rPr>
          <w:t>https://www.govinfo.gov/content/pkg/BILLS-117hr5376enr/pdf/BILLS-117hr5376enr.pdf</w:t>
        </w:r>
      </w:hyperlink>
      <w:r>
        <w:t xml:space="preserve"> - Zugegriffen: 21.01.2025. </w:t>
      </w:r>
    </w:p>
  </w:footnote>
  <w:footnote w:id="1908">
    <w:p w14:paraId="18A6D503" w14:textId="77777777" w:rsidR="00CA3D74" w:rsidRPr="0024273B" w:rsidRDefault="00CA3D74" w:rsidP="00CA3D74">
      <w:pPr>
        <w:pStyle w:val="Funotentext"/>
      </w:pPr>
      <w:r>
        <w:rPr>
          <w:rStyle w:val="Funotenzeichen"/>
        </w:rPr>
        <w:footnoteRef/>
      </w:r>
      <w:r w:rsidRPr="0024273B">
        <w:t xml:space="preserve"> Thielges et al. 2022: 32.</w:t>
      </w:r>
    </w:p>
  </w:footnote>
  <w:footnote w:id="1909">
    <w:p w14:paraId="5305E014" w14:textId="77777777" w:rsidR="00486535" w:rsidRDefault="00486535" w:rsidP="00486535">
      <w:pPr>
        <w:pStyle w:val="Funotentext"/>
      </w:pPr>
      <w:r>
        <w:rPr>
          <w:rStyle w:val="Funotenzeichen"/>
        </w:rPr>
        <w:footnoteRef/>
      </w:r>
      <w:r>
        <w:t xml:space="preserve"> Siehe: </w:t>
      </w:r>
      <w:hyperlink r:id="rId1414" w:history="1">
        <w:r w:rsidRPr="00EC4D47">
          <w:rPr>
            <w:rStyle w:val="Hyperlink"/>
          </w:rPr>
          <w:t>https://www.energy.gov/topics/hydrogen-shot</w:t>
        </w:r>
      </w:hyperlink>
      <w:r>
        <w:t xml:space="preserve"> - Zugegriffen: 26.12.2024. </w:t>
      </w:r>
    </w:p>
  </w:footnote>
  <w:footnote w:id="1910">
    <w:p w14:paraId="2372428C" w14:textId="77777777" w:rsidR="00486535" w:rsidRDefault="00486535" w:rsidP="00486535">
      <w:pPr>
        <w:pStyle w:val="Funotentext"/>
      </w:pPr>
      <w:r>
        <w:rPr>
          <w:rStyle w:val="Funotenzeichen"/>
        </w:rPr>
        <w:footnoteRef/>
      </w:r>
      <w:r>
        <w:t xml:space="preserve"> Siehe: </w:t>
      </w:r>
      <w:hyperlink r:id="rId1415" w:history="1">
        <w:r w:rsidRPr="00EC4D47">
          <w:rPr>
            <w:rStyle w:val="Hyperlink"/>
          </w:rPr>
          <w:t>https://www.energy.gov/sites/default/files/2024-04/energy-earthshots-2024-factsheet.pdf</w:t>
        </w:r>
      </w:hyperlink>
      <w:r>
        <w:t xml:space="preserve"> - Zugegriffen: 26.12.2024. </w:t>
      </w:r>
    </w:p>
  </w:footnote>
  <w:footnote w:id="1911">
    <w:p w14:paraId="6779704B" w14:textId="77777777" w:rsidR="00486535" w:rsidRDefault="00486535" w:rsidP="00486535">
      <w:pPr>
        <w:pStyle w:val="Funotentext"/>
      </w:pPr>
      <w:r>
        <w:rPr>
          <w:rStyle w:val="Funotenzeichen"/>
        </w:rPr>
        <w:footnoteRef/>
      </w:r>
      <w:r>
        <w:t xml:space="preserve"> Siehe hier: </w:t>
      </w:r>
      <w:hyperlink r:id="rId1416" w:history="1">
        <w:r w:rsidRPr="00EC4D47">
          <w:rPr>
            <w:rStyle w:val="Hyperlink"/>
          </w:rPr>
          <w:t>https://www.energy.gov/oced/regional-clean-hydrogen-hubs-0</w:t>
        </w:r>
      </w:hyperlink>
      <w:r>
        <w:t xml:space="preserve"> - Zugegriffen: 26.12.2024.</w:t>
      </w:r>
    </w:p>
  </w:footnote>
  <w:footnote w:id="1912">
    <w:p w14:paraId="38D5EAC0" w14:textId="77777777" w:rsidR="00486535" w:rsidRDefault="00486535" w:rsidP="00486535">
      <w:pPr>
        <w:pStyle w:val="Funotentext"/>
      </w:pPr>
      <w:r>
        <w:rPr>
          <w:rStyle w:val="Funotenzeichen"/>
        </w:rPr>
        <w:footnoteRef/>
      </w:r>
      <w:r>
        <w:t xml:space="preserve"> Siehe: </w:t>
      </w:r>
      <w:hyperlink r:id="rId1417" w:history="1">
        <w:r w:rsidRPr="00BF743F">
          <w:rPr>
            <w:rStyle w:val="Hyperlink"/>
          </w:rPr>
          <w:t>https://hystorenergy.com/mississippi/</w:t>
        </w:r>
      </w:hyperlink>
    </w:p>
  </w:footnote>
  <w:footnote w:id="1913">
    <w:p w14:paraId="019BAB1C" w14:textId="77777777" w:rsidR="00486535" w:rsidRDefault="00486535" w:rsidP="00486535">
      <w:pPr>
        <w:pStyle w:val="Funotentext"/>
      </w:pPr>
      <w:r>
        <w:rPr>
          <w:rStyle w:val="Funotenzeichen"/>
        </w:rPr>
        <w:footnoteRef/>
      </w:r>
      <w:r>
        <w:t xml:space="preserve"> Siehe: </w:t>
      </w:r>
      <w:hyperlink r:id="rId1418" w:history="1">
        <w:r w:rsidRPr="00BF743F">
          <w:rPr>
            <w:rStyle w:val="Hyperlink"/>
          </w:rPr>
          <w:t>https://hystorenergy.com/mississippi/</w:t>
        </w:r>
      </w:hyperlink>
      <w:r>
        <w:rPr>
          <w:rStyle w:val="Hyperlink"/>
        </w:rPr>
        <w:t xml:space="preserve"> - </w:t>
      </w:r>
      <w:r>
        <w:t>Zugegriffen: 26.12.2024.</w:t>
      </w:r>
    </w:p>
  </w:footnote>
  <w:footnote w:id="1914">
    <w:p w14:paraId="4BFFFF1A" w14:textId="77777777" w:rsidR="00486535" w:rsidRDefault="00486535" w:rsidP="00486535">
      <w:pPr>
        <w:pStyle w:val="Funotentext"/>
      </w:pPr>
      <w:r>
        <w:rPr>
          <w:rStyle w:val="Funotenzeichen"/>
        </w:rPr>
        <w:footnoteRef/>
      </w:r>
      <w:r>
        <w:t xml:space="preserve"> Siehe: </w:t>
      </w:r>
      <w:hyperlink r:id="rId1419" w:history="1">
        <w:r w:rsidRPr="0067116F">
          <w:rPr>
            <w:rStyle w:val="Hyperlink"/>
          </w:rPr>
          <w:t>https://nelhydrogen.com/wp-content/uploads/2024/10/Q3-presentation-2024-for-publication.pdf</w:t>
        </w:r>
      </w:hyperlink>
      <w:r>
        <w:t xml:space="preserve"> - Zugegriffen: 07.01.1025. </w:t>
      </w:r>
    </w:p>
  </w:footnote>
  <w:footnote w:id="1915">
    <w:p w14:paraId="36EA6F8C" w14:textId="77777777" w:rsidR="00486535" w:rsidRDefault="00486535" w:rsidP="00486535">
      <w:pPr>
        <w:pStyle w:val="Funotentext"/>
      </w:pPr>
      <w:r>
        <w:rPr>
          <w:rStyle w:val="Funotenzeichen"/>
        </w:rPr>
        <w:footnoteRef/>
      </w:r>
      <w:r>
        <w:t xml:space="preserve"> Siehe: </w:t>
      </w:r>
      <w:hyperlink r:id="rId1420" w:history="1">
        <w:r w:rsidRPr="003004F9">
          <w:rPr>
            <w:rStyle w:val="Hyperlink"/>
          </w:rPr>
          <w:t>https://www.wvh2hub.com</w:t>
        </w:r>
      </w:hyperlink>
    </w:p>
  </w:footnote>
  <w:footnote w:id="1916">
    <w:p w14:paraId="5AC630C3" w14:textId="77777777" w:rsidR="00486535" w:rsidRDefault="00486535" w:rsidP="00486535">
      <w:pPr>
        <w:pStyle w:val="Funotentext"/>
      </w:pPr>
      <w:r>
        <w:rPr>
          <w:rStyle w:val="Funotenzeichen"/>
        </w:rPr>
        <w:footnoteRef/>
      </w:r>
      <w:r>
        <w:t xml:space="preserve"> Siehe GTAI, 15.07.2022. US-Regierung fördert vier Wasserstoff-Cluster. Siehe: </w:t>
      </w:r>
      <w:hyperlink r:id="rId1421" w:history="1">
        <w:r w:rsidRPr="00DF5AD8">
          <w:rPr>
            <w:rStyle w:val="Hyperlink"/>
          </w:rPr>
          <w:t>https://www.gtai.de/de/trade/usa/branchen/us-regierung-foerdert-vier-wasserstoff-cluster--864644</w:t>
        </w:r>
      </w:hyperlink>
      <w:r>
        <w:t xml:space="preserve"> - Zugegriffen: 11.11.2024. </w:t>
      </w:r>
    </w:p>
  </w:footnote>
  <w:footnote w:id="1917">
    <w:p w14:paraId="0049A00E" w14:textId="77777777" w:rsidR="00486535" w:rsidRPr="00C671BC" w:rsidRDefault="00486535" w:rsidP="00486535">
      <w:pPr>
        <w:pStyle w:val="Funotentext"/>
      </w:pPr>
      <w:r>
        <w:rPr>
          <w:rStyle w:val="Funotenzeichen"/>
        </w:rPr>
        <w:footnoteRef/>
      </w:r>
      <w:r w:rsidRPr="00C671BC">
        <w:rPr>
          <w:lang w:val="en-GB"/>
        </w:rPr>
        <w:t xml:space="preserve"> Global CCS Institute. State of</w:t>
      </w:r>
      <w:r>
        <w:rPr>
          <w:lang w:val="en-GB"/>
        </w:rPr>
        <w:t xml:space="preserve"> </w:t>
      </w:r>
      <w:r w:rsidRPr="00C671BC">
        <w:rPr>
          <w:lang w:val="en-GB"/>
        </w:rPr>
        <w:t>the Art: CCS Technologies 2024, S.</w:t>
      </w:r>
      <w:r>
        <w:rPr>
          <w:lang w:val="en-GB"/>
        </w:rPr>
        <w:t xml:space="preserve"> 7. </w:t>
      </w:r>
      <w:r w:rsidRPr="00C671BC">
        <w:rPr>
          <w:lang w:val="en-GB"/>
        </w:rPr>
        <w:t xml:space="preserve"> </w:t>
      </w:r>
      <w:r w:rsidRPr="00C671BC">
        <w:t xml:space="preserve">Siehe: </w:t>
      </w:r>
      <w:hyperlink r:id="rId1422" w:history="1">
        <w:r w:rsidRPr="00C671BC">
          <w:rPr>
            <w:rStyle w:val="Hyperlink"/>
          </w:rPr>
          <w:t>https://www.globalccsinstitute.com/wp-content/uploads/2024/08/Report-CCS-Technologies-Compendium-2024-1.pdf</w:t>
        </w:r>
      </w:hyperlink>
      <w:r w:rsidRPr="00C671BC">
        <w:t xml:space="preserve"> - Zugegriffen: 11.11.2024.</w:t>
      </w:r>
    </w:p>
  </w:footnote>
  <w:footnote w:id="1918">
    <w:p w14:paraId="238DEC30" w14:textId="77777777" w:rsidR="00486535" w:rsidRPr="003004F9" w:rsidRDefault="00486535" w:rsidP="00486535">
      <w:pPr>
        <w:pStyle w:val="Funotentext"/>
      </w:pPr>
      <w:r>
        <w:rPr>
          <w:rStyle w:val="Funotenzeichen"/>
        </w:rPr>
        <w:footnoteRef/>
      </w:r>
      <w:r w:rsidRPr="003004F9">
        <w:t xml:space="preserve"> Siehe: </w:t>
      </w:r>
      <w:hyperlink r:id="rId1423" w:history="1">
        <w:r w:rsidRPr="003004F9">
          <w:rPr>
            <w:rStyle w:val="Hyperlink"/>
          </w:rPr>
          <w:t>https://www.energy.gov/oced/gulf-coast-hydrogen-hub</w:t>
        </w:r>
      </w:hyperlink>
      <w:r w:rsidRPr="003004F9">
        <w:t xml:space="preserve"> </w:t>
      </w:r>
      <w:r>
        <w:t xml:space="preserve">- Zugegriffen: 27.12.2024. </w:t>
      </w:r>
    </w:p>
  </w:footnote>
  <w:footnote w:id="1919">
    <w:p w14:paraId="16AAC2A3" w14:textId="77777777" w:rsidR="00486535" w:rsidRDefault="00486535" w:rsidP="00486535">
      <w:pPr>
        <w:pStyle w:val="Funotentext"/>
      </w:pPr>
      <w:r>
        <w:rPr>
          <w:rStyle w:val="Funotenzeichen"/>
        </w:rPr>
        <w:footnoteRef/>
      </w:r>
      <w:r>
        <w:t xml:space="preserve"> Siehe: </w:t>
      </w:r>
      <w:hyperlink r:id="rId1424" w:history="1">
        <w:r w:rsidRPr="00EC4D47">
          <w:rPr>
            <w:rStyle w:val="Hyperlink"/>
          </w:rPr>
          <w:t>https://www.energy.gov/oced/appalachian-hydrogen-hub-arch2</w:t>
        </w:r>
      </w:hyperlink>
      <w:r>
        <w:t xml:space="preserve"> - Zugegriffen: 27.12.2024. </w:t>
      </w:r>
    </w:p>
  </w:footnote>
  <w:footnote w:id="1920">
    <w:p w14:paraId="2FF996DF" w14:textId="77777777" w:rsidR="00486535" w:rsidRDefault="00486535" w:rsidP="00486535">
      <w:pPr>
        <w:pStyle w:val="Funotentext"/>
      </w:pPr>
      <w:r>
        <w:rPr>
          <w:rStyle w:val="Funotenzeichen"/>
        </w:rPr>
        <w:footnoteRef/>
      </w:r>
      <w:r>
        <w:t xml:space="preserve"> Siehe: </w:t>
      </w:r>
      <w:hyperlink r:id="rId1425" w:history="1">
        <w:r w:rsidRPr="00B83EA6">
          <w:rPr>
            <w:rStyle w:val="Hyperlink"/>
          </w:rPr>
          <w:t>https://machh2.com/</w:t>
        </w:r>
      </w:hyperlink>
    </w:p>
  </w:footnote>
  <w:footnote w:id="1921">
    <w:p w14:paraId="151DB092" w14:textId="77777777" w:rsidR="00486535" w:rsidRPr="00B83EA6" w:rsidRDefault="00486535" w:rsidP="00486535">
      <w:pPr>
        <w:pStyle w:val="Funotentext"/>
      </w:pPr>
      <w:r>
        <w:rPr>
          <w:rStyle w:val="Funotenzeichen"/>
        </w:rPr>
        <w:footnoteRef/>
      </w:r>
      <w:r w:rsidRPr="00B83EA6">
        <w:t xml:space="preserve"> Siehe: </w:t>
      </w:r>
      <w:hyperlink r:id="rId1426" w:history="1">
        <w:r w:rsidRPr="00EC4D47">
          <w:rPr>
            <w:rStyle w:val="Hyperlink"/>
          </w:rPr>
          <w:t>https://www.energy.gov/oced/midwest-hydrogen-hub</w:t>
        </w:r>
      </w:hyperlink>
      <w:r>
        <w:t xml:space="preserve"> - Zugegriffen: 27.12.2024. </w:t>
      </w:r>
    </w:p>
  </w:footnote>
  <w:footnote w:id="1922">
    <w:p w14:paraId="2F0B966D" w14:textId="77777777" w:rsidR="00486535" w:rsidRDefault="00486535" w:rsidP="00486535">
      <w:pPr>
        <w:pStyle w:val="Funotentext"/>
      </w:pPr>
      <w:r>
        <w:rPr>
          <w:rStyle w:val="Funotenzeichen"/>
        </w:rPr>
        <w:footnoteRef/>
      </w:r>
      <w:r>
        <w:t xml:space="preserve"> Siehe: </w:t>
      </w:r>
      <w:hyperlink r:id="rId1427" w:history="1">
        <w:r w:rsidRPr="00B83EA6">
          <w:rPr>
            <w:rStyle w:val="Hyperlink"/>
          </w:rPr>
          <w:t>https://archesh2.org/</w:t>
        </w:r>
      </w:hyperlink>
    </w:p>
  </w:footnote>
  <w:footnote w:id="1923">
    <w:p w14:paraId="6A968EB7" w14:textId="77777777" w:rsidR="00486535" w:rsidRDefault="00486535" w:rsidP="00486535">
      <w:pPr>
        <w:pStyle w:val="Funotentext"/>
      </w:pPr>
      <w:r>
        <w:rPr>
          <w:rStyle w:val="Funotenzeichen"/>
        </w:rPr>
        <w:footnoteRef/>
      </w:r>
      <w:r>
        <w:t xml:space="preserve"> Siehe: </w:t>
      </w:r>
      <w:hyperlink r:id="rId1428" w:history="1">
        <w:r w:rsidRPr="00EC4D47">
          <w:rPr>
            <w:rStyle w:val="Hyperlink"/>
          </w:rPr>
          <w:t>https://archesh2.org/california-energy-grid-has-gone-green-but-is-that-enough-to-meet-the-needs-of-a-warming-california/</w:t>
        </w:r>
      </w:hyperlink>
      <w:r>
        <w:t xml:space="preserve"> - Zugegriffen: 26.12.2024. </w:t>
      </w:r>
    </w:p>
  </w:footnote>
  <w:footnote w:id="1924">
    <w:p w14:paraId="2CEDE862" w14:textId="77777777" w:rsidR="00486535" w:rsidRDefault="00486535" w:rsidP="00486535">
      <w:pPr>
        <w:pStyle w:val="Funotentext"/>
      </w:pPr>
      <w:r>
        <w:rPr>
          <w:rStyle w:val="Funotenzeichen"/>
        </w:rPr>
        <w:footnoteRef/>
      </w:r>
      <w:r>
        <w:t xml:space="preserve"> Siehe: </w:t>
      </w:r>
      <w:hyperlink r:id="rId1429" w:history="1">
        <w:r w:rsidRPr="00EC4D47">
          <w:rPr>
            <w:rStyle w:val="Hyperlink"/>
          </w:rPr>
          <w:t>https://www.energy.gov/oced/pacific-northwest-hydrogen-hub-pnwh2</w:t>
        </w:r>
      </w:hyperlink>
      <w:r>
        <w:t xml:space="preserve"> - Zugegriffen: 27.12.2024.</w:t>
      </w:r>
    </w:p>
  </w:footnote>
  <w:footnote w:id="1925">
    <w:p w14:paraId="3DF8D2A4" w14:textId="77777777" w:rsidR="00486535" w:rsidRDefault="00486535" w:rsidP="00486535">
      <w:pPr>
        <w:pStyle w:val="Funotentext"/>
      </w:pPr>
      <w:r>
        <w:rPr>
          <w:rStyle w:val="Funotenzeichen"/>
        </w:rPr>
        <w:footnoteRef/>
      </w:r>
      <w:r>
        <w:t xml:space="preserve"> Siehe: </w:t>
      </w:r>
      <w:hyperlink r:id="rId1430" w:history="1">
        <w:r w:rsidRPr="00650334">
          <w:rPr>
            <w:rStyle w:val="Hyperlink"/>
          </w:rPr>
          <w:t>https://www.hydrogen.energy.gov/interagency</w:t>
        </w:r>
      </w:hyperlink>
    </w:p>
  </w:footnote>
  <w:footnote w:id="1926">
    <w:p w14:paraId="0249D09D" w14:textId="77777777" w:rsidR="00227C78" w:rsidRDefault="00227C78" w:rsidP="00227C78">
      <w:pPr>
        <w:pStyle w:val="Funotentext"/>
      </w:pPr>
      <w:r>
        <w:rPr>
          <w:rStyle w:val="Funotenzeichen"/>
        </w:rPr>
        <w:footnoteRef/>
      </w:r>
      <w:r>
        <w:t xml:space="preserve"> Siehe am Schluss des Vortrags: E</w:t>
      </w:r>
      <w:r w:rsidRPr="009B45BB">
        <w:t>nergiewende 2.0 durch neue Konzepte der Energiespeicherung – Vortrag von Prof. Robert Schlögl</w:t>
      </w:r>
      <w:r>
        <w:t xml:space="preserve">, 09.10.2024, </w:t>
      </w:r>
      <w:proofErr w:type="spellStart"/>
      <w:r>
        <w:t>Youtube</w:t>
      </w:r>
      <w:proofErr w:type="spellEnd"/>
      <w:r>
        <w:t xml:space="preserve">: </w:t>
      </w:r>
      <w:hyperlink r:id="rId1431" w:history="1">
        <w:r w:rsidRPr="00F91597">
          <w:rPr>
            <w:rStyle w:val="Hyperlink"/>
          </w:rPr>
          <w:t>https://www.youtube.com/watch?v=2Ow3Y9rpf4s</w:t>
        </w:r>
      </w:hyperlink>
      <w:r>
        <w:t xml:space="preserve"> – Zugegriffen: 24.11.2024.  </w:t>
      </w:r>
    </w:p>
  </w:footnote>
  <w:footnote w:id="1927">
    <w:p w14:paraId="6A394B85" w14:textId="77777777" w:rsidR="00E57DF7" w:rsidRDefault="00E57DF7" w:rsidP="00E57DF7">
      <w:pPr>
        <w:pStyle w:val="Funotentext"/>
      </w:pPr>
      <w:r>
        <w:rPr>
          <w:rStyle w:val="Funotenzeichen"/>
        </w:rPr>
        <w:footnoteRef/>
      </w:r>
      <w:r>
        <w:t xml:space="preserve"> Siehe S. 24, in: </w:t>
      </w:r>
      <w:hyperlink r:id="rId1432" w:history="1">
        <w:r w:rsidRPr="00EC4D47">
          <w:rPr>
            <w:rStyle w:val="Hyperlink"/>
          </w:rPr>
          <w:t>https://www.energy.gov/sites/default/files/2024-12/hydrogen-shot-water-electrolysis-technology-assessment.pdf</w:t>
        </w:r>
      </w:hyperlink>
      <w:r>
        <w:t xml:space="preserve"> - Zugegriffen: 26.12.2024. </w:t>
      </w:r>
    </w:p>
  </w:footnote>
  <w:footnote w:id="1928">
    <w:p w14:paraId="33132DAB" w14:textId="77777777" w:rsidR="00E57DF7" w:rsidRDefault="00E57DF7" w:rsidP="00E57DF7">
      <w:pPr>
        <w:pStyle w:val="Funotentext"/>
      </w:pPr>
      <w:r>
        <w:rPr>
          <w:rStyle w:val="Funotenzeichen"/>
        </w:rPr>
        <w:footnoteRef/>
      </w:r>
      <w:r>
        <w:t xml:space="preserve"> Siehe: </w:t>
      </w:r>
      <w:hyperlink r:id="rId1433" w:history="1">
        <w:r w:rsidRPr="00EC4D47">
          <w:rPr>
            <w:rStyle w:val="Hyperlink"/>
          </w:rPr>
          <w:t>https://www.energy.gov/articles/biden-harris-administration-announces-750-million-support-americas-growing-hydrogen</w:t>
        </w:r>
      </w:hyperlink>
      <w:r>
        <w:t xml:space="preserve"> - Zugegriffen: 26.11.2024. </w:t>
      </w:r>
    </w:p>
  </w:footnote>
  <w:footnote w:id="1929">
    <w:p w14:paraId="01CBD8BC" w14:textId="77777777" w:rsidR="00E57DF7" w:rsidRDefault="00E57DF7" w:rsidP="00E57DF7">
      <w:pPr>
        <w:pStyle w:val="Funotentext"/>
      </w:pPr>
      <w:r>
        <w:rPr>
          <w:rStyle w:val="Funotenzeichen"/>
        </w:rPr>
        <w:footnoteRef/>
      </w:r>
      <w:r>
        <w:t xml:space="preserve"> Siehe: </w:t>
      </w:r>
      <w:hyperlink r:id="rId1434" w:history="1">
        <w:r w:rsidRPr="00EC4D47">
          <w:rPr>
            <w:rStyle w:val="Hyperlink"/>
          </w:rPr>
          <w:t>https://www.energy.gov/eere/fuelcells/articles/us-department-energy-announces-8-million-projects-advance-electrolyzer-and</w:t>
        </w:r>
      </w:hyperlink>
      <w:r>
        <w:t xml:space="preserve"> - Zugegriffen: 26.12.2024. </w:t>
      </w:r>
    </w:p>
  </w:footnote>
  <w:footnote w:id="1930">
    <w:p w14:paraId="02AEC104" w14:textId="77777777" w:rsidR="00E57DF7" w:rsidRDefault="00E57DF7" w:rsidP="00E57DF7">
      <w:pPr>
        <w:pStyle w:val="Funotentext"/>
      </w:pPr>
      <w:r>
        <w:rPr>
          <w:rStyle w:val="Funotenzeichen"/>
        </w:rPr>
        <w:footnoteRef/>
      </w:r>
      <w:r>
        <w:t xml:space="preserve"> Siehe: </w:t>
      </w:r>
      <w:hyperlink r:id="rId1435" w:history="1">
        <w:r w:rsidRPr="00EC4D47">
          <w:rPr>
            <w:rStyle w:val="Hyperlink"/>
          </w:rPr>
          <w:t>https://www.energy.gov/eere/fuelcells/hydrogen-and-fuel-cell-technologies-office</w:t>
        </w:r>
      </w:hyperlink>
      <w:r>
        <w:t xml:space="preserve"> - Zugegriffen: 26.12.2024. </w:t>
      </w:r>
    </w:p>
  </w:footnote>
  <w:footnote w:id="1931">
    <w:p w14:paraId="052F6746" w14:textId="77777777" w:rsidR="00E57DF7" w:rsidRDefault="00E57DF7" w:rsidP="00E57DF7">
      <w:pPr>
        <w:pStyle w:val="Funotentext"/>
      </w:pPr>
      <w:r>
        <w:rPr>
          <w:rStyle w:val="Funotenzeichen"/>
        </w:rPr>
        <w:footnoteRef/>
      </w:r>
      <w:r>
        <w:t xml:space="preserve"> Siehe: </w:t>
      </w:r>
      <w:hyperlink r:id="rId1436" w:history="1">
        <w:r w:rsidRPr="00EC4D47">
          <w:rPr>
            <w:rStyle w:val="Hyperlink"/>
          </w:rPr>
          <w:t>https://www.energy.gov/eere/fuelcells/bipartisan-infrastructure-law-clean-hydrogen-electrolysis-manufacturing-and-0</w:t>
        </w:r>
      </w:hyperlink>
      <w:r>
        <w:t xml:space="preserve"> - Zugegriffen: 26.12.2024. </w:t>
      </w:r>
    </w:p>
  </w:footnote>
  <w:footnote w:id="1932">
    <w:p w14:paraId="5B4BDCFC" w14:textId="77777777" w:rsidR="00E57DF7" w:rsidRPr="00197F4C" w:rsidRDefault="00E57DF7" w:rsidP="00E57DF7">
      <w:pPr>
        <w:pStyle w:val="Funotentext"/>
      </w:pPr>
      <w:r>
        <w:rPr>
          <w:rStyle w:val="Funotenzeichen"/>
        </w:rPr>
        <w:footnoteRef/>
      </w:r>
      <w:r w:rsidRPr="00370D14">
        <w:rPr>
          <w:lang w:val="en-GB"/>
        </w:rPr>
        <w:t xml:space="preserve"> Eike, Laima. </w:t>
      </w:r>
      <w:r w:rsidRPr="00197F4C">
        <w:rPr>
          <w:lang w:val="en-GB"/>
        </w:rPr>
        <w:t>US Hydrogen P</w:t>
      </w:r>
      <w:r>
        <w:rPr>
          <w:lang w:val="en-GB"/>
        </w:rPr>
        <w:t xml:space="preserve">olicy. </w:t>
      </w:r>
      <w:r w:rsidRPr="00370D14">
        <w:t xml:space="preserve">RIFS </w:t>
      </w:r>
      <w:proofErr w:type="spellStart"/>
      <w:r w:rsidRPr="00370D14">
        <w:t>Discussion</w:t>
      </w:r>
      <w:proofErr w:type="spellEnd"/>
      <w:r w:rsidRPr="00370D14">
        <w:t xml:space="preserve"> Paper, </w:t>
      </w:r>
      <w:proofErr w:type="spellStart"/>
      <w:r w:rsidRPr="00370D14">
        <w:t>December</w:t>
      </w:r>
      <w:proofErr w:type="spellEnd"/>
      <w:r w:rsidRPr="00370D14">
        <w:t xml:space="preserve"> 2023. </w:t>
      </w:r>
      <w:r w:rsidRPr="00197F4C">
        <w:t xml:space="preserve">In: </w:t>
      </w:r>
      <w:hyperlink r:id="rId1437" w:history="1">
        <w:r w:rsidRPr="005D7785">
          <w:rPr>
            <w:rStyle w:val="Hyperlink"/>
          </w:rPr>
          <w:t>https://www.rifs-potsdam.de/de/ergebnisse/publikationen/2023/us-hydrogen-policy-paving-way-energy-independence-technology</w:t>
        </w:r>
      </w:hyperlink>
      <w:r>
        <w:t xml:space="preserve"> - Zugegriffen: 30.12.2023. </w:t>
      </w:r>
    </w:p>
  </w:footnote>
  <w:footnote w:id="1933">
    <w:p w14:paraId="0869893D" w14:textId="77777777" w:rsidR="00E57DF7" w:rsidRDefault="00E57DF7" w:rsidP="00E57DF7">
      <w:pPr>
        <w:pStyle w:val="Funotentext"/>
      </w:pPr>
      <w:r>
        <w:rPr>
          <w:rStyle w:val="Funotenzeichen"/>
        </w:rPr>
        <w:footnoteRef/>
      </w:r>
      <w:r w:rsidRPr="00285910">
        <w:rPr>
          <w:lang w:val="en-GB"/>
        </w:rPr>
        <w:t xml:space="preserve"> Zabanova, Yana. </w:t>
      </w:r>
      <w:r w:rsidRPr="00197F4C">
        <w:rPr>
          <w:lang w:val="en-GB"/>
        </w:rPr>
        <w:t xml:space="preserve">The EU in the Global Hydrogen Race: Bringing together Climate Action, Energy Security, and Industrial Policy. </w:t>
      </w:r>
      <w:r w:rsidRPr="00285910">
        <w:t xml:space="preserve">RIFS </w:t>
      </w:r>
      <w:proofErr w:type="spellStart"/>
      <w:r w:rsidRPr="00285910">
        <w:t>Discussion</w:t>
      </w:r>
      <w:proofErr w:type="spellEnd"/>
      <w:r w:rsidRPr="00285910">
        <w:t xml:space="preserve"> Paper, </w:t>
      </w:r>
      <w:proofErr w:type="spellStart"/>
      <w:r w:rsidRPr="00285910">
        <w:t>December</w:t>
      </w:r>
      <w:proofErr w:type="spellEnd"/>
      <w:r w:rsidRPr="00285910">
        <w:t xml:space="preserve"> 2023. </w:t>
      </w:r>
      <w:r w:rsidRPr="00197F4C">
        <w:t xml:space="preserve">In: </w:t>
      </w:r>
      <w:hyperlink r:id="rId1438" w:history="1">
        <w:r w:rsidRPr="00197F4C">
          <w:rPr>
            <w:rStyle w:val="Hyperlink"/>
          </w:rPr>
          <w:t>https://www.rifs-potsdam.de/de/ergebnisse/publikationen/2023/eu-global-hydrogen-race-bringing-together-climate-action-energy</w:t>
        </w:r>
      </w:hyperlink>
      <w:r w:rsidRPr="00197F4C">
        <w:t xml:space="preserve"> - Zu</w:t>
      </w:r>
      <w:r>
        <w:t xml:space="preserve">gegriffen: 30.12.2023. </w:t>
      </w:r>
    </w:p>
  </w:footnote>
  <w:footnote w:id="1934">
    <w:p w14:paraId="53C2ACE5" w14:textId="77777777" w:rsidR="00E57DF7" w:rsidRDefault="00E57DF7" w:rsidP="00E57DF7">
      <w:pPr>
        <w:pStyle w:val="Funotentext"/>
      </w:pPr>
      <w:r>
        <w:rPr>
          <w:rStyle w:val="Funotenzeichen"/>
        </w:rPr>
        <w:footnoteRef/>
      </w:r>
      <w:r>
        <w:t xml:space="preserve"> Siehe: </w:t>
      </w:r>
      <w:hyperlink r:id="rId1439" w:history="1">
        <w:r w:rsidRPr="008633A4">
          <w:rPr>
            <w:rStyle w:val="Hyperlink"/>
          </w:rPr>
          <w:t>https://www.whitehouse.gov/climate/</w:t>
        </w:r>
      </w:hyperlink>
      <w:r>
        <w:t xml:space="preserve"> - Zugegriffen: 28.11.2023. </w:t>
      </w:r>
    </w:p>
  </w:footnote>
  <w:footnote w:id="1935">
    <w:p w14:paraId="6E6FAED2" w14:textId="77777777" w:rsidR="00E57DF7" w:rsidRPr="00F769C8" w:rsidRDefault="00E57DF7" w:rsidP="00E57DF7">
      <w:pPr>
        <w:pStyle w:val="Funotentext"/>
        <w:rPr>
          <w:lang w:val="en-US"/>
        </w:rPr>
      </w:pPr>
      <w:r>
        <w:rPr>
          <w:rStyle w:val="Funotenzeichen"/>
        </w:rPr>
        <w:footnoteRef/>
      </w:r>
      <w:r w:rsidRPr="00F769C8">
        <w:rPr>
          <w:lang w:val="en-US"/>
        </w:rPr>
        <w:t xml:space="preserve"> Inflation Reduction Act, Guidebook, January 2023, Version 2, Washington: Whitehouse, </w:t>
      </w:r>
      <w:proofErr w:type="spellStart"/>
      <w:r w:rsidRPr="00F769C8">
        <w:rPr>
          <w:lang w:val="en-US"/>
        </w:rPr>
        <w:t>siehe</w:t>
      </w:r>
      <w:proofErr w:type="spellEnd"/>
      <w:r w:rsidRPr="00F769C8">
        <w:rPr>
          <w:lang w:val="en-US"/>
        </w:rPr>
        <w:t xml:space="preserve">: </w:t>
      </w:r>
      <w:hyperlink r:id="rId1440" w:history="1">
        <w:r w:rsidRPr="00F769C8">
          <w:rPr>
            <w:rStyle w:val="Hyperlink"/>
            <w:lang w:val="en-US"/>
          </w:rPr>
          <w:t>https://www.whitehouse.gov/cleanenergy/inflation-reduction-act-guidebook/</w:t>
        </w:r>
      </w:hyperlink>
      <w:r w:rsidRPr="00F769C8">
        <w:rPr>
          <w:lang w:val="en-US"/>
        </w:rPr>
        <w:t xml:space="preserve"> - </w:t>
      </w:r>
      <w:proofErr w:type="spellStart"/>
      <w:r w:rsidRPr="00F769C8">
        <w:rPr>
          <w:lang w:val="en-US"/>
        </w:rPr>
        <w:t>Zugegriffen</w:t>
      </w:r>
      <w:proofErr w:type="spellEnd"/>
      <w:r w:rsidRPr="00F769C8">
        <w:rPr>
          <w:lang w:val="en-US"/>
        </w:rPr>
        <w:t xml:space="preserve">: 30.12.2023. </w:t>
      </w:r>
    </w:p>
  </w:footnote>
  <w:footnote w:id="1936">
    <w:p w14:paraId="4D92A221" w14:textId="77777777" w:rsidR="00E57DF7" w:rsidRPr="00F769C8" w:rsidRDefault="00E57DF7" w:rsidP="00E57DF7">
      <w:pPr>
        <w:pStyle w:val="Funotentext"/>
        <w:rPr>
          <w:lang w:val="en-US"/>
        </w:rPr>
      </w:pPr>
      <w:r>
        <w:rPr>
          <w:rStyle w:val="Funotenzeichen"/>
        </w:rPr>
        <w:footnoteRef/>
      </w:r>
      <w:r w:rsidRPr="00F769C8">
        <w:rPr>
          <w:lang w:val="en-US"/>
        </w:rPr>
        <w:t xml:space="preserve"> https://www.whitehouse.gov/cleanenergy/?utm_source=cleanenergy.gov</w:t>
      </w:r>
    </w:p>
  </w:footnote>
  <w:footnote w:id="1937">
    <w:p w14:paraId="0D629EF0" w14:textId="77777777" w:rsidR="00E57DF7" w:rsidRDefault="00E57DF7" w:rsidP="00E57DF7">
      <w:pPr>
        <w:pStyle w:val="Funotentext"/>
      </w:pPr>
      <w:r>
        <w:rPr>
          <w:rStyle w:val="Funotenzeichen"/>
        </w:rPr>
        <w:footnoteRef/>
      </w:r>
      <w:r>
        <w:t xml:space="preserve"> Siehe: </w:t>
      </w:r>
      <w:hyperlink r:id="rId1441" w:history="1">
        <w:r w:rsidRPr="008633A4">
          <w:rPr>
            <w:rStyle w:val="Hyperlink"/>
          </w:rPr>
          <w:t>https://en.wikipedia.org/wiki/Inflation_Reduction_Act</w:t>
        </w:r>
      </w:hyperlink>
      <w:r>
        <w:t xml:space="preserve"> - Zugegriffen: 28.11.2023. </w:t>
      </w:r>
    </w:p>
  </w:footnote>
  <w:footnote w:id="1938">
    <w:p w14:paraId="68B52DAB" w14:textId="77777777" w:rsidR="00112190" w:rsidRPr="0024273B" w:rsidRDefault="00112190" w:rsidP="00112190">
      <w:pPr>
        <w:pStyle w:val="Funotentext"/>
      </w:pPr>
      <w:r>
        <w:rPr>
          <w:rStyle w:val="Funotenzeichen"/>
        </w:rPr>
        <w:footnoteRef/>
      </w:r>
      <w:r w:rsidRPr="0024273B">
        <w:t xml:space="preserve"> Thielges et al. </w:t>
      </w:r>
      <w:proofErr w:type="gramStart"/>
      <w:r w:rsidRPr="0024273B">
        <w:t>2022 :</w:t>
      </w:r>
      <w:proofErr w:type="gramEnd"/>
      <w:r w:rsidRPr="0024273B">
        <w:t xml:space="preserve"> 21-27.</w:t>
      </w:r>
    </w:p>
  </w:footnote>
  <w:footnote w:id="1939">
    <w:p w14:paraId="09A5DCB4" w14:textId="77777777" w:rsidR="00112190" w:rsidRPr="00A0352F" w:rsidRDefault="00112190" w:rsidP="00112190">
      <w:pPr>
        <w:pStyle w:val="Funotentext"/>
      </w:pPr>
      <w:r>
        <w:rPr>
          <w:rStyle w:val="Funotenzeichen"/>
        </w:rPr>
        <w:footnoteRef/>
      </w:r>
      <w:r w:rsidRPr="00A0352F">
        <w:t xml:space="preserve"> Siehe: </w:t>
      </w:r>
      <w:hyperlink r:id="rId1442" w:history="1">
        <w:r w:rsidRPr="00A0352F">
          <w:rPr>
            <w:rStyle w:val="Hyperlink"/>
          </w:rPr>
          <w:t>https://www.eia.gov/dnav/pet/hist/LeafHandler.ashx?n=PET&amp;s=MCRFPLA1&amp;f=M</w:t>
        </w:r>
      </w:hyperlink>
      <w:r w:rsidRPr="00A0352F">
        <w:t xml:space="preserve"> </w:t>
      </w:r>
      <w:r>
        <w:t>–</w:t>
      </w:r>
      <w:r w:rsidRPr="00A0352F">
        <w:t xml:space="preserve"> Zug</w:t>
      </w:r>
      <w:r>
        <w:t xml:space="preserve">egriffen: 07.1.2024. </w:t>
      </w:r>
    </w:p>
  </w:footnote>
  <w:footnote w:id="1940">
    <w:p w14:paraId="3B10A83A" w14:textId="77777777" w:rsidR="00112190" w:rsidRPr="00D064A9" w:rsidRDefault="00112190" w:rsidP="00112190">
      <w:pPr>
        <w:pStyle w:val="Funotentext"/>
      </w:pPr>
      <w:r>
        <w:rPr>
          <w:rStyle w:val="Funotenzeichen"/>
        </w:rPr>
        <w:footnoteRef/>
      </w:r>
      <w:r w:rsidRPr="00D064A9">
        <w:t xml:space="preserve"> Thielges et al. </w:t>
      </w:r>
      <w:proofErr w:type="gramStart"/>
      <w:r w:rsidRPr="00D064A9">
        <w:t>2022 :</w:t>
      </w:r>
      <w:proofErr w:type="gramEnd"/>
      <w:r w:rsidRPr="00D064A9">
        <w:t xml:space="preserve"> 32.</w:t>
      </w:r>
    </w:p>
  </w:footnote>
  <w:footnote w:id="1941">
    <w:p w14:paraId="0042B0C9" w14:textId="77777777" w:rsidR="00BF5B73" w:rsidRDefault="00BF5B73" w:rsidP="00BF5B73">
      <w:pPr>
        <w:pStyle w:val="Funotentext"/>
      </w:pPr>
      <w:r>
        <w:rPr>
          <w:rStyle w:val="Funotenzeichen"/>
        </w:rPr>
        <w:footnoteRef/>
      </w:r>
      <w:r>
        <w:t xml:space="preserve"> </w:t>
      </w:r>
      <w:proofErr w:type="spellStart"/>
      <w:r>
        <w:t>Enbridge</w:t>
      </w:r>
      <w:proofErr w:type="spellEnd"/>
      <w:r>
        <w:t xml:space="preserve"> ist ein großer Öl- und Gaskonzern sowie Pipelinebetreiber. Siehe: </w:t>
      </w:r>
      <w:hyperlink r:id="rId1443" w:history="1">
        <w:r w:rsidRPr="004A1872">
          <w:rPr>
            <w:rStyle w:val="Hyperlink"/>
          </w:rPr>
          <w:t>https://www.enbridge.com/projects-and-infrastructure/public-awareness/cowboy-solar-and-bess-project</w:t>
        </w:r>
      </w:hyperlink>
      <w:r>
        <w:t xml:space="preserve"> - Zugegriffen: 21.01.2025.  </w:t>
      </w:r>
    </w:p>
  </w:footnote>
  <w:footnote w:id="1942">
    <w:p w14:paraId="61B46C13" w14:textId="464AD498" w:rsidR="00BF5B73" w:rsidRDefault="00BF5B73">
      <w:pPr>
        <w:pStyle w:val="Funotentext"/>
      </w:pPr>
      <w:r>
        <w:rPr>
          <w:rStyle w:val="Funotenzeichen"/>
        </w:rPr>
        <w:footnoteRef/>
      </w:r>
      <w:r>
        <w:t xml:space="preserve"> Siehe: </w:t>
      </w:r>
      <w:hyperlink r:id="rId1444" w:history="1">
        <w:r w:rsidRPr="00083B1E">
          <w:rPr>
            <w:rStyle w:val="Hyperlink"/>
          </w:rPr>
          <w:t>https://carboncredits.com/enbridges-1-2b-solar-plus-storage-project-fuels-path-to-net-zero/</w:t>
        </w:r>
      </w:hyperlink>
      <w:r>
        <w:t xml:space="preserve"> - Zugegriffen: 21.01.2025. </w:t>
      </w:r>
    </w:p>
  </w:footnote>
  <w:footnote w:id="1943">
    <w:p w14:paraId="64F510AE" w14:textId="77777777" w:rsidR="0066086F" w:rsidRDefault="0066086F" w:rsidP="0066086F">
      <w:pPr>
        <w:pStyle w:val="Funotentext"/>
      </w:pPr>
      <w:r>
        <w:rPr>
          <w:rStyle w:val="Funotenzeichen"/>
        </w:rPr>
        <w:footnoteRef/>
      </w:r>
      <w:r>
        <w:t xml:space="preserve"> Siehe: </w:t>
      </w:r>
      <w:hyperlink r:id="rId1445" w:history="1">
        <w:r w:rsidRPr="004A1872">
          <w:rPr>
            <w:rStyle w:val="Hyperlink"/>
          </w:rPr>
          <w:t>https://carboncredits.com/enbridges-1-2b-solar-plus-storage-project-fuels-path-to-net-zero/</w:t>
        </w:r>
      </w:hyperlink>
      <w:r>
        <w:t xml:space="preserve"> - Zugegriffen: 21.01.2025. </w:t>
      </w:r>
    </w:p>
  </w:footnote>
  <w:footnote w:id="1944">
    <w:p w14:paraId="476A4FA5" w14:textId="101900CD" w:rsidR="00481319" w:rsidRPr="00D064A9" w:rsidRDefault="00481319">
      <w:pPr>
        <w:pStyle w:val="Funotentext"/>
      </w:pPr>
      <w:r>
        <w:rPr>
          <w:rStyle w:val="Funotenzeichen"/>
        </w:rPr>
        <w:footnoteRef/>
      </w:r>
      <w:r w:rsidRPr="00D064A9">
        <w:t xml:space="preserve"> </w:t>
      </w:r>
      <w:r w:rsidR="00CA3D74">
        <w:t>Ich kann die Fußnote hierzu nicht mehr finden.</w:t>
      </w:r>
    </w:p>
  </w:footnote>
  <w:footnote w:id="1945">
    <w:p w14:paraId="4638E181" w14:textId="314BA2E4" w:rsidR="00EF0449" w:rsidRPr="00D064A9" w:rsidRDefault="00EF0449">
      <w:pPr>
        <w:pStyle w:val="Funotentext"/>
      </w:pPr>
      <w:r>
        <w:rPr>
          <w:rStyle w:val="Funotenzeichen"/>
        </w:rPr>
        <w:footnoteRef/>
      </w:r>
      <w:r w:rsidRPr="00D064A9">
        <w:t xml:space="preserve"> </w:t>
      </w:r>
      <w:r w:rsidR="00662691" w:rsidRPr="00D064A9">
        <w:t>Smil 2024: 17.</w:t>
      </w:r>
    </w:p>
  </w:footnote>
  <w:footnote w:id="1946">
    <w:p w14:paraId="3D57B216" w14:textId="77777777" w:rsidR="00FD2C27" w:rsidRPr="00780946" w:rsidRDefault="00FD2C27" w:rsidP="00FD2C27">
      <w:pPr>
        <w:pStyle w:val="Funotentext"/>
        <w:rPr>
          <w:lang w:val="en-GB"/>
        </w:rPr>
      </w:pPr>
      <w:r>
        <w:rPr>
          <w:rStyle w:val="Funotenzeichen"/>
        </w:rPr>
        <w:footnoteRef/>
      </w:r>
      <w:r w:rsidRPr="00FD2C27">
        <w:t xml:space="preserve"> Zitiert aus: S. 10, in: Enel. </w:t>
      </w:r>
      <w:r w:rsidRPr="00780946">
        <w:rPr>
          <w:lang w:val="en-GB"/>
        </w:rPr>
        <w:t>Climate Policy Advocacy Re</w:t>
      </w:r>
      <w:r>
        <w:rPr>
          <w:lang w:val="en-GB"/>
        </w:rPr>
        <w:t xml:space="preserve">port 2023. </w:t>
      </w:r>
    </w:p>
  </w:footnote>
  <w:footnote w:id="1947">
    <w:p w14:paraId="14109761" w14:textId="77777777" w:rsidR="003F050E" w:rsidRPr="00FD2C27" w:rsidRDefault="003F050E" w:rsidP="003F050E">
      <w:pPr>
        <w:pStyle w:val="Funotentext"/>
        <w:rPr>
          <w:lang w:val="en-GB"/>
        </w:rPr>
      </w:pPr>
      <w:r>
        <w:rPr>
          <w:rStyle w:val="Funotenzeichen"/>
        </w:rPr>
        <w:footnoteRef/>
      </w:r>
      <w:r w:rsidRPr="00FD2C27">
        <w:rPr>
          <w:lang w:val="en-GB"/>
        </w:rPr>
        <w:t xml:space="preserve"> </w:t>
      </w:r>
      <w:proofErr w:type="spellStart"/>
      <w:r w:rsidRPr="00FD2C27">
        <w:rPr>
          <w:lang w:val="en-GB"/>
        </w:rPr>
        <w:t>Elektravision</w:t>
      </w:r>
      <w:proofErr w:type="spellEnd"/>
      <w:r w:rsidRPr="00FD2C27">
        <w:rPr>
          <w:lang w:val="en-GB"/>
        </w:rPr>
        <w:t xml:space="preserve"> 2024: 12. </w:t>
      </w:r>
    </w:p>
  </w:footnote>
  <w:footnote w:id="1948">
    <w:p w14:paraId="09BCB4A3" w14:textId="6B2BFF04" w:rsidR="00BF5B73" w:rsidRDefault="00BF5B73">
      <w:pPr>
        <w:pStyle w:val="Funotentext"/>
      </w:pPr>
      <w:r>
        <w:rPr>
          <w:rStyle w:val="Funotenzeichen"/>
        </w:rPr>
        <w:footnoteRef/>
      </w:r>
      <w:r>
        <w:t xml:space="preserve"> </w:t>
      </w:r>
      <w:r w:rsidR="004230CF">
        <w:t xml:space="preserve">Siehe: </w:t>
      </w:r>
      <w:hyperlink r:id="rId1446" w:history="1">
        <w:r w:rsidR="004230CF" w:rsidRPr="00083B1E">
          <w:rPr>
            <w:rStyle w:val="Hyperlink"/>
          </w:rPr>
          <w:t>https://globalenergymonitor.org/de/report/proposed-gas-fired-power-plants-in-the-united-state-rise-due-to-ai-energy-demand-speculation-but-remain-largely-in-early-development-stage/</w:t>
        </w:r>
      </w:hyperlink>
      <w:r w:rsidR="004230CF">
        <w:t xml:space="preserve"> - Zugegriffen: 21.05.2025. </w:t>
      </w:r>
    </w:p>
  </w:footnote>
  <w:footnote w:id="1949">
    <w:p w14:paraId="091293D0" w14:textId="263BA735" w:rsidR="00112190" w:rsidRPr="00E71B9F" w:rsidRDefault="00112190" w:rsidP="00112190">
      <w:pPr>
        <w:pStyle w:val="Funotentext"/>
        <w:rPr>
          <w:lang w:val="en-GB"/>
        </w:rPr>
      </w:pPr>
      <w:r>
        <w:rPr>
          <w:rStyle w:val="Funotenzeichen"/>
        </w:rPr>
        <w:footnoteRef/>
      </w:r>
      <w:r w:rsidRPr="00EB1D02">
        <w:rPr>
          <w:lang w:val="en-GB"/>
        </w:rPr>
        <w:t xml:space="preserve"> Alexander C. Kaufman. </w:t>
      </w:r>
      <w:r w:rsidRPr="00E71B9F">
        <w:rPr>
          <w:lang w:val="en-GB"/>
        </w:rPr>
        <w:t xml:space="preserve">A Century-Old Company </w:t>
      </w:r>
      <w:r>
        <w:rPr>
          <w:lang w:val="en-GB"/>
        </w:rPr>
        <w:t>The Government Owns Wants to Solve a Big Energy Problem, 04.05.2024, Huffin</w:t>
      </w:r>
      <w:r w:rsidR="001D4CA5">
        <w:rPr>
          <w:lang w:val="en-GB"/>
        </w:rPr>
        <w:t>g</w:t>
      </w:r>
      <w:r>
        <w:rPr>
          <w:lang w:val="en-GB"/>
        </w:rPr>
        <w:t xml:space="preserve">ton Post, </w:t>
      </w:r>
      <w:proofErr w:type="spellStart"/>
      <w:r>
        <w:rPr>
          <w:lang w:val="en-GB"/>
        </w:rPr>
        <w:t>s</w:t>
      </w:r>
      <w:r w:rsidRPr="00E71B9F">
        <w:rPr>
          <w:lang w:val="en-GB"/>
        </w:rPr>
        <w:t>iehe</w:t>
      </w:r>
      <w:proofErr w:type="spellEnd"/>
      <w:r w:rsidRPr="00E71B9F">
        <w:rPr>
          <w:lang w:val="en-GB"/>
        </w:rPr>
        <w:t xml:space="preserve">: </w:t>
      </w:r>
      <w:hyperlink r:id="rId1447" w:history="1">
        <w:r w:rsidRPr="00E71B9F">
          <w:rPr>
            <w:rStyle w:val="Hyperlink"/>
            <w:lang w:val="en-GB"/>
          </w:rPr>
          <w:t>https://www.huffpost.com/entry/tva-nuclear-power-debt-ceiling_n_66352e7de4b00b1eab534aca</w:t>
        </w:r>
      </w:hyperlink>
      <w:r w:rsidRPr="00E71B9F">
        <w:rPr>
          <w:lang w:val="en-GB"/>
        </w:rPr>
        <w:t xml:space="preserve"> - </w:t>
      </w:r>
      <w:proofErr w:type="spellStart"/>
      <w:r w:rsidRPr="00E71B9F">
        <w:rPr>
          <w:lang w:val="en-GB"/>
        </w:rPr>
        <w:t>Zugegriffen</w:t>
      </w:r>
      <w:proofErr w:type="spellEnd"/>
      <w:r w:rsidRPr="00E71B9F">
        <w:rPr>
          <w:lang w:val="en-GB"/>
        </w:rPr>
        <w:t>: 20.05.2024.</w:t>
      </w:r>
    </w:p>
  </w:footnote>
  <w:footnote w:id="1950">
    <w:p w14:paraId="5BB23CC8" w14:textId="5C03E7BF" w:rsidR="004640D3" w:rsidRPr="00AD1885" w:rsidRDefault="004640D3">
      <w:pPr>
        <w:pStyle w:val="Funotentext"/>
      </w:pPr>
      <w:r>
        <w:rPr>
          <w:rStyle w:val="Funotenzeichen"/>
        </w:rPr>
        <w:footnoteRef/>
      </w:r>
      <w:r>
        <w:t xml:space="preserve"> Winand von Petersdorff-Campen. USA peilen großes Kernkraft-Comeback an. </w:t>
      </w:r>
      <w:r w:rsidRPr="00AD1885">
        <w:t xml:space="preserve">FAZ, 19.06.2024. </w:t>
      </w:r>
    </w:p>
  </w:footnote>
  <w:footnote w:id="1951">
    <w:p w14:paraId="2A8CF593" w14:textId="77777777" w:rsidR="00370D14" w:rsidRPr="00601FCC" w:rsidRDefault="00370D14" w:rsidP="00370D14">
      <w:pPr>
        <w:pStyle w:val="Funotentext"/>
      </w:pPr>
      <w:r>
        <w:rPr>
          <w:rStyle w:val="Funotenzeichen"/>
        </w:rPr>
        <w:footnoteRef/>
      </w:r>
      <w:r>
        <w:t xml:space="preserve"> Winand von Petersdorff-Campen. USA peilen großes Kernkraft-Comeback an. </w:t>
      </w:r>
      <w:r w:rsidRPr="00601FCC">
        <w:t xml:space="preserve">FAZ, 19.06.2024. </w:t>
      </w:r>
    </w:p>
  </w:footnote>
  <w:footnote w:id="1952">
    <w:p w14:paraId="65872429" w14:textId="7E5FC9C5" w:rsidR="00412BD0" w:rsidRDefault="00412BD0">
      <w:pPr>
        <w:pStyle w:val="Funotentext"/>
      </w:pPr>
      <w:r>
        <w:rPr>
          <w:rStyle w:val="Funotenzeichen"/>
        </w:rPr>
        <w:footnoteRef/>
      </w:r>
      <w:r>
        <w:t xml:space="preserve"> </w:t>
      </w:r>
      <w:r w:rsidR="00B43316">
        <w:t>Piotr Heller. Der Energiehunger des KI-Booms und seine Folgen. FAZ, 24.12.2024.</w:t>
      </w:r>
    </w:p>
  </w:footnote>
  <w:footnote w:id="1953">
    <w:p w14:paraId="2E068864" w14:textId="34675768" w:rsidR="00412BD0" w:rsidRDefault="00412BD0">
      <w:pPr>
        <w:pStyle w:val="Funotentext"/>
      </w:pPr>
      <w:r>
        <w:rPr>
          <w:rStyle w:val="Funotenzeichen"/>
        </w:rPr>
        <w:footnoteRef/>
      </w:r>
      <w:r>
        <w:t xml:space="preserve"> Siehe: </w:t>
      </w:r>
      <w:hyperlink r:id="rId1448" w:history="1">
        <w:r w:rsidRPr="00366B8A">
          <w:rPr>
            <w:rStyle w:val="Hyperlink"/>
          </w:rPr>
          <w:t>https://www.srf.ch/wissen/technik/power-fuer-die-ki-computerchips-von-morgen-schneller-rechnen-mit-licht</w:t>
        </w:r>
      </w:hyperlink>
      <w:r>
        <w:t xml:space="preserve"> - Zugegriffen: 08.06.2025. </w:t>
      </w:r>
    </w:p>
  </w:footnote>
  <w:footnote w:id="1954">
    <w:p w14:paraId="7C9810AB" w14:textId="77777777" w:rsidR="00CA3D74" w:rsidRPr="00662691" w:rsidRDefault="00CA3D74" w:rsidP="00CA3D74">
      <w:pPr>
        <w:pStyle w:val="Funotentext"/>
      </w:pPr>
      <w:r>
        <w:rPr>
          <w:rStyle w:val="Funotenzeichen"/>
        </w:rPr>
        <w:footnoteRef/>
      </w:r>
      <w:r w:rsidRPr="00662691">
        <w:t xml:space="preserve"> Das Land der unbegrenzten S</w:t>
      </w:r>
      <w:r>
        <w:t xml:space="preserve">olarfelder. FAZ, 05.07.2024. </w:t>
      </w:r>
    </w:p>
  </w:footnote>
  <w:footnote w:id="1955">
    <w:p w14:paraId="70C472F1" w14:textId="77777777" w:rsidR="00CA3D74" w:rsidRPr="00CA3D74" w:rsidRDefault="00CA3D74" w:rsidP="00CA3D74">
      <w:pPr>
        <w:pStyle w:val="Funotentext"/>
      </w:pPr>
      <w:r>
        <w:rPr>
          <w:rStyle w:val="Funotenzeichen"/>
        </w:rPr>
        <w:footnoteRef/>
      </w:r>
      <w:r w:rsidRPr="00FD2C27">
        <w:t xml:space="preserve"> Zitiert aus: S. 10, in: Enel. </w:t>
      </w:r>
      <w:r w:rsidRPr="00CA3D74">
        <w:t xml:space="preserve">Climate Policy </w:t>
      </w:r>
      <w:proofErr w:type="spellStart"/>
      <w:r w:rsidRPr="00CA3D74">
        <w:t>Advocacy</w:t>
      </w:r>
      <w:proofErr w:type="spellEnd"/>
      <w:r w:rsidRPr="00CA3D74">
        <w:t xml:space="preserve"> Report 2023. </w:t>
      </w:r>
    </w:p>
  </w:footnote>
  <w:footnote w:id="1956">
    <w:p w14:paraId="0E195EC6" w14:textId="77777777" w:rsidR="00112190" w:rsidRDefault="00112190" w:rsidP="00112190">
      <w:pPr>
        <w:pStyle w:val="Funotentext"/>
      </w:pPr>
      <w:r>
        <w:rPr>
          <w:rStyle w:val="Funotenzeichen"/>
        </w:rPr>
        <w:footnoteRef/>
      </w:r>
      <w:r>
        <w:t xml:space="preserve"> Siehe: </w:t>
      </w:r>
      <w:hyperlink r:id="rId1449" w:history="1">
        <w:r w:rsidRPr="004226BE">
          <w:rPr>
            <w:rStyle w:val="Hyperlink"/>
          </w:rPr>
          <w:t>https://edition.cnn.com/2023/12/04/business/china-ev-batteries-us-regulations-intl-hnk/index.html</w:t>
        </w:r>
      </w:hyperlink>
      <w:r>
        <w:t xml:space="preserve"> - Zugegriffen: 30.12.2023. </w:t>
      </w:r>
    </w:p>
  </w:footnote>
  <w:footnote w:id="1957">
    <w:p w14:paraId="7E5591B1" w14:textId="77777777" w:rsidR="00112190" w:rsidRDefault="00112190" w:rsidP="00112190">
      <w:pPr>
        <w:pStyle w:val="Funotentext"/>
      </w:pPr>
      <w:r>
        <w:rPr>
          <w:rStyle w:val="Funotenzeichen"/>
        </w:rPr>
        <w:footnoteRef/>
      </w:r>
      <w:r>
        <w:t xml:space="preserve"> Siehe: </w:t>
      </w:r>
      <w:hyperlink r:id="rId1450" w:history="1">
        <w:r w:rsidRPr="004226BE">
          <w:rPr>
            <w:rStyle w:val="Hyperlink"/>
          </w:rPr>
          <w:t>https://www.whitehouse.gov/cleanenergy/clean-energy-updates/2023/12/01/treasury-doe-release-proposed-guidance-to-strengthen-domestic-supply-chains-for-batteries-and-electric-vehicles-ensure-the-u-s-leads-the-clean-vehicle-future/</w:t>
        </w:r>
      </w:hyperlink>
      <w:r>
        <w:t xml:space="preserve"> - Zugegriffen: 30.12.2023. </w:t>
      </w:r>
    </w:p>
  </w:footnote>
  <w:footnote w:id="1958">
    <w:p w14:paraId="33C3233F" w14:textId="5E33CA5C" w:rsidR="00112190" w:rsidRPr="00EB1D02" w:rsidRDefault="00112190" w:rsidP="00112190">
      <w:pPr>
        <w:pStyle w:val="Funotentext"/>
      </w:pPr>
      <w:r>
        <w:rPr>
          <w:rStyle w:val="Funotenzeichen"/>
        </w:rPr>
        <w:footnoteRef/>
      </w:r>
      <w:r>
        <w:t xml:space="preserve"> Joe Biden verschiebt die Verkehrswende. </w:t>
      </w:r>
      <w:r w:rsidRPr="00EB1D02">
        <w:t>FAZ, 20.02.2024.</w:t>
      </w:r>
    </w:p>
  </w:footnote>
  <w:footnote w:id="1959">
    <w:p w14:paraId="559FAA90" w14:textId="34546792" w:rsidR="00470C23" w:rsidRPr="009A21FC" w:rsidRDefault="00470C23">
      <w:pPr>
        <w:pStyle w:val="Funotentext"/>
      </w:pPr>
      <w:r>
        <w:rPr>
          <w:rStyle w:val="Funotenzeichen"/>
        </w:rPr>
        <w:footnoteRef/>
      </w:r>
      <w:r w:rsidRPr="009A21FC">
        <w:t xml:space="preserve"> </w:t>
      </w:r>
      <w:r w:rsidR="009A21FC" w:rsidRPr="009A21FC">
        <w:t xml:space="preserve">Siehe: </w:t>
      </w:r>
      <w:hyperlink r:id="rId1451" w:history="1">
        <w:r w:rsidR="009A21FC" w:rsidRPr="00083B1E">
          <w:rPr>
            <w:rStyle w:val="Hyperlink"/>
          </w:rPr>
          <w:t>https://www.sgh2energy.com/worlds-largest-green-hydrogen-project-to-launch-in-california</w:t>
        </w:r>
      </w:hyperlink>
      <w:r w:rsidR="009A21FC">
        <w:t xml:space="preserve"> - Zugegriffen: 21.05.2025.</w:t>
      </w:r>
    </w:p>
  </w:footnote>
  <w:footnote w:id="1960">
    <w:p w14:paraId="1C709326" w14:textId="77777777" w:rsidR="00B556A9" w:rsidRDefault="00B556A9" w:rsidP="00B556A9">
      <w:pPr>
        <w:pStyle w:val="Funotentext"/>
      </w:pPr>
      <w:r>
        <w:rPr>
          <w:rStyle w:val="Funotenzeichen"/>
        </w:rPr>
        <w:footnoteRef/>
      </w:r>
      <w:r>
        <w:t xml:space="preserve"> Viele Subventionsprojekte der Biden-Regierung liegen auf Eis. FAZ, 13.08.2024.</w:t>
      </w:r>
    </w:p>
  </w:footnote>
  <w:footnote w:id="1961">
    <w:p w14:paraId="25C9CAEF" w14:textId="77777777" w:rsidR="00B556A9" w:rsidRDefault="00B556A9" w:rsidP="00B556A9">
      <w:pPr>
        <w:pStyle w:val="Funotentext"/>
      </w:pPr>
      <w:r>
        <w:rPr>
          <w:rStyle w:val="Funotenzeichen"/>
        </w:rPr>
        <w:footnoteRef/>
      </w:r>
      <w:r>
        <w:t xml:space="preserve"> Siehe: </w:t>
      </w:r>
      <w:hyperlink r:id="rId1452" w:history="1">
        <w:r w:rsidRPr="004D34B9">
          <w:rPr>
            <w:rStyle w:val="Hyperlink"/>
          </w:rPr>
          <w:t>https://www.whitehouse.gov/presidential-actions/2025/01/unleashing-american-energy/</w:t>
        </w:r>
      </w:hyperlink>
      <w:r>
        <w:t xml:space="preserve"> - Zugegriffen: 18.05.2025. </w:t>
      </w:r>
    </w:p>
  </w:footnote>
  <w:footnote w:id="1962">
    <w:p w14:paraId="497AFA28" w14:textId="77777777" w:rsidR="00B556A9" w:rsidRDefault="00B556A9" w:rsidP="00B556A9">
      <w:pPr>
        <w:pStyle w:val="Funotentext"/>
      </w:pPr>
      <w:r>
        <w:rPr>
          <w:rStyle w:val="Funotenzeichen"/>
        </w:rPr>
        <w:footnoteRef/>
      </w:r>
      <w:r>
        <w:t xml:space="preserve"> Siehe: </w:t>
      </w:r>
      <w:hyperlink r:id="rId1453" w:history="1">
        <w:r w:rsidRPr="004D34B9">
          <w:rPr>
            <w:rStyle w:val="Hyperlink"/>
          </w:rPr>
          <w:t>https://www.utilitydive.com/news/judge-orders-trump-reinstate-inflation-reduction-act-funding/745541/</w:t>
        </w:r>
      </w:hyperlink>
      <w:r>
        <w:t xml:space="preserve"> - Zugegriffen: 18.05.2025.</w:t>
      </w:r>
    </w:p>
  </w:footnote>
  <w:footnote w:id="1963">
    <w:p w14:paraId="556394AC" w14:textId="5F981E96" w:rsidR="00BD2FF5" w:rsidRDefault="00BD2FF5">
      <w:pPr>
        <w:pStyle w:val="Funotentext"/>
      </w:pPr>
      <w:r>
        <w:rPr>
          <w:rStyle w:val="Funotenzeichen"/>
        </w:rPr>
        <w:footnoteRef/>
      </w:r>
      <w:r>
        <w:t xml:space="preserve"> Siehe: </w:t>
      </w:r>
      <w:hyperlink r:id="rId1454" w:history="1">
        <w:r w:rsidRPr="004D34B9">
          <w:rPr>
            <w:rStyle w:val="Hyperlink"/>
          </w:rPr>
          <w:t>https://www.renewableuk.com/our-work/offshore-wind/</w:t>
        </w:r>
      </w:hyperlink>
      <w:r>
        <w:t xml:space="preserve"> - Zugegriffen: 15.05.2025. </w:t>
      </w:r>
    </w:p>
  </w:footnote>
  <w:footnote w:id="1964">
    <w:p w14:paraId="6453E87F" w14:textId="58CA4076" w:rsidR="00B556A9" w:rsidRDefault="00B556A9">
      <w:pPr>
        <w:pStyle w:val="Funotentext"/>
      </w:pPr>
      <w:r>
        <w:rPr>
          <w:rStyle w:val="Funotenzeichen"/>
        </w:rPr>
        <w:footnoteRef/>
      </w:r>
      <w:r>
        <w:t xml:space="preserve"> Siehe: </w:t>
      </w:r>
      <w:hyperlink r:id="rId1455" w:history="1">
        <w:r w:rsidRPr="004D34B9">
          <w:rPr>
            <w:rStyle w:val="Hyperlink"/>
          </w:rPr>
          <w:t>https://de.wikipedia.org/wiki/Liste_von_Offshore-Windparks_im_Vereinigten_K%C3%B6nigreich</w:t>
        </w:r>
      </w:hyperlink>
      <w:r>
        <w:t xml:space="preserve"> – Zugegriffen: 15.05.2025. </w:t>
      </w:r>
    </w:p>
  </w:footnote>
  <w:footnote w:id="1965">
    <w:p w14:paraId="3C1811CF" w14:textId="5A27E856" w:rsidR="00BD2FF5" w:rsidRDefault="00BD2FF5">
      <w:pPr>
        <w:pStyle w:val="Funotentext"/>
      </w:pPr>
      <w:r>
        <w:rPr>
          <w:rStyle w:val="Funotenzeichen"/>
        </w:rPr>
        <w:footnoteRef/>
      </w:r>
      <w:r>
        <w:t xml:space="preserve"> Siehe: </w:t>
      </w:r>
      <w:hyperlink r:id="rId1456" w:history="1">
        <w:r w:rsidRPr="004D34B9">
          <w:rPr>
            <w:rStyle w:val="Hyperlink"/>
          </w:rPr>
          <w:t>https://de.wikipedia.org/wiki/Windenergie_in_China</w:t>
        </w:r>
      </w:hyperlink>
      <w:r>
        <w:t xml:space="preserve"> - Zugegriffen: 18.05.2025. </w:t>
      </w:r>
    </w:p>
  </w:footnote>
  <w:footnote w:id="1966">
    <w:p w14:paraId="5162F193" w14:textId="77777777" w:rsidR="00B556A9" w:rsidRDefault="00B556A9" w:rsidP="00B556A9">
      <w:pPr>
        <w:pStyle w:val="Funotentext"/>
      </w:pPr>
      <w:r>
        <w:rPr>
          <w:rStyle w:val="Funotenzeichen"/>
        </w:rPr>
        <w:footnoteRef/>
      </w:r>
      <w:r>
        <w:t xml:space="preserve"> Siehe: </w:t>
      </w:r>
      <w:hyperlink r:id="rId1457" w:history="1">
        <w:r w:rsidRPr="006F5D81">
          <w:rPr>
            <w:rStyle w:val="Hyperlink"/>
          </w:rPr>
          <w:t>https://www.nationalgrid.com/national-grid-ventures/interconnectors-connecting-cleaner-future/north-sea-link</w:t>
        </w:r>
      </w:hyperlink>
      <w:r>
        <w:t xml:space="preserve"> - Zugegriffen: 28.11.2024.</w:t>
      </w:r>
    </w:p>
  </w:footnote>
  <w:footnote w:id="1967">
    <w:p w14:paraId="5BDA6240" w14:textId="77777777" w:rsidR="00B556A9" w:rsidRDefault="00B556A9" w:rsidP="00B556A9">
      <w:pPr>
        <w:pStyle w:val="Funotentext"/>
      </w:pPr>
      <w:r>
        <w:rPr>
          <w:rStyle w:val="Funotenzeichen"/>
        </w:rPr>
        <w:footnoteRef/>
      </w:r>
      <w:r>
        <w:t xml:space="preserve"> Siehe: </w:t>
      </w:r>
      <w:hyperlink r:id="rId1458" w:history="1">
        <w:r w:rsidRPr="006F5D81">
          <w:rPr>
            <w:rStyle w:val="Hyperlink"/>
          </w:rPr>
          <w:t>https://www.viking-link.com/</w:t>
        </w:r>
      </w:hyperlink>
      <w:r>
        <w:t xml:space="preserve"> - </w:t>
      </w:r>
      <w:r w:rsidRPr="00404E4E">
        <w:t>Zugegriffen: 28.11.2024.</w:t>
      </w:r>
    </w:p>
  </w:footnote>
  <w:footnote w:id="1968">
    <w:p w14:paraId="604E22EF" w14:textId="49CACD2D" w:rsidR="00961075" w:rsidRDefault="00961075">
      <w:pPr>
        <w:pStyle w:val="Funotentext"/>
      </w:pPr>
      <w:r>
        <w:rPr>
          <w:rStyle w:val="Funotenzeichen"/>
        </w:rPr>
        <w:footnoteRef/>
      </w:r>
      <w:r>
        <w:t xml:space="preserve"> Labour stellt erste Weichen mit Baureform. FAZ, 10.07.2024. </w:t>
      </w:r>
    </w:p>
  </w:footnote>
  <w:footnote w:id="1969">
    <w:p w14:paraId="5F0C4EBB" w14:textId="77777777" w:rsidR="001E21C7" w:rsidRDefault="001E21C7" w:rsidP="001E21C7">
      <w:pPr>
        <w:pStyle w:val="Funotentext"/>
      </w:pPr>
      <w:r>
        <w:rPr>
          <w:rStyle w:val="Funotenzeichen"/>
        </w:rPr>
        <w:footnoteRef/>
      </w:r>
      <w:r>
        <w:t xml:space="preserve"> Siehe GTAI: </w:t>
      </w:r>
      <w:hyperlink r:id="rId1459" w:history="1">
        <w:r w:rsidRPr="00C07F29">
          <w:rPr>
            <w:rStyle w:val="Hyperlink"/>
          </w:rPr>
          <w:t>https://www.gtai.de/de/trade/irland-wirtschaft/energiewirtschaft</w:t>
        </w:r>
      </w:hyperlink>
      <w:r>
        <w:t xml:space="preserve"> - Zugegriffen: 05.01.2025. </w:t>
      </w:r>
    </w:p>
  </w:footnote>
  <w:footnote w:id="1970">
    <w:p w14:paraId="602BE9BF" w14:textId="77777777" w:rsidR="00112190" w:rsidRPr="00297555" w:rsidRDefault="00112190" w:rsidP="00112190">
      <w:pPr>
        <w:pStyle w:val="Funotentext"/>
      </w:pPr>
      <w:r>
        <w:rPr>
          <w:rStyle w:val="Funotenzeichen"/>
        </w:rPr>
        <w:footnoteRef/>
      </w:r>
      <w:r w:rsidRPr="00632AAB">
        <w:t xml:space="preserve"> Ćetković/Stoc</w:t>
      </w:r>
      <w:r>
        <w:t xml:space="preserve">kburger 2023. </w:t>
      </w:r>
      <w:r w:rsidRPr="00632AAB">
        <w:t xml:space="preserve"> </w:t>
      </w:r>
    </w:p>
  </w:footnote>
  <w:footnote w:id="1971">
    <w:p w14:paraId="0FB337A1" w14:textId="77777777" w:rsidR="00112190" w:rsidRPr="00CE0FA4" w:rsidRDefault="00112190" w:rsidP="00112190">
      <w:pPr>
        <w:pStyle w:val="Funotentext"/>
      </w:pPr>
      <w:r>
        <w:rPr>
          <w:rStyle w:val="Funotenzeichen"/>
        </w:rPr>
        <w:footnoteRef/>
      </w:r>
      <w:r w:rsidRPr="00CE0FA4">
        <w:t xml:space="preserve"> Ćetković/Stockburger 2023: 5. Und</w:t>
      </w:r>
      <w:r>
        <w:t>: BR So heizen unsere Nachbarländer, 11.9.2023</w:t>
      </w:r>
      <w:r w:rsidRPr="00CE0FA4">
        <w:t xml:space="preserve">: </w:t>
      </w:r>
      <w:hyperlink r:id="rId1460" w:history="1">
        <w:r w:rsidRPr="004226BE">
          <w:rPr>
            <w:rStyle w:val="Hyperlink"/>
          </w:rPr>
          <w:t>https://www.br.de/nachrichten/deutschland-welt/alle-mit-waermepumpe-so-heizen-unsere-nachbarlaender,TjJBBua</w:t>
        </w:r>
      </w:hyperlink>
      <w:r>
        <w:t xml:space="preserve"> – Zugegriffen: 30.12.2023. </w:t>
      </w:r>
    </w:p>
  </w:footnote>
  <w:footnote w:id="1972">
    <w:p w14:paraId="3273C524" w14:textId="15E94D5F" w:rsidR="00DC0AF9" w:rsidRDefault="00DC0AF9">
      <w:pPr>
        <w:pStyle w:val="Funotentext"/>
      </w:pPr>
      <w:r>
        <w:rPr>
          <w:rStyle w:val="Funotenzeichen"/>
        </w:rPr>
        <w:footnoteRef/>
      </w:r>
      <w:r>
        <w:t xml:space="preserve"> </w:t>
      </w:r>
      <w:r w:rsidR="00882AD7">
        <w:t>Julian Staib. Weniger Windkraft, mehr Sicherheit. FAZ, 06.11.2024.</w:t>
      </w:r>
    </w:p>
  </w:footnote>
  <w:footnote w:id="1973">
    <w:p w14:paraId="6969DCE6" w14:textId="77777777" w:rsidR="00112190" w:rsidRPr="00816FF0" w:rsidRDefault="00112190" w:rsidP="00112190">
      <w:pPr>
        <w:pStyle w:val="Funotentext"/>
      </w:pPr>
      <w:r>
        <w:rPr>
          <w:rStyle w:val="Funotenzeichen"/>
        </w:rPr>
        <w:footnoteRef/>
      </w:r>
      <w:r w:rsidRPr="00816FF0">
        <w:t xml:space="preserve"> Der gesamte Abschnitt ist entnommen aus der Studie von </w:t>
      </w:r>
      <w:proofErr w:type="spellStart"/>
      <w:r w:rsidRPr="00816FF0">
        <w:t>Ćetković</w:t>
      </w:r>
      <w:proofErr w:type="spellEnd"/>
      <w:r w:rsidRPr="00816FF0">
        <w:t>/Stockburger 2023: 5-11.</w:t>
      </w:r>
    </w:p>
  </w:footnote>
  <w:footnote w:id="1974">
    <w:p w14:paraId="4C532BC7" w14:textId="6705FBF2" w:rsidR="00C011CB" w:rsidRDefault="00C011CB">
      <w:pPr>
        <w:pStyle w:val="Funotentext"/>
      </w:pPr>
      <w:r>
        <w:rPr>
          <w:rStyle w:val="Funotenzeichen"/>
        </w:rPr>
        <w:footnoteRef/>
      </w:r>
      <w:r>
        <w:t xml:space="preserve"> </w:t>
      </w:r>
      <w:r w:rsidR="00E57DF7">
        <w:t xml:space="preserve">Siehe: </w:t>
      </w:r>
      <w:hyperlink r:id="rId1461" w:history="1">
        <w:r w:rsidR="00E57DF7" w:rsidRPr="004804C4">
          <w:rPr>
            <w:rStyle w:val="Hyperlink"/>
          </w:rPr>
          <w:t>https://www.nius.de/energie/schweden-sagen-stromleitungen-nach-deutschland-ab-weil-es-zu-teuer-wird/26495e2e-24b8-43ac-a24f-87898d479927</w:t>
        </w:r>
      </w:hyperlink>
      <w:r w:rsidR="00E57DF7">
        <w:t xml:space="preserve"> - Zugegriffen: 01.07.2024. </w:t>
      </w:r>
    </w:p>
  </w:footnote>
  <w:footnote w:id="1975">
    <w:p w14:paraId="1D4C535A" w14:textId="77777777" w:rsidR="00112190" w:rsidRPr="00370D14" w:rsidRDefault="00112190" w:rsidP="00112190">
      <w:pPr>
        <w:pStyle w:val="Funotentext"/>
        <w:rPr>
          <w:lang w:val="es-ES"/>
        </w:rPr>
      </w:pPr>
      <w:r>
        <w:rPr>
          <w:rStyle w:val="Funotenzeichen"/>
        </w:rPr>
        <w:footnoteRef/>
      </w:r>
      <w:r w:rsidRPr="00370D14">
        <w:rPr>
          <w:lang w:val="es-ES"/>
        </w:rPr>
        <w:t xml:space="preserve"> Skjærseth et al. 2023. </w:t>
      </w:r>
    </w:p>
  </w:footnote>
  <w:footnote w:id="1976">
    <w:p w14:paraId="14265779" w14:textId="77777777" w:rsidR="00112190" w:rsidRPr="00A540F8" w:rsidRDefault="00112190" w:rsidP="00112190">
      <w:pPr>
        <w:pStyle w:val="Funotentext"/>
        <w:rPr>
          <w:lang w:val="es-ES"/>
        </w:rPr>
      </w:pPr>
      <w:r>
        <w:rPr>
          <w:rStyle w:val="Funotenzeichen"/>
        </w:rPr>
        <w:footnoteRef/>
      </w:r>
      <w:r w:rsidRPr="00A540F8">
        <w:rPr>
          <w:lang w:val="es-ES"/>
        </w:rPr>
        <w:t xml:space="preserve"> Escribano/Urbasos 2023.</w:t>
      </w:r>
    </w:p>
  </w:footnote>
  <w:footnote w:id="1977">
    <w:p w14:paraId="1DF68424" w14:textId="77777777" w:rsidR="00112190" w:rsidRPr="00383265" w:rsidRDefault="00112190" w:rsidP="00112190">
      <w:pPr>
        <w:pStyle w:val="Funotentext"/>
        <w:rPr>
          <w:lang w:val="pl-PL"/>
        </w:rPr>
      </w:pPr>
      <w:r>
        <w:rPr>
          <w:rStyle w:val="Funotenzeichen"/>
        </w:rPr>
        <w:footnoteRef/>
      </w:r>
      <w:r w:rsidRPr="00383265">
        <w:rPr>
          <w:lang w:val="pl-PL"/>
        </w:rPr>
        <w:t xml:space="preserve"> Szabo 2023. </w:t>
      </w:r>
    </w:p>
  </w:footnote>
  <w:footnote w:id="1978">
    <w:p w14:paraId="153821FC" w14:textId="77777777" w:rsidR="00112190" w:rsidRPr="00383265" w:rsidRDefault="00112190" w:rsidP="00112190">
      <w:pPr>
        <w:pStyle w:val="Funotentext"/>
        <w:rPr>
          <w:lang w:val="pl-PL"/>
        </w:rPr>
      </w:pPr>
      <w:r>
        <w:rPr>
          <w:rStyle w:val="Funotenzeichen"/>
        </w:rPr>
        <w:footnoteRef/>
      </w:r>
      <w:r w:rsidRPr="00383265">
        <w:rPr>
          <w:lang w:val="pl-PL"/>
        </w:rPr>
        <w:t xml:space="preserve"> Bouacida 2023. </w:t>
      </w:r>
    </w:p>
  </w:footnote>
  <w:footnote w:id="1979">
    <w:p w14:paraId="257C9046" w14:textId="77777777" w:rsidR="00112190" w:rsidRPr="00383265" w:rsidRDefault="00112190" w:rsidP="00112190">
      <w:pPr>
        <w:pStyle w:val="Funotentext"/>
        <w:rPr>
          <w:lang w:val="pl-PL"/>
        </w:rPr>
      </w:pPr>
      <w:r>
        <w:rPr>
          <w:rStyle w:val="Funotenzeichen"/>
        </w:rPr>
        <w:footnoteRef/>
      </w:r>
      <w:r w:rsidRPr="00383265">
        <w:rPr>
          <w:lang w:val="pl-PL"/>
        </w:rPr>
        <w:t xml:space="preserve"> Smoleń/Zelisko 2023. </w:t>
      </w:r>
    </w:p>
  </w:footnote>
  <w:footnote w:id="1980">
    <w:p w14:paraId="36B78B19" w14:textId="77777777" w:rsidR="00112190" w:rsidRPr="00383265" w:rsidRDefault="00112190" w:rsidP="00112190">
      <w:pPr>
        <w:pStyle w:val="Funotentext"/>
        <w:rPr>
          <w:lang w:val="pl-PL"/>
        </w:rPr>
      </w:pPr>
      <w:r>
        <w:rPr>
          <w:rStyle w:val="Funotenzeichen"/>
        </w:rPr>
        <w:footnoteRef/>
      </w:r>
      <w:r w:rsidRPr="00383265">
        <w:rPr>
          <w:lang w:val="pl-PL"/>
        </w:rPr>
        <w:t xml:space="preserve"> Prontera 2023.</w:t>
      </w:r>
    </w:p>
  </w:footnote>
  <w:footnote w:id="1981">
    <w:p w14:paraId="3A60045E" w14:textId="77777777" w:rsidR="00112190" w:rsidRPr="00A540F8" w:rsidRDefault="00112190" w:rsidP="00112190">
      <w:pPr>
        <w:pStyle w:val="Funotentext"/>
        <w:rPr>
          <w:lang w:val="fr-FR"/>
        </w:rPr>
      </w:pPr>
      <w:r>
        <w:rPr>
          <w:rStyle w:val="Funotenzeichen"/>
        </w:rPr>
        <w:footnoteRef/>
      </w:r>
      <w:r w:rsidRPr="00A540F8">
        <w:rPr>
          <w:lang w:val="fr-FR"/>
        </w:rPr>
        <w:t xml:space="preserve"> </w:t>
      </w:r>
      <w:bookmarkStart w:id="109" w:name="_Hlk157458377"/>
      <w:r w:rsidRPr="00A540F8">
        <w:rPr>
          <w:lang w:val="fr-FR"/>
        </w:rPr>
        <w:t>Stam et al. 2023..</w:t>
      </w:r>
    </w:p>
    <w:bookmarkEnd w:id="109"/>
  </w:footnote>
  <w:footnote w:id="1982">
    <w:p w14:paraId="10944C2A" w14:textId="48516920" w:rsidR="00112190" w:rsidRPr="0024273B" w:rsidRDefault="00112190" w:rsidP="00112190">
      <w:pPr>
        <w:pStyle w:val="Funotentext"/>
        <w:rPr>
          <w:lang w:val="fr-FR"/>
        </w:rPr>
      </w:pPr>
      <w:r>
        <w:rPr>
          <w:rStyle w:val="Funotenzeichen"/>
        </w:rPr>
        <w:footnoteRef/>
      </w:r>
      <w:r w:rsidRPr="00A540F8">
        <w:rPr>
          <w:lang w:val="fr-FR"/>
        </w:rPr>
        <w:t xml:space="preserve"> </w:t>
      </w:r>
      <w:bookmarkStart w:id="110" w:name="_Hlk157458454"/>
      <w:r w:rsidRPr="00A540F8">
        <w:rPr>
          <w:lang w:val="fr-FR"/>
        </w:rPr>
        <w:t>Nunez/</w:t>
      </w:r>
      <w:proofErr w:type="spellStart"/>
      <w:r w:rsidRPr="00A540F8">
        <w:rPr>
          <w:lang w:val="fr-FR"/>
        </w:rPr>
        <w:t>Quitzow</w:t>
      </w:r>
      <w:proofErr w:type="spellEnd"/>
      <w:r w:rsidRPr="00A540F8">
        <w:rPr>
          <w:lang w:val="fr-FR"/>
        </w:rPr>
        <w:t xml:space="preserve"> 2023.</w:t>
      </w:r>
    </w:p>
    <w:bookmarkEnd w:id="110"/>
  </w:footnote>
  <w:footnote w:id="1983">
    <w:p w14:paraId="243A9BB6" w14:textId="77777777" w:rsidR="00112190" w:rsidRPr="00F769C8" w:rsidRDefault="00112190" w:rsidP="00112190">
      <w:pPr>
        <w:pStyle w:val="Funotentext"/>
        <w:rPr>
          <w:lang w:val="en-US"/>
        </w:rPr>
      </w:pPr>
      <w:r>
        <w:rPr>
          <w:rStyle w:val="Funotenzeichen"/>
        </w:rPr>
        <w:footnoteRef/>
      </w:r>
      <w:r w:rsidRPr="00F769C8">
        <w:rPr>
          <w:lang w:val="en-US"/>
        </w:rPr>
        <w:t xml:space="preserve"> Koch 2022. </w:t>
      </w:r>
    </w:p>
  </w:footnote>
  <w:footnote w:id="1984">
    <w:p w14:paraId="1F2FEB5A" w14:textId="77777777" w:rsidR="00ED52FA" w:rsidRDefault="00ED52FA" w:rsidP="00ED52FA">
      <w:pPr>
        <w:pStyle w:val="Funotentext"/>
      </w:pPr>
      <w:r>
        <w:rPr>
          <w:rStyle w:val="Funotenzeichen"/>
        </w:rPr>
        <w:footnoteRef/>
      </w:r>
      <w:r w:rsidRPr="00F769C8">
        <w:rPr>
          <w:lang w:val="en-US"/>
        </w:rPr>
        <w:t xml:space="preserve"> Boris Alex. </w:t>
      </w:r>
      <w:r>
        <w:t xml:space="preserve">Branchenstruktur, 05.12.2022, GTAI, siehe: </w:t>
      </w:r>
      <w:hyperlink r:id="rId1462" w:history="1">
        <w:r w:rsidRPr="00530E42">
          <w:rPr>
            <w:rStyle w:val="Hyperlink"/>
          </w:rPr>
          <w:t>https://www.gtai.de/de/trade/indien/branchen/branchenstruktur-537346</w:t>
        </w:r>
      </w:hyperlink>
      <w:r>
        <w:t xml:space="preserve"> - Zugegriffen: 22.04.2025.</w:t>
      </w:r>
    </w:p>
  </w:footnote>
  <w:footnote w:id="1985">
    <w:p w14:paraId="0C64A055" w14:textId="77777777" w:rsidR="00ED52FA" w:rsidRDefault="00ED52FA" w:rsidP="00ED52FA">
      <w:pPr>
        <w:pStyle w:val="Funotentext"/>
      </w:pPr>
      <w:r>
        <w:rPr>
          <w:rStyle w:val="Funotenzeichen"/>
        </w:rPr>
        <w:footnoteRef/>
      </w:r>
      <w:r>
        <w:t xml:space="preserve"> Siehe: </w:t>
      </w:r>
      <w:hyperlink r:id="rId1463" w:history="1">
        <w:r w:rsidRPr="00530E42">
          <w:rPr>
            <w:rStyle w:val="Hyperlink"/>
          </w:rPr>
          <w:t>https://www.gtai.de/de/trade/indien/branchen/branchenstruktur-537346</w:t>
        </w:r>
      </w:hyperlink>
      <w:r>
        <w:t xml:space="preserve"> - Zugegriffen: 22.04.2025.</w:t>
      </w:r>
    </w:p>
  </w:footnote>
  <w:footnote w:id="1986">
    <w:p w14:paraId="0B679F0B" w14:textId="77777777" w:rsidR="00ED52FA" w:rsidRDefault="00ED52FA" w:rsidP="00ED52FA">
      <w:pPr>
        <w:pStyle w:val="Funotentext"/>
      </w:pPr>
      <w:r>
        <w:rPr>
          <w:rStyle w:val="Funotenzeichen"/>
        </w:rPr>
        <w:footnoteRef/>
      </w:r>
      <w:r>
        <w:t xml:space="preserve"> Siehe: </w:t>
      </w:r>
      <w:hyperlink r:id="rId1464" w:history="1">
        <w:r w:rsidRPr="00530E42">
          <w:rPr>
            <w:rStyle w:val="Hyperlink"/>
          </w:rPr>
          <w:t>https://www.gtai.de/de/trade/indien/branchen/branchenstruktur-537346</w:t>
        </w:r>
      </w:hyperlink>
      <w:r>
        <w:t xml:space="preserve"> - Zugegriffen: 22.04.2025.</w:t>
      </w:r>
    </w:p>
  </w:footnote>
  <w:footnote w:id="1987">
    <w:p w14:paraId="214D2B62" w14:textId="77777777" w:rsidR="00ED52FA" w:rsidRDefault="00ED52FA" w:rsidP="00ED52FA">
      <w:pPr>
        <w:pStyle w:val="Funotentext"/>
      </w:pPr>
      <w:r>
        <w:rPr>
          <w:rStyle w:val="Funotenzeichen"/>
        </w:rPr>
        <w:footnoteRef/>
      </w:r>
      <w:r>
        <w:t xml:space="preserve"> S. 4-10, siehe: Brasilien On- und Offshore-Windenergie, August 2023. Siehe: </w:t>
      </w:r>
      <w:hyperlink r:id="rId1465" w:history="1">
        <w:r w:rsidRPr="00530E42">
          <w:rPr>
            <w:rStyle w:val="Hyperlink"/>
          </w:rPr>
          <w:t>https://www.german-energy-solutions.de/GES/Redaktion/DE/Publikationen/Marktanalysen/2023/zma-brasilien.pdf?__blob=publicationFile&amp;v=2</w:t>
        </w:r>
      </w:hyperlink>
      <w:r>
        <w:t xml:space="preserve"> – Zugegriffen: 22.04.2025.</w:t>
      </w:r>
    </w:p>
  </w:footnote>
  <w:footnote w:id="1988">
    <w:p w14:paraId="288625E5" w14:textId="77777777" w:rsidR="00ED52FA" w:rsidRDefault="00ED52FA" w:rsidP="00ED52FA">
      <w:pPr>
        <w:pStyle w:val="Funotentext"/>
      </w:pPr>
      <w:r>
        <w:rPr>
          <w:rStyle w:val="Funotenzeichen"/>
        </w:rPr>
        <w:footnoteRef/>
      </w:r>
      <w:r>
        <w:t xml:space="preserve"> S. 13, siehe: Brasilien On- und Offshore-Windenergie, August 2023. Siehe: </w:t>
      </w:r>
      <w:hyperlink r:id="rId1466" w:history="1">
        <w:r w:rsidRPr="00530E42">
          <w:rPr>
            <w:rStyle w:val="Hyperlink"/>
          </w:rPr>
          <w:t>https://www.german-energy-solutions.de/GES/Redaktion/DE/Publikationen/Marktanalysen/2023/zma-brasilien.pdf?__blob=publicationFile&amp;v=2</w:t>
        </w:r>
      </w:hyperlink>
      <w:r>
        <w:t xml:space="preserve"> – Zugegriffen: 22.04.2025.</w:t>
      </w:r>
    </w:p>
  </w:footnote>
  <w:footnote w:id="1989">
    <w:p w14:paraId="3D688D1F" w14:textId="77777777" w:rsidR="00ED52FA" w:rsidRDefault="00ED52FA" w:rsidP="00ED52FA">
      <w:pPr>
        <w:pStyle w:val="Funotentext"/>
      </w:pPr>
      <w:r>
        <w:rPr>
          <w:rStyle w:val="Funotenzeichen"/>
        </w:rPr>
        <w:footnoteRef/>
      </w:r>
      <w:r>
        <w:t xml:space="preserve"> Siehe: </w:t>
      </w:r>
      <w:hyperlink r:id="rId1467" w:history="1">
        <w:r w:rsidRPr="00530E42">
          <w:rPr>
            <w:rStyle w:val="Hyperlink"/>
          </w:rPr>
          <w:t>https://shop.profec-ventus.com/product_info.php?language=de&amp;info=p423_windcube-lidar-mietservice--monthly-.html</w:t>
        </w:r>
      </w:hyperlink>
      <w:r>
        <w:t xml:space="preserve"> – Zugegriffen: 22.04.2025. </w:t>
      </w:r>
    </w:p>
  </w:footnote>
  <w:footnote w:id="1990">
    <w:p w14:paraId="01268DC8" w14:textId="77777777" w:rsidR="00E9298D" w:rsidRPr="000E63C3" w:rsidRDefault="00E9298D" w:rsidP="00E9298D">
      <w:pPr>
        <w:pStyle w:val="Funotentext"/>
      </w:pPr>
      <w:r>
        <w:rPr>
          <w:rStyle w:val="Funotenzeichen"/>
        </w:rPr>
        <w:footnoteRef/>
      </w:r>
      <w:r w:rsidRPr="000E63C3">
        <w:rPr>
          <w:lang w:val="en-GB"/>
        </w:rPr>
        <w:t xml:space="preserve"> Roadmap to Increase Investment in Clean Energy in Developing Countri</w:t>
      </w:r>
      <w:r>
        <w:rPr>
          <w:lang w:val="en-GB"/>
        </w:rPr>
        <w:t>e</w:t>
      </w:r>
      <w:r w:rsidRPr="000E63C3">
        <w:rPr>
          <w:lang w:val="en-GB"/>
        </w:rPr>
        <w:t>s</w:t>
      </w:r>
      <w:r>
        <w:rPr>
          <w:lang w:val="en-GB"/>
        </w:rPr>
        <w:t xml:space="preserve"> 2024, </w:t>
      </w:r>
      <w:proofErr w:type="spellStart"/>
      <w:r>
        <w:rPr>
          <w:lang w:val="en-GB"/>
        </w:rPr>
        <w:t>siehe</w:t>
      </w:r>
      <w:proofErr w:type="spellEnd"/>
      <w:r>
        <w:rPr>
          <w:lang w:val="en-GB"/>
        </w:rPr>
        <w:t xml:space="preserve"> S. 5. </w:t>
      </w:r>
      <w:r>
        <w:t xml:space="preserve">Zu finden in: </w:t>
      </w:r>
      <w:hyperlink r:id="rId1468" w:history="1">
        <w:r w:rsidRPr="004778A0">
          <w:rPr>
            <w:rStyle w:val="Hyperlink"/>
          </w:rPr>
          <w:t>https://iea.blob.core.windows.net/assets/6ac243a9-247b-4b79-bc01-0e7730434118/RoadmaptoIncreaseInvestmentinCleanEnergyinDevelopingCountriesaninitiativebytheG20BrazilPresidency.pdf</w:t>
        </w:r>
      </w:hyperlink>
      <w:r>
        <w:t xml:space="preserve"> - Zugegriffen: 18.04.2025. </w:t>
      </w:r>
    </w:p>
  </w:footnote>
  <w:footnote w:id="1991">
    <w:p w14:paraId="3F19D6D2" w14:textId="77777777" w:rsidR="00E9298D" w:rsidRPr="000E63C3" w:rsidRDefault="00E9298D" w:rsidP="00E9298D">
      <w:pPr>
        <w:pStyle w:val="Funotentext"/>
        <w:rPr>
          <w:lang w:val="en-GB"/>
        </w:rPr>
      </w:pPr>
      <w:r>
        <w:rPr>
          <w:rStyle w:val="Funotenzeichen"/>
        </w:rPr>
        <w:footnoteRef/>
      </w:r>
      <w:r w:rsidRPr="000E63C3">
        <w:rPr>
          <w:lang w:val="en-GB"/>
        </w:rPr>
        <w:t xml:space="preserve"> Roadmap to Increase Investment in Clean Energy in Developing Countri</w:t>
      </w:r>
      <w:r>
        <w:rPr>
          <w:lang w:val="en-GB"/>
        </w:rPr>
        <w:t>e</w:t>
      </w:r>
      <w:r w:rsidRPr="000E63C3">
        <w:rPr>
          <w:lang w:val="en-GB"/>
        </w:rPr>
        <w:t>s</w:t>
      </w:r>
      <w:r>
        <w:rPr>
          <w:lang w:val="en-GB"/>
        </w:rPr>
        <w:t xml:space="preserve"> 2024:</w:t>
      </w:r>
      <w:r w:rsidRPr="000E63C3">
        <w:rPr>
          <w:lang w:val="en-GB"/>
        </w:rPr>
        <w:t xml:space="preserve"> 47</w:t>
      </w:r>
      <w:r>
        <w:rPr>
          <w:lang w:val="en-GB"/>
        </w:rPr>
        <w:t>.</w:t>
      </w:r>
      <w:r w:rsidRPr="000E63C3">
        <w:rPr>
          <w:lang w:val="en-GB"/>
        </w:rPr>
        <w:t xml:space="preserve"> </w:t>
      </w:r>
    </w:p>
  </w:footnote>
  <w:footnote w:id="1992">
    <w:p w14:paraId="5D5313B9" w14:textId="77777777" w:rsidR="00E9298D" w:rsidRPr="000E63C3" w:rsidRDefault="00E9298D" w:rsidP="00E9298D">
      <w:pPr>
        <w:pStyle w:val="Funotentext"/>
        <w:rPr>
          <w:lang w:val="en-GB"/>
        </w:rPr>
      </w:pPr>
      <w:r>
        <w:rPr>
          <w:rStyle w:val="Funotenzeichen"/>
        </w:rPr>
        <w:footnoteRef/>
      </w:r>
      <w:r w:rsidRPr="000E63C3">
        <w:rPr>
          <w:lang w:val="en-GB"/>
        </w:rPr>
        <w:t xml:space="preserve"> „Starting with the Brazilian case, Brazil’s national development bank (NDB), the BNDES</w:t>
      </w:r>
      <w:r>
        <w:rPr>
          <w:lang w:val="en-GB"/>
        </w:rPr>
        <w:t xml:space="preserve"> </w:t>
      </w:r>
      <w:r w:rsidRPr="000E63C3">
        <w:rPr>
          <w:lang w:val="en-GB"/>
        </w:rPr>
        <w:t>(Brazil’s main federal source of development finance), played a major initial role in providing</w:t>
      </w:r>
      <w:r>
        <w:rPr>
          <w:lang w:val="en-GB"/>
        </w:rPr>
        <w:t xml:space="preserve"> </w:t>
      </w:r>
      <w:r w:rsidRPr="000E63C3">
        <w:rPr>
          <w:lang w:val="en-GB"/>
        </w:rPr>
        <w:t>low-cost and long-term debt to projects. However, solar and wind power markets matured as</w:t>
      </w:r>
      <w:r>
        <w:rPr>
          <w:lang w:val="en-GB"/>
        </w:rPr>
        <w:t xml:space="preserve"> </w:t>
      </w:r>
      <w:r w:rsidRPr="000E63C3">
        <w:rPr>
          <w:lang w:val="en-GB"/>
        </w:rPr>
        <w:t>regulation improved, commercial banks became more comfortable and better at financing</w:t>
      </w:r>
      <w:r>
        <w:rPr>
          <w:lang w:val="en-GB"/>
        </w:rPr>
        <w:t xml:space="preserve"> </w:t>
      </w:r>
      <w:r w:rsidRPr="000E63C3">
        <w:rPr>
          <w:lang w:val="en-GB"/>
        </w:rPr>
        <w:t>these projects, and developers became more well-known and experienced and equity</w:t>
      </w:r>
      <w:r>
        <w:rPr>
          <w:lang w:val="en-GB"/>
        </w:rPr>
        <w:t xml:space="preserve"> </w:t>
      </w:r>
      <w:r w:rsidRPr="000E63C3">
        <w:rPr>
          <w:lang w:val="en-GB"/>
        </w:rPr>
        <w:t>investors more interested. This shifted the role of the NDB from direct finance to catalysing</w:t>
      </w:r>
      <w:r>
        <w:rPr>
          <w:lang w:val="en-GB"/>
        </w:rPr>
        <w:t xml:space="preserve"> </w:t>
      </w:r>
      <w:r w:rsidRPr="000E63C3">
        <w:rPr>
          <w:lang w:val="en-GB"/>
        </w:rPr>
        <w:t>projects.</w:t>
      </w:r>
      <w:r>
        <w:rPr>
          <w:lang w:val="en-GB"/>
        </w:rPr>
        <w:t xml:space="preserve"> </w:t>
      </w:r>
      <w:r w:rsidRPr="000E63C3">
        <w:rPr>
          <w:lang w:val="en-GB"/>
        </w:rPr>
        <w:t>In 2017, the BNDES adopted a new financing strategy to gradually bring its</w:t>
      </w:r>
      <w:r>
        <w:rPr>
          <w:lang w:val="en-GB"/>
        </w:rPr>
        <w:t xml:space="preserve"> </w:t>
      </w:r>
      <w:r w:rsidRPr="000E63C3">
        <w:rPr>
          <w:lang w:val="en-GB"/>
        </w:rPr>
        <w:t>concessional rate towards a market-based long-term rate. At the same time, bonds became</w:t>
      </w:r>
      <w:r>
        <w:rPr>
          <w:lang w:val="en-GB"/>
        </w:rPr>
        <w:t xml:space="preserve"> </w:t>
      </w:r>
      <w:r w:rsidRPr="000E63C3">
        <w:rPr>
          <w:lang w:val="en-GB"/>
        </w:rPr>
        <w:t>increasingly more popular to finance renewable power, commercial sources of capital</w:t>
      </w:r>
      <w:r>
        <w:rPr>
          <w:lang w:val="en-GB"/>
        </w:rPr>
        <w:t xml:space="preserve"> </w:t>
      </w:r>
      <w:r w:rsidRPr="000E63C3">
        <w:rPr>
          <w:lang w:val="en-GB"/>
        </w:rPr>
        <w:t>became the norm and companies tapped more into the capital market.</w:t>
      </w:r>
      <w:r>
        <w:rPr>
          <w:lang w:val="en-GB"/>
        </w:rPr>
        <w:t xml:space="preserve"> </w:t>
      </w:r>
      <w:r w:rsidRPr="000E63C3">
        <w:rPr>
          <w:lang w:val="en-GB"/>
        </w:rPr>
        <w:t>The</w:t>
      </w:r>
      <w:r>
        <w:rPr>
          <w:lang w:val="en-GB"/>
        </w:rPr>
        <w:t xml:space="preserve"> </w:t>
      </w:r>
      <w:r w:rsidRPr="000E63C3">
        <w:rPr>
          <w:lang w:val="en-GB"/>
        </w:rPr>
        <w:t>adoption of green finance policies and practices, complemented by fiscal incentives, also</w:t>
      </w:r>
      <w:r>
        <w:rPr>
          <w:lang w:val="en-GB"/>
        </w:rPr>
        <w:t xml:space="preserve"> </w:t>
      </w:r>
      <w:r w:rsidRPr="000E63C3">
        <w:rPr>
          <w:lang w:val="en-GB"/>
        </w:rPr>
        <w:t>helped grow the green infrastructure market. For instance, beginning in 2012, the Brazilian</w:t>
      </w:r>
      <w:r>
        <w:rPr>
          <w:lang w:val="en-GB"/>
        </w:rPr>
        <w:t xml:space="preserve"> </w:t>
      </w:r>
      <w:r w:rsidRPr="000E63C3">
        <w:rPr>
          <w:lang w:val="en-GB"/>
        </w:rPr>
        <w:t>government and other important actors developed various key green finance initiatives,</w:t>
      </w:r>
      <w:r>
        <w:rPr>
          <w:lang w:val="en-GB"/>
        </w:rPr>
        <w:t xml:space="preserve"> </w:t>
      </w:r>
      <w:r w:rsidRPr="000E63C3">
        <w:rPr>
          <w:lang w:val="en-GB"/>
        </w:rPr>
        <w:t>including Brazil’s Green Bond Guidelines in 2016, increased visibility for green bonds through</w:t>
      </w:r>
      <w:r>
        <w:rPr>
          <w:lang w:val="en-GB"/>
        </w:rPr>
        <w:t xml:space="preserve"> </w:t>
      </w:r>
      <w:r w:rsidRPr="000E63C3">
        <w:rPr>
          <w:lang w:val="en-GB"/>
        </w:rPr>
        <w:t>a separate listing by Brazil’s largest stock exchange and a proposed fast track for sustainable</w:t>
      </w:r>
      <w:r>
        <w:rPr>
          <w:lang w:val="en-GB"/>
        </w:rPr>
        <w:t xml:space="preserve"> </w:t>
      </w:r>
      <w:r w:rsidRPr="000E63C3">
        <w:rPr>
          <w:lang w:val="en-GB"/>
        </w:rPr>
        <w:t>infrastructure debentures. Infrastructure debentures, a form of debt, are highly utilised in</w:t>
      </w:r>
      <w:r>
        <w:rPr>
          <w:lang w:val="en-GB"/>
        </w:rPr>
        <w:t xml:space="preserve"> </w:t>
      </w:r>
      <w:r w:rsidRPr="000E63C3">
        <w:rPr>
          <w:lang w:val="en-GB"/>
        </w:rPr>
        <w:t>Brazil.</w:t>
      </w:r>
      <w:r>
        <w:rPr>
          <w:lang w:val="en-GB"/>
        </w:rPr>
        <w:t xml:space="preserve"> </w:t>
      </w:r>
      <w:r w:rsidRPr="000E63C3">
        <w:rPr>
          <w:lang w:val="en-GB"/>
        </w:rPr>
        <w:t>The government also promoted income-tax free debentures for individual investors,</w:t>
      </w:r>
      <w:r>
        <w:rPr>
          <w:lang w:val="en-GB"/>
        </w:rPr>
        <w:t xml:space="preserve"> </w:t>
      </w:r>
      <w:r w:rsidRPr="000E63C3">
        <w:rPr>
          <w:lang w:val="en-GB"/>
        </w:rPr>
        <w:t>making this instrument very attractive for retail investors. The Action Plan for the Brazilian</w:t>
      </w:r>
      <w:r>
        <w:rPr>
          <w:lang w:val="en-GB"/>
        </w:rPr>
        <w:t xml:space="preserve"> </w:t>
      </w:r>
      <w:r w:rsidRPr="000E63C3">
        <w:rPr>
          <w:lang w:val="en-GB"/>
        </w:rPr>
        <w:t>Sustainable Taxonomy was launched in December 2023 at COP 28, and a first version of the</w:t>
      </w:r>
      <w:r>
        <w:rPr>
          <w:lang w:val="en-GB"/>
        </w:rPr>
        <w:t xml:space="preserve"> </w:t>
      </w:r>
      <w:r w:rsidRPr="000E63C3">
        <w:rPr>
          <w:lang w:val="en-GB"/>
        </w:rPr>
        <w:t>final taxonomy will be presented for consultation at COP 29 in 2024. By the end of 2023,</w:t>
      </w:r>
      <w:r>
        <w:rPr>
          <w:lang w:val="en-GB"/>
        </w:rPr>
        <w:t xml:space="preserve"> </w:t>
      </w:r>
      <w:r w:rsidRPr="000E63C3">
        <w:rPr>
          <w:lang w:val="en-GB"/>
        </w:rPr>
        <w:t>almost USD 37 billion of green debt had been issued in Brazil</w:t>
      </w:r>
      <w:r>
        <w:rPr>
          <w:lang w:val="en-GB"/>
        </w:rPr>
        <w:t xml:space="preserve">.” </w:t>
      </w:r>
      <w:r w:rsidRPr="000E63C3">
        <w:rPr>
          <w:lang w:val="en-GB"/>
        </w:rPr>
        <w:t>Roadmap to Increase Investment in Clean Energy in Developing Countri</w:t>
      </w:r>
      <w:r>
        <w:rPr>
          <w:lang w:val="en-GB"/>
        </w:rPr>
        <w:t>e</w:t>
      </w:r>
      <w:r w:rsidRPr="000E63C3">
        <w:rPr>
          <w:lang w:val="en-GB"/>
        </w:rPr>
        <w:t>s</w:t>
      </w:r>
      <w:r>
        <w:rPr>
          <w:lang w:val="en-GB"/>
        </w:rPr>
        <w:t xml:space="preserve"> 2024: 48.</w:t>
      </w:r>
      <w:r w:rsidRPr="000E63C3">
        <w:rPr>
          <w:lang w:val="en-GB"/>
        </w:rPr>
        <w:t xml:space="preserve"> </w:t>
      </w:r>
    </w:p>
  </w:footnote>
  <w:footnote w:id="1993">
    <w:p w14:paraId="572898EA" w14:textId="77777777" w:rsidR="00E9298D" w:rsidRDefault="00E9298D" w:rsidP="00E9298D">
      <w:pPr>
        <w:pStyle w:val="Funotentext"/>
      </w:pPr>
      <w:r>
        <w:rPr>
          <w:rStyle w:val="Funotenzeichen"/>
        </w:rPr>
        <w:footnoteRef/>
      </w:r>
      <w:r>
        <w:t xml:space="preserve"> Siehe: </w:t>
      </w:r>
      <w:hyperlink r:id="rId1469" w:history="1">
        <w:r w:rsidRPr="004778A0">
          <w:rPr>
            <w:rStyle w:val="Hyperlink"/>
          </w:rPr>
          <w:t>https://www.alterra.ae/</w:t>
        </w:r>
      </w:hyperlink>
      <w:r>
        <w:t xml:space="preserve"> - Zugegriffen: 18.04.2025. </w:t>
      </w:r>
    </w:p>
  </w:footnote>
  <w:footnote w:id="1994">
    <w:p w14:paraId="4B7F3AC0" w14:textId="77777777" w:rsidR="00E9298D" w:rsidRPr="00C43568" w:rsidRDefault="00E9298D" w:rsidP="00E9298D">
      <w:pPr>
        <w:pStyle w:val="Funotentext"/>
        <w:rPr>
          <w:lang w:val="en-GB"/>
        </w:rPr>
      </w:pPr>
      <w:r>
        <w:rPr>
          <w:rStyle w:val="Funotenzeichen"/>
        </w:rPr>
        <w:footnoteRef/>
      </w:r>
      <w:r w:rsidRPr="00C43568">
        <w:rPr>
          <w:lang w:val="en-GB"/>
        </w:rPr>
        <w:t xml:space="preserve"> </w:t>
      </w:r>
      <w:proofErr w:type="spellStart"/>
      <w:r w:rsidRPr="00C43568">
        <w:rPr>
          <w:lang w:val="en-GB"/>
        </w:rPr>
        <w:t>Siehe</w:t>
      </w:r>
      <w:proofErr w:type="spellEnd"/>
      <w:r w:rsidRPr="00C43568">
        <w:rPr>
          <w:lang w:val="en-GB"/>
        </w:rPr>
        <w:t xml:space="preserve">: </w:t>
      </w:r>
      <w:hyperlink r:id="rId1470" w:history="1">
        <w:r w:rsidRPr="00C43568">
          <w:rPr>
            <w:rStyle w:val="Hyperlink"/>
            <w:lang w:val="en-GB"/>
          </w:rPr>
          <w:t>https://therisefund.com/tpgriseclimate</w:t>
        </w:r>
      </w:hyperlink>
      <w:r w:rsidRPr="00C43568">
        <w:rPr>
          <w:lang w:val="en-GB"/>
        </w:rPr>
        <w:t xml:space="preserve"> </w:t>
      </w:r>
    </w:p>
  </w:footnote>
  <w:footnote w:id="1995">
    <w:p w14:paraId="6AFDA73F" w14:textId="77777777" w:rsidR="00E9298D" w:rsidRDefault="00E9298D" w:rsidP="00E9298D">
      <w:pPr>
        <w:pStyle w:val="Funotentext"/>
      </w:pPr>
      <w:r>
        <w:rPr>
          <w:rStyle w:val="Funotenzeichen"/>
        </w:rPr>
        <w:footnoteRef/>
      </w:r>
      <w:r w:rsidRPr="00C43568">
        <w:rPr>
          <w:lang w:val="en-GB"/>
        </w:rPr>
        <w:t xml:space="preserve"> „TPG has driven over $4 billion of investment in over 20 climate companies across nearly 20 countries in the Global South. Existing TPG Rise portfolio companies are conserving 6 million acres of wilderness through ecotourism across eight countries in Africa, delivering over 300 megawatts of renewable power in Chile, and leading passenger electric vehicle adoption in India.“ </w:t>
      </w:r>
      <w:r>
        <w:t xml:space="preserve">Siehe: </w:t>
      </w:r>
      <w:hyperlink r:id="rId1471" w:history="1">
        <w:r w:rsidRPr="004778A0">
          <w:rPr>
            <w:rStyle w:val="Hyperlink"/>
          </w:rPr>
          <w:t>https://www.alterra.ae/news/tpg-announces-initial-1-25-billion-for-global-south-initiative-anchored-by-alterra</w:t>
        </w:r>
      </w:hyperlink>
      <w:r>
        <w:t xml:space="preserve"> - Zugegriffen: 18.04.2025.</w:t>
      </w:r>
    </w:p>
  </w:footnote>
  <w:footnote w:id="1996">
    <w:p w14:paraId="20061160" w14:textId="77777777" w:rsidR="00E9298D" w:rsidRDefault="00E9298D" w:rsidP="00E9298D">
      <w:pPr>
        <w:pStyle w:val="Funotentext"/>
      </w:pPr>
      <w:r>
        <w:rPr>
          <w:rStyle w:val="Funotenzeichen"/>
        </w:rPr>
        <w:footnoteRef/>
      </w:r>
      <w:r>
        <w:t xml:space="preserve"> Siehe: </w:t>
      </w:r>
      <w:hyperlink r:id="rId1472" w:history="1">
        <w:r w:rsidRPr="004778A0">
          <w:rPr>
            <w:rStyle w:val="Hyperlink"/>
          </w:rPr>
          <w:t>https://www.blackrock.com/ch/individual/en/products/325351/blackrock-climate-transition-multi-asset-fund</w:t>
        </w:r>
      </w:hyperlink>
      <w:r>
        <w:t xml:space="preserve"> </w:t>
      </w:r>
    </w:p>
  </w:footnote>
  <w:footnote w:id="1997">
    <w:p w14:paraId="23D56286" w14:textId="77777777" w:rsidR="00E9298D" w:rsidRDefault="00E9298D" w:rsidP="00E9298D">
      <w:pPr>
        <w:pStyle w:val="Funotentext"/>
      </w:pPr>
      <w:r>
        <w:rPr>
          <w:rStyle w:val="Funotenzeichen"/>
        </w:rPr>
        <w:footnoteRef/>
      </w:r>
      <w:r w:rsidRPr="00C43568">
        <w:rPr>
          <w:lang w:val="en-GB"/>
        </w:rPr>
        <w:t xml:space="preserve"> „BlackRock has made more than 130 private markets transition investments in over 20 countries, including in emerging markets across Asia, Africa, Latin </w:t>
      </w:r>
      <w:proofErr w:type="gramStart"/>
      <w:r w:rsidRPr="00C43568">
        <w:rPr>
          <w:lang w:val="en-GB"/>
        </w:rPr>
        <w:t>America</w:t>
      </w:r>
      <w:proofErr w:type="gramEnd"/>
      <w:r w:rsidRPr="00C43568">
        <w:rPr>
          <w:lang w:val="en-GB"/>
        </w:rPr>
        <w:t xml:space="preserve"> and the Middle East. These include investments made by CFP into the largest onshore wind farm in Africa, an independent power producer and renewable electricity developer in the Philippines, an operator and developer of </w:t>
      </w:r>
      <w:proofErr w:type="spellStart"/>
      <w:r w:rsidRPr="00C43568">
        <w:rPr>
          <w:lang w:val="en-GB"/>
        </w:rPr>
        <w:t>solarPV</w:t>
      </w:r>
      <w:proofErr w:type="spellEnd"/>
      <w:r w:rsidRPr="00C43568">
        <w:rPr>
          <w:lang w:val="en-GB"/>
        </w:rPr>
        <w:t xml:space="preserve"> power projects in Thailand, and a distributed solar developer and energy company in Brazil, with a combined pipeline of 4 GW of renewable capacity.</w:t>
      </w:r>
      <w:r>
        <w:rPr>
          <w:lang w:val="en-GB"/>
        </w:rPr>
        <w:t>”</w:t>
      </w:r>
      <w:r w:rsidRPr="00C43568">
        <w:rPr>
          <w:lang w:val="en-GB"/>
        </w:rPr>
        <w:t xml:space="preserve"> </w:t>
      </w:r>
      <w:r>
        <w:t xml:space="preserve">Siehe: </w:t>
      </w:r>
      <w:hyperlink r:id="rId1473" w:history="1">
        <w:r w:rsidRPr="004778A0">
          <w:rPr>
            <w:rStyle w:val="Hyperlink"/>
          </w:rPr>
          <w:t>https://www.alterra.ae/news/alterra-partners-with-blackrock-and-awards-mandate-to-invest-us-2-billion-in-climate-transition-projects</w:t>
        </w:r>
      </w:hyperlink>
      <w:r>
        <w:t xml:space="preserve"> - Zugegriffen: 18.04.2025.</w:t>
      </w:r>
    </w:p>
  </w:footnote>
  <w:footnote w:id="1998">
    <w:p w14:paraId="4C316F91" w14:textId="77777777" w:rsidR="00E9298D" w:rsidRPr="00C95AB5" w:rsidRDefault="00E9298D" w:rsidP="00E9298D">
      <w:pPr>
        <w:pStyle w:val="Funotentext"/>
        <w:rPr>
          <w:lang w:val="en-GB"/>
        </w:rPr>
      </w:pPr>
      <w:r>
        <w:rPr>
          <w:rStyle w:val="Funotenzeichen"/>
        </w:rPr>
        <w:footnoteRef/>
      </w:r>
      <w:r w:rsidRPr="00C95AB5">
        <w:rPr>
          <w:lang w:val="en-GB"/>
        </w:rPr>
        <w:t xml:space="preserve"> </w:t>
      </w:r>
      <w:r w:rsidRPr="000E63C3">
        <w:rPr>
          <w:lang w:val="en-GB"/>
        </w:rPr>
        <w:t>Roadmap to Increase Investment in Clean Energy in Developing Countri</w:t>
      </w:r>
      <w:r>
        <w:rPr>
          <w:lang w:val="en-GB"/>
        </w:rPr>
        <w:t>e</w:t>
      </w:r>
      <w:r w:rsidRPr="000E63C3">
        <w:rPr>
          <w:lang w:val="en-GB"/>
        </w:rPr>
        <w:t>s</w:t>
      </w:r>
      <w:r>
        <w:rPr>
          <w:lang w:val="en-GB"/>
        </w:rPr>
        <w:t xml:space="preserve"> 2024: 61.</w:t>
      </w:r>
    </w:p>
  </w:footnote>
  <w:footnote w:id="1999">
    <w:p w14:paraId="1F91F30E" w14:textId="77777777" w:rsidR="00E9298D" w:rsidRPr="00C95AB5" w:rsidRDefault="00E9298D" w:rsidP="00E9298D">
      <w:pPr>
        <w:pStyle w:val="Funotentext"/>
        <w:rPr>
          <w:lang w:val="en-GB"/>
        </w:rPr>
      </w:pPr>
      <w:r>
        <w:rPr>
          <w:rStyle w:val="Funotenzeichen"/>
        </w:rPr>
        <w:footnoteRef/>
      </w:r>
      <w:r w:rsidRPr="00C95AB5">
        <w:rPr>
          <w:lang w:val="en-GB"/>
        </w:rPr>
        <w:t xml:space="preserve"> </w:t>
      </w:r>
      <w:r w:rsidRPr="000E63C3">
        <w:rPr>
          <w:lang w:val="en-GB"/>
        </w:rPr>
        <w:t>Roadmap to Increase Investment in Clean Energy in Developing Countri</w:t>
      </w:r>
      <w:r>
        <w:rPr>
          <w:lang w:val="en-GB"/>
        </w:rPr>
        <w:t>e</w:t>
      </w:r>
      <w:r w:rsidRPr="000E63C3">
        <w:rPr>
          <w:lang w:val="en-GB"/>
        </w:rPr>
        <w:t>s</w:t>
      </w:r>
      <w:r>
        <w:rPr>
          <w:lang w:val="en-GB"/>
        </w:rPr>
        <w:t xml:space="preserve"> 2024: 61.</w:t>
      </w:r>
    </w:p>
  </w:footnote>
  <w:footnote w:id="2000">
    <w:p w14:paraId="3D2630B6" w14:textId="77777777" w:rsidR="00E9298D" w:rsidRPr="00487EA4" w:rsidRDefault="00E9298D" w:rsidP="00E9298D">
      <w:pPr>
        <w:pStyle w:val="Funotentext"/>
        <w:rPr>
          <w:lang w:val="en-GB"/>
        </w:rPr>
      </w:pPr>
      <w:r>
        <w:rPr>
          <w:rStyle w:val="Funotenzeichen"/>
        </w:rPr>
        <w:footnoteRef/>
      </w:r>
      <w:r w:rsidRPr="00487EA4">
        <w:rPr>
          <w:lang w:val="en-GB"/>
        </w:rPr>
        <w:t xml:space="preserve"> </w:t>
      </w:r>
      <w:r w:rsidRPr="000E63C3">
        <w:rPr>
          <w:lang w:val="en-GB"/>
        </w:rPr>
        <w:t>Roadmap to Increase Investment in Clean Energy in Developing Countri</w:t>
      </w:r>
      <w:r>
        <w:rPr>
          <w:lang w:val="en-GB"/>
        </w:rPr>
        <w:t>e</w:t>
      </w:r>
      <w:r w:rsidRPr="000E63C3">
        <w:rPr>
          <w:lang w:val="en-GB"/>
        </w:rPr>
        <w:t>s</w:t>
      </w:r>
      <w:r>
        <w:rPr>
          <w:lang w:val="en-GB"/>
        </w:rPr>
        <w:t xml:space="preserve"> 2024: 62-63.</w:t>
      </w:r>
    </w:p>
  </w:footnote>
  <w:footnote w:id="2001">
    <w:p w14:paraId="7D277AAC" w14:textId="77777777" w:rsidR="00E9298D" w:rsidRPr="00487EA4" w:rsidRDefault="00E9298D" w:rsidP="00E9298D">
      <w:pPr>
        <w:pStyle w:val="Funotentext"/>
        <w:rPr>
          <w:lang w:val="en-GB"/>
        </w:rPr>
      </w:pPr>
      <w:r>
        <w:rPr>
          <w:rStyle w:val="Funotenzeichen"/>
        </w:rPr>
        <w:footnoteRef/>
      </w:r>
      <w:r w:rsidRPr="00487EA4">
        <w:rPr>
          <w:lang w:val="en-GB"/>
        </w:rPr>
        <w:t xml:space="preserve"> </w:t>
      </w:r>
      <w:r w:rsidRPr="000E63C3">
        <w:rPr>
          <w:lang w:val="en-GB"/>
        </w:rPr>
        <w:t>Roadmap to Increase Investment in Clean Energy in Developing Countri</w:t>
      </w:r>
      <w:r>
        <w:rPr>
          <w:lang w:val="en-GB"/>
        </w:rPr>
        <w:t>e</w:t>
      </w:r>
      <w:r w:rsidRPr="000E63C3">
        <w:rPr>
          <w:lang w:val="en-GB"/>
        </w:rPr>
        <w:t>s</w:t>
      </w:r>
      <w:r>
        <w:rPr>
          <w:lang w:val="en-GB"/>
        </w:rPr>
        <w:t xml:space="preserve"> 2024: </w:t>
      </w:r>
      <w:r w:rsidRPr="00487EA4">
        <w:rPr>
          <w:lang w:val="en-GB"/>
        </w:rPr>
        <w:t xml:space="preserve">56. </w:t>
      </w:r>
    </w:p>
  </w:footnote>
  <w:footnote w:id="2002">
    <w:p w14:paraId="6E9A2067" w14:textId="77777777" w:rsidR="00E9298D" w:rsidRPr="005A0634" w:rsidRDefault="00E9298D" w:rsidP="00E9298D">
      <w:pPr>
        <w:pStyle w:val="Funotentext"/>
      </w:pPr>
      <w:r>
        <w:rPr>
          <w:rStyle w:val="Funotenzeichen"/>
        </w:rPr>
        <w:footnoteRef/>
      </w:r>
      <w:r w:rsidRPr="005A0634">
        <w:t xml:space="preserve"> </w:t>
      </w:r>
      <w:r>
        <w:t>S. 69, s</w:t>
      </w:r>
      <w:r w:rsidRPr="005A0634">
        <w:t xml:space="preserve">iehe: </w:t>
      </w:r>
      <w:hyperlink r:id="rId1474" w:history="1">
        <w:r w:rsidRPr="004778A0">
          <w:rPr>
            <w:rStyle w:val="Hyperlink"/>
          </w:rPr>
          <w:t>https://iea.blob.core.windows.net/assets/b80ed5fc-7483-4b65-ae73-d39d5b2de40d/Senegal2023.pdf</w:t>
        </w:r>
      </w:hyperlink>
      <w:r w:rsidRPr="005A0634">
        <w:t xml:space="preserve"> </w:t>
      </w:r>
      <w:r>
        <w:t>- Zugegriffen: 17.04.2025.</w:t>
      </w:r>
    </w:p>
  </w:footnote>
  <w:footnote w:id="2003">
    <w:p w14:paraId="29D9FC71" w14:textId="77777777" w:rsidR="00E9298D" w:rsidRPr="005A0634" w:rsidRDefault="00E9298D" w:rsidP="00E9298D">
      <w:pPr>
        <w:pStyle w:val="Funotentext"/>
      </w:pPr>
      <w:r>
        <w:rPr>
          <w:rStyle w:val="Funotenzeichen"/>
        </w:rPr>
        <w:footnoteRef/>
      </w:r>
      <w:r w:rsidRPr="005A0634">
        <w:t xml:space="preserve"> </w:t>
      </w:r>
      <w:r>
        <w:t>S. 76, s</w:t>
      </w:r>
      <w:r w:rsidRPr="005A0634">
        <w:t xml:space="preserve">iehe: </w:t>
      </w:r>
      <w:hyperlink r:id="rId1475" w:history="1">
        <w:r w:rsidRPr="004778A0">
          <w:rPr>
            <w:rStyle w:val="Hyperlink"/>
          </w:rPr>
          <w:t>https://iea.blob.core.windows.net/assets/b80ed5fc-7483-4b65-ae73-d39d5b2de40d/Senegal2023.pdf</w:t>
        </w:r>
      </w:hyperlink>
      <w:r w:rsidRPr="005A0634">
        <w:t xml:space="preserve"> </w:t>
      </w:r>
      <w:r>
        <w:t>- Zugegriffen: 17.04.2025.</w:t>
      </w:r>
    </w:p>
  </w:footnote>
  <w:footnote w:id="2004">
    <w:p w14:paraId="2AB6399E" w14:textId="77777777" w:rsidR="00E9298D" w:rsidRPr="005143C1" w:rsidRDefault="00E9298D" w:rsidP="00E9298D">
      <w:pPr>
        <w:pStyle w:val="Funotentext"/>
      </w:pPr>
      <w:r>
        <w:rPr>
          <w:rStyle w:val="Funotenzeichen"/>
        </w:rPr>
        <w:footnoteRef/>
      </w:r>
      <w:r w:rsidRPr="005143C1">
        <w:t xml:space="preserve"> Siehe: </w:t>
      </w:r>
      <w:hyperlink r:id="rId1476" w:history="1">
        <w:r w:rsidRPr="004778A0">
          <w:rPr>
            <w:rStyle w:val="Hyperlink"/>
          </w:rPr>
          <w:t>https://masdar.ae/en/news/newsroom/infinity-power-finalizes-acquisition-of-lekela-power</w:t>
        </w:r>
      </w:hyperlink>
      <w:r>
        <w:t xml:space="preserve"> - Zugegriffen: 18.04.2025. </w:t>
      </w:r>
    </w:p>
  </w:footnote>
  <w:footnote w:id="2005">
    <w:p w14:paraId="2BCD2F93" w14:textId="77777777" w:rsidR="00E9298D" w:rsidRPr="00BD0F8B" w:rsidRDefault="00E9298D" w:rsidP="00E9298D">
      <w:pPr>
        <w:pStyle w:val="Funotentext"/>
      </w:pPr>
      <w:r>
        <w:rPr>
          <w:rStyle w:val="Funotenzeichen"/>
        </w:rPr>
        <w:footnoteRef/>
      </w:r>
      <w:r w:rsidRPr="00BD0F8B">
        <w:t xml:space="preserve"> </w:t>
      </w:r>
      <w:r>
        <w:t>S. 88, s</w:t>
      </w:r>
      <w:r w:rsidRPr="005A0634">
        <w:t xml:space="preserve">iehe: </w:t>
      </w:r>
      <w:hyperlink r:id="rId1477" w:history="1">
        <w:r w:rsidRPr="004778A0">
          <w:rPr>
            <w:rStyle w:val="Hyperlink"/>
          </w:rPr>
          <w:t>https://iea.blob.core.windows.net/assets/b80ed5fc-7483-4b65-ae73-d39d5b2de40d/Senegal2023.pdf</w:t>
        </w:r>
      </w:hyperlink>
      <w:r w:rsidRPr="005A0634">
        <w:t xml:space="preserve"> </w:t>
      </w:r>
      <w:r>
        <w:t>- Zugegriffen: 17.04.2025.</w:t>
      </w:r>
    </w:p>
  </w:footnote>
  <w:footnote w:id="2006">
    <w:p w14:paraId="79A6F7AF" w14:textId="77777777" w:rsidR="00E9298D" w:rsidRPr="00CE0D69" w:rsidRDefault="00E9298D" w:rsidP="00E9298D">
      <w:pPr>
        <w:pStyle w:val="Funotentext"/>
      </w:pPr>
      <w:r>
        <w:rPr>
          <w:rStyle w:val="Funotenzeichen"/>
        </w:rPr>
        <w:footnoteRef/>
      </w:r>
      <w:r w:rsidRPr="00CE0D69">
        <w:t xml:space="preserve"> </w:t>
      </w:r>
      <w:r>
        <w:t>S. 91, s</w:t>
      </w:r>
      <w:r w:rsidRPr="005A0634">
        <w:t xml:space="preserve">iehe: </w:t>
      </w:r>
      <w:hyperlink r:id="rId1478" w:history="1">
        <w:r w:rsidRPr="004778A0">
          <w:rPr>
            <w:rStyle w:val="Hyperlink"/>
          </w:rPr>
          <w:t>https://iea.blob.core.windows.net/assets/b80ed5fc-7483-4b65-ae73-d39d5b2de40d/Senegal2023.pdf</w:t>
        </w:r>
      </w:hyperlink>
      <w:r w:rsidRPr="005A0634">
        <w:t xml:space="preserve"> </w:t>
      </w:r>
      <w:r>
        <w:t>- Zugegriffen: 17.04.2025</w:t>
      </w:r>
    </w:p>
  </w:footnote>
  <w:footnote w:id="2007">
    <w:p w14:paraId="1578FA40" w14:textId="77777777" w:rsidR="00E9298D" w:rsidRPr="00823391" w:rsidRDefault="00E9298D" w:rsidP="00E9298D">
      <w:pPr>
        <w:pStyle w:val="Funotentext"/>
        <w:rPr>
          <w:lang w:val="en-GB"/>
        </w:rPr>
      </w:pPr>
      <w:r>
        <w:rPr>
          <w:rStyle w:val="Funotenzeichen"/>
        </w:rPr>
        <w:footnoteRef/>
      </w:r>
      <w:r w:rsidRPr="00823391">
        <w:rPr>
          <w:lang w:val="en-GB"/>
        </w:rPr>
        <w:t xml:space="preserve"> IEA Carbon-Free Electricity in G20 Countries</w:t>
      </w:r>
      <w:r>
        <w:rPr>
          <w:lang w:val="en-GB"/>
        </w:rPr>
        <w:t xml:space="preserve"> 2025: 79.</w:t>
      </w:r>
    </w:p>
  </w:footnote>
  <w:footnote w:id="2008">
    <w:p w14:paraId="5D251E86" w14:textId="77777777" w:rsidR="00E9298D" w:rsidRPr="00487EA4" w:rsidRDefault="00E9298D" w:rsidP="00E9298D">
      <w:pPr>
        <w:pStyle w:val="Funotentext"/>
        <w:rPr>
          <w:lang w:val="en-GB"/>
        </w:rPr>
      </w:pPr>
      <w:r>
        <w:rPr>
          <w:rStyle w:val="Funotenzeichen"/>
        </w:rPr>
        <w:footnoteRef/>
      </w:r>
      <w:r w:rsidRPr="00487EA4">
        <w:rPr>
          <w:lang w:val="en-GB"/>
        </w:rPr>
        <w:t xml:space="preserve"> </w:t>
      </w:r>
      <w:r w:rsidRPr="000E63C3">
        <w:rPr>
          <w:lang w:val="en-GB"/>
        </w:rPr>
        <w:t>Roadmap to Increase Investment in Clean Energy in Developing Countri</w:t>
      </w:r>
      <w:r>
        <w:rPr>
          <w:lang w:val="en-GB"/>
        </w:rPr>
        <w:t>e</w:t>
      </w:r>
      <w:r w:rsidRPr="000E63C3">
        <w:rPr>
          <w:lang w:val="en-GB"/>
        </w:rPr>
        <w:t>s</w:t>
      </w:r>
      <w:r>
        <w:rPr>
          <w:lang w:val="en-GB"/>
        </w:rPr>
        <w:t xml:space="preserve"> 2024: 67-68.</w:t>
      </w:r>
    </w:p>
  </w:footnote>
  <w:footnote w:id="2009">
    <w:p w14:paraId="1B0146FC" w14:textId="0D6AD846" w:rsidR="00FB6ECD" w:rsidRDefault="00FB6ECD">
      <w:pPr>
        <w:pStyle w:val="Funotentext"/>
      </w:pPr>
      <w:r>
        <w:rPr>
          <w:rStyle w:val="Funotenzeichen"/>
        </w:rPr>
        <w:footnoteRef/>
      </w:r>
      <w:r>
        <w:t xml:space="preserve"> Siehe: </w:t>
      </w:r>
      <w:hyperlink r:id="rId1479" w:history="1">
        <w:r w:rsidRPr="008B2CA0">
          <w:rPr>
            <w:rStyle w:val="Hyperlink"/>
          </w:rPr>
          <w:t>https://www.gtai.de/de/trade/japan-wirtschaft/chemische-industrie</w:t>
        </w:r>
      </w:hyperlink>
      <w:r>
        <w:t xml:space="preserve"> - Zugegriffen: 09.10.2024. </w:t>
      </w:r>
    </w:p>
  </w:footnote>
  <w:footnote w:id="2010">
    <w:p w14:paraId="5075DDBE" w14:textId="271AB755" w:rsidR="005C1317" w:rsidRDefault="005C1317">
      <w:pPr>
        <w:pStyle w:val="Funotentext"/>
      </w:pPr>
      <w:r>
        <w:rPr>
          <w:rStyle w:val="Funotenzeichen"/>
        </w:rPr>
        <w:footnoteRef/>
      </w:r>
      <w:r>
        <w:t xml:space="preserve"> Siehe: </w:t>
      </w:r>
      <w:hyperlink r:id="rId1480" w:history="1">
        <w:r w:rsidRPr="004804C4">
          <w:rPr>
            <w:rStyle w:val="Hyperlink"/>
          </w:rPr>
          <w:t>https://www.enecho.meti.go.jp/en/category/others/basic_plan/pdf/7th_outline.pdf</w:t>
        </w:r>
      </w:hyperlink>
      <w:r>
        <w:t xml:space="preserve"> - Zugegriffen: 18.05.2025. </w:t>
      </w:r>
    </w:p>
  </w:footnote>
  <w:footnote w:id="2011">
    <w:p w14:paraId="35BC07D7" w14:textId="51524879" w:rsidR="00352A4F" w:rsidRDefault="00352A4F">
      <w:pPr>
        <w:pStyle w:val="Funotentext"/>
      </w:pPr>
      <w:r>
        <w:rPr>
          <w:rStyle w:val="Funotenzeichen"/>
        </w:rPr>
        <w:footnoteRef/>
      </w:r>
      <w:r>
        <w:t xml:space="preserve"> Siehe: </w:t>
      </w:r>
      <w:hyperlink r:id="rId1481" w:history="1">
        <w:r w:rsidRPr="00BF027C">
          <w:rPr>
            <w:rStyle w:val="Hyperlink"/>
          </w:rPr>
          <w:t>https://www.gtai.de/de/trade/japan/branchen/regierung-wasserstoff-bietet-hohes-dekarbonisierungspotenzial--1011728</w:t>
        </w:r>
      </w:hyperlink>
      <w:r>
        <w:t xml:space="preserve"> - Zugegriffen: 09.10.2024.  </w:t>
      </w:r>
    </w:p>
  </w:footnote>
  <w:footnote w:id="2012">
    <w:p w14:paraId="517EC9A6" w14:textId="77777777" w:rsidR="00352A4F" w:rsidRDefault="00352A4F" w:rsidP="00352A4F">
      <w:pPr>
        <w:pStyle w:val="Funotentext"/>
      </w:pPr>
      <w:r>
        <w:rPr>
          <w:rStyle w:val="Funotenzeichen"/>
        </w:rPr>
        <w:footnoteRef/>
      </w:r>
      <w:r>
        <w:t xml:space="preserve"> Siehe: </w:t>
      </w:r>
      <w:hyperlink r:id="rId1482" w:history="1">
        <w:r w:rsidRPr="008B2CA0">
          <w:rPr>
            <w:rStyle w:val="Hyperlink"/>
          </w:rPr>
          <w:t>https://www.gtai.de/de/trade/japan-wirtschaft/chemische-industrie</w:t>
        </w:r>
      </w:hyperlink>
      <w:r>
        <w:t xml:space="preserve"> - Zugegriffen: 09.10.2024. </w:t>
      </w:r>
    </w:p>
  </w:footnote>
  <w:footnote w:id="2013">
    <w:p w14:paraId="5B09FF97" w14:textId="310EC865" w:rsidR="006F17FE" w:rsidRPr="006F17FE" w:rsidRDefault="006F17FE" w:rsidP="006F17FE">
      <w:pPr>
        <w:pStyle w:val="Funotentext"/>
        <w:rPr>
          <w:lang w:val="en-GB"/>
        </w:rPr>
      </w:pPr>
      <w:r>
        <w:rPr>
          <w:rStyle w:val="Funotenzeichen"/>
        </w:rPr>
        <w:footnoteRef/>
      </w:r>
      <w:r w:rsidRPr="00184ED8">
        <w:rPr>
          <w:lang w:val="en-GB"/>
        </w:rPr>
        <w:t xml:space="preserve"> </w:t>
      </w:r>
      <w:proofErr w:type="spellStart"/>
      <w:r w:rsidRPr="00184ED8">
        <w:rPr>
          <w:lang w:val="en-GB"/>
        </w:rPr>
        <w:t>Siehe</w:t>
      </w:r>
      <w:proofErr w:type="spellEnd"/>
      <w:r w:rsidRPr="00184ED8">
        <w:rPr>
          <w:lang w:val="en-GB"/>
        </w:rPr>
        <w:t>: Sieler, Roman Eric; Henri Dörr (2023): Certification of green and low-carbon hydrogen. An overview of international and national</w:t>
      </w:r>
      <w:r w:rsidR="004F3AA0">
        <w:rPr>
          <w:lang w:val="en-GB"/>
        </w:rPr>
        <w:t xml:space="preserve"> </w:t>
      </w:r>
      <w:r w:rsidRPr="00184ED8">
        <w:rPr>
          <w:lang w:val="en-GB"/>
        </w:rPr>
        <w:t xml:space="preserve">initiatives. </w:t>
      </w:r>
      <w:r w:rsidRPr="006F17FE">
        <w:rPr>
          <w:lang w:val="en-GB"/>
        </w:rPr>
        <w:t xml:space="preserve">Berlin: </w:t>
      </w:r>
      <w:proofErr w:type="spellStart"/>
      <w:r w:rsidRPr="006F17FE">
        <w:rPr>
          <w:lang w:val="en-GB"/>
        </w:rPr>
        <w:t>adelphi</w:t>
      </w:r>
      <w:proofErr w:type="spellEnd"/>
      <w:r w:rsidRPr="006F17FE">
        <w:rPr>
          <w:lang w:val="en-GB"/>
        </w:rPr>
        <w:t xml:space="preserve">, </w:t>
      </w:r>
      <w:proofErr w:type="spellStart"/>
      <w:r w:rsidRPr="006F17FE">
        <w:rPr>
          <w:lang w:val="en-GB"/>
        </w:rPr>
        <w:t>siehe</w:t>
      </w:r>
      <w:proofErr w:type="spellEnd"/>
      <w:r w:rsidRPr="006F17FE">
        <w:rPr>
          <w:lang w:val="en-GB"/>
        </w:rPr>
        <w:t xml:space="preserve">: </w:t>
      </w:r>
      <w:hyperlink r:id="rId1483" w:history="1">
        <w:r w:rsidRPr="006F17FE">
          <w:rPr>
            <w:rStyle w:val="Hyperlink"/>
            <w:lang w:val="en-GB"/>
          </w:rPr>
          <w:t>https://adelphi.de/system/files/document/adelphi%20-%20International%20Overview%20-%20Certification%20of%20Clean%20and%20Green%20Hydrogen.pdf</w:t>
        </w:r>
      </w:hyperlink>
      <w:r w:rsidRPr="006F17FE">
        <w:rPr>
          <w:lang w:val="en-GB"/>
        </w:rPr>
        <w:t xml:space="preserve"> – </w:t>
      </w:r>
      <w:proofErr w:type="spellStart"/>
      <w:r w:rsidRPr="006F17FE">
        <w:rPr>
          <w:lang w:val="en-GB"/>
        </w:rPr>
        <w:t>Zugegriffen</w:t>
      </w:r>
      <w:proofErr w:type="spellEnd"/>
      <w:r w:rsidRPr="006F17FE">
        <w:rPr>
          <w:lang w:val="en-GB"/>
        </w:rPr>
        <w:t xml:space="preserve">: 11.10.2024. </w:t>
      </w:r>
    </w:p>
  </w:footnote>
  <w:footnote w:id="2014">
    <w:p w14:paraId="4C3EBC7A" w14:textId="77777777" w:rsidR="00C27D04" w:rsidRDefault="00C27D04" w:rsidP="00C27D04">
      <w:pPr>
        <w:pStyle w:val="Funotentext"/>
      </w:pPr>
      <w:r>
        <w:rPr>
          <w:rStyle w:val="Funotenzeichen"/>
        </w:rPr>
        <w:footnoteRef/>
      </w:r>
      <w:r>
        <w:t xml:space="preserve"> Siehe: </w:t>
      </w:r>
      <w:hyperlink r:id="rId1484" w:history="1">
        <w:r w:rsidRPr="00F2096B">
          <w:rPr>
            <w:rStyle w:val="Hyperlink"/>
          </w:rPr>
          <w:t>https://ammoniaenergy.org/articles/jera-closes-in-on-clean-ammonia-fuel-supply/</w:t>
        </w:r>
      </w:hyperlink>
      <w:r>
        <w:t xml:space="preserve"> - Zugegriffen: 26.01.2025. </w:t>
      </w:r>
    </w:p>
  </w:footnote>
  <w:footnote w:id="2015">
    <w:p w14:paraId="1DD168B1" w14:textId="77777777" w:rsidR="00C27D04" w:rsidRDefault="00C27D04" w:rsidP="00C27D04">
      <w:pPr>
        <w:pStyle w:val="Funotentext"/>
      </w:pPr>
      <w:r>
        <w:rPr>
          <w:rStyle w:val="Funotenzeichen"/>
        </w:rPr>
        <w:footnoteRef/>
      </w:r>
      <w:r>
        <w:t xml:space="preserve"> Siehe: </w:t>
      </w:r>
      <w:hyperlink r:id="rId1485" w:history="1">
        <w:r w:rsidRPr="00F2096B">
          <w:rPr>
            <w:rStyle w:val="Hyperlink"/>
          </w:rPr>
          <w:t>https://www.jera.co.jp/en/</w:t>
        </w:r>
      </w:hyperlink>
      <w:r>
        <w:t xml:space="preserve"> - Zugegriffen: 26.01.2025. </w:t>
      </w:r>
    </w:p>
  </w:footnote>
  <w:footnote w:id="2016">
    <w:p w14:paraId="35419C2F" w14:textId="426548E8" w:rsidR="00DE52D2" w:rsidRDefault="00DE52D2">
      <w:pPr>
        <w:pStyle w:val="Funotentext"/>
      </w:pPr>
      <w:r>
        <w:rPr>
          <w:rStyle w:val="Funotenzeichen"/>
        </w:rPr>
        <w:footnoteRef/>
      </w:r>
      <w:r>
        <w:t xml:space="preserve"> Siehe: </w:t>
      </w:r>
      <w:hyperlink r:id="rId1486" w:history="1">
        <w:r w:rsidRPr="004D34B9">
          <w:rPr>
            <w:rStyle w:val="Hyperlink"/>
          </w:rPr>
          <w:t>https://www.gtai.de/de/trade/japan/branchen/regierung-wasserstoff-bietet-hohes-dekarbonisierungspotenzial--1011728</w:t>
        </w:r>
      </w:hyperlink>
      <w:r>
        <w:t xml:space="preserve"> - Zugegriffen: 1</w:t>
      </w:r>
      <w:r w:rsidR="001839F8">
        <w:t>8</w:t>
      </w:r>
      <w:r>
        <w:t xml:space="preserve">.05.2025. </w:t>
      </w:r>
    </w:p>
  </w:footnote>
  <w:footnote w:id="2017">
    <w:p w14:paraId="19CCA572" w14:textId="586552F6" w:rsidR="001839F8" w:rsidRDefault="001839F8">
      <w:pPr>
        <w:pStyle w:val="Funotentext"/>
      </w:pPr>
      <w:r>
        <w:rPr>
          <w:rStyle w:val="Funotenzeichen"/>
        </w:rPr>
        <w:footnoteRef/>
      </w:r>
      <w:r>
        <w:t xml:space="preserve"> Siehe: </w:t>
      </w:r>
      <w:hyperlink r:id="rId1487" w:history="1">
        <w:r w:rsidRPr="004D34B9">
          <w:rPr>
            <w:rStyle w:val="Hyperlink"/>
          </w:rPr>
          <w:t>https://www.gtai.de/de/trade/japan/branchen/regierung-wasserstoff-bietet-hohes-dekarbonisierungspotenzial--1011728</w:t>
        </w:r>
      </w:hyperlink>
      <w:r>
        <w:t xml:space="preserve">  - Zugegriffen: 18.05.2025.</w:t>
      </w:r>
    </w:p>
  </w:footnote>
  <w:footnote w:id="2018">
    <w:p w14:paraId="1CC09651" w14:textId="77777777" w:rsidR="006F17FE" w:rsidRPr="0025521C" w:rsidRDefault="006F17FE" w:rsidP="006F17FE">
      <w:pPr>
        <w:pStyle w:val="Funotentext"/>
      </w:pPr>
      <w:r>
        <w:rPr>
          <w:rStyle w:val="Funotenzeichen"/>
        </w:rPr>
        <w:footnoteRef/>
      </w:r>
      <w:r w:rsidRPr="0025521C">
        <w:t xml:space="preserve"> Siehe: </w:t>
      </w:r>
      <w:proofErr w:type="gramStart"/>
      <w:r w:rsidRPr="0025521C">
        <w:t>AZEC Webseite</w:t>
      </w:r>
      <w:proofErr w:type="gramEnd"/>
      <w:r w:rsidRPr="0025521C">
        <w:t xml:space="preserve">: </w:t>
      </w:r>
      <w:hyperlink r:id="rId1488" w:history="1">
        <w:r w:rsidRPr="0025521C">
          <w:rPr>
            <w:rStyle w:val="Hyperlink"/>
          </w:rPr>
          <w:t>https://asiazeroemission.com/</w:t>
        </w:r>
      </w:hyperlink>
      <w:r w:rsidRPr="0025521C">
        <w:t xml:space="preserve"> - Zugegriffen: 28.11.2023.  </w:t>
      </w:r>
    </w:p>
  </w:footnote>
  <w:footnote w:id="2019">
    <w:p w14:paraId="235355F4" w14:textId="77777777" w:rsidR="006F17FE" w:rsidRDefault="006F17FE" w:rsidP="006F17FE">
      <w:pPr>
        <w:pStyle w:val="Funotentext"/>
      </w:pPr>
      <w:r>
        <w:rPr>
          <w:rStyle w:val="Funotenzeichen"/>
        </w:rPr>
        <w:footnoteRef/>
      </w:r>
      <w:r>
        <w:t xml:space="preserve"> Siehe: </w:t>
      </w:r>
      <w:hyperlink r:id="rId1489" w:history="1">
        <w:r w:rsidRPr="008633A4">
          <w:rPr>
            <w:rStyle w:val="Hyperlink"/>
          </w:rPr>
          <w:t>https://www.reuters.com/business/sustainable-business/indonesias-pertamina-japans-mitsui-agree-conduct-carbon-capture-study-2022-04-07/</w:t>
        </w:r>
      </w:hyperlink>
      <w:r>
        <w:t xml:space="preserve"> - Zugegriffen: 28.11.2023. </w:t>
      </w:r>
    </w:p>
  </w:footnote>
  <w:footnote w:id="2020">
    <w:p w14:paraId="6FDB0B17" w14:textId="1351A947" w:rsidR="001839F8" w:rsidRDefault="001839F8">
      <w:pPr>
        <w:pStyle w:val="Funotentext"/>
      </w:pPr>
      <w:r>
        <w:rPr>
          <w:rStyle w:val="Funotenzeichen"/>
        </w:rPr>
        <w:footnoteRef/>
      </w:r>
      <w:r>
        <w:t xml:space="preserve"> Siehe: </w:t>
      </w:r>
      <w:hyperlink r:id="rId1490" w:history="1">
        <w:r w:rsidRPr="004D34B9">
          <w:rPr>
            <w:rStyle w:val="Hyperlink"/>
          </w:rPr>
          <w:t>https://www.chiyodacorp.com/en/service/spera-hydrogen/</w:t>
        </w:r>
      </w:hyperlink>
      <w:r>
        <w:t xml:space="preserve"> </w:t>
      </w:r>
    </w:p>
  </w:footnote>
  <w:footnote w:id="2021">
    <w:p w14:paraId="732892D9" w14:textId="77777777" w:rsidR="001839F8" w:rsidRDefault="001839F8" w:rsidP="001839F8">
      <w:pPr>
        <w:pStyle w:val="Funotentext"/>
      </w:pPr>
      <w:r>
        <w:rPr>
          <w:rStyle w:val="Funotenzeichen"/>
        </w:rPr>
        <w:footnoteRef/>
      </w:r>
      <w:r>
        <w:t xml:space="preserve"> </w:t>
      </w:r>
      <w:r w:rsidRPr="0009409A">
        <w:t xml:space="preserve">Rangliste der 16 weltweiten Treibhausgas-Emittenten (CO2, Methan, Lachgas und fluorierte Gase, THG) und </w:t>
      </w:r>
      <w:proofErr w:type="gramStart"/>
      <w:r w:rsidRPr="0009409A">
        <w:t>CO2 ,</w:t>
      </w:r>
      <w:proofErr w:type="gramEnd"/>
      <w:r w:rsidRPr="0009409A">
        <w:t xml:space="preserve"> in Megatonnen (</w:t>
      </w:r>
      <w:proofErr w:type="spellStart"/>
      <w:r w:rsidRPr="0009409A">
        <w:t>Mt</w:t>
      </w:r>
      <w:proofErr w:type="spellEnd"/>
      <w:r w:rsidRPr="0009409A">
        <w:t>) = Millionen Tonnen pro Jahr, aus der EDGAR Datenbank der EU, für 2021</w:t>
      </w:r>
      <w:r>
        <w:t xml:space="preserve">. Siehe: </w:t>
      </w:r>
      <w:hyperlink r:id="rId1491" w:history="1">
        <w:r w:rsidRPr="00D414D2">
          <w:rPr>
            <w:rStyle w:val="Hyperlink"/>
          </w:rPr>
          <w:t>https://edgar.jrc.ec.europa.eu/</w:t>
        </w:r>
      </w:hyperlink>
      <w:r>
        <w:t xml:space="preserve"> - Zugegriffen: 14.10.2023.</w:t>
      </w:r>
    </w:p>
  </w:footnote>
  <w:footnote w:id="2022">
    <w:p w14:paraId="7DAD7B8C" w14:textId="77777777" w:rsidR="001839F8" w:rsidRPr="00601FCC" w:rsidRDefault="001839F8" w:rsidP="001839F8">
      <w:pPr>
        <w:pStyle w:val="Funotentext"/>
      </w:pPr>
      <w:r>
        <w:rPr>
          <w:rStyle w:val="Funotenzeichen"/>
        </w:rPr>
        <w:footnoteRef/>
      </w:r>
      <w:r w:rsidRPr="00601FCC">
        <w:t xml:space="preserve"> Global Energy Monitor China Briefing 2023: 10.</w:t>
      </w:r>
    </w:p>
  </w:footnote>
  <w:footnote w:id="2023">
    <w:p w14:paraId="03699E87" w14:textId="77777777" w:rsidR="001839F8" w:rsidRDefault="001839F8" w:rsidP="001839F8">
      <w:pPr>
        <w:pStyle w:val="Funotentext"/>
      </w:pPr>
      <w:r>
        <w:rPr>
          <w:rStyle w:val="Funotenzeichen"/>
        </w:rPr>
        <w:footnoteRef/>
      </w:r>
      <w:r w:rsidRPr="00601FCC">
        <w:t xml:space="preserve"> Gustav Theile. </w:t>
      </w:r>
      <w:r>
        <w:t xml:space="preserve">China forciert die Energiewende. Die Volksrepublik genehmigt viel weniger Kohlekraftwerke und baut erneuerbare Energien im Rekordtempo aus. Analysten sehen den CO2-Wendepunkt erreicht. FAZ, 24.08.2024. </w:t>
      </w:r>
    </w:p>
  </w:footnote>
  <w:footnote w:id="2024">
    <w:p w14:paraId="05F34D7B" w14:textId="77777777" w:rsidR="001839F8" w:rsidRDefault="001839F8" w:rsidP="001839F8">
      <w:pPr>
        <w:pStyle w:val="Funotentext"/>
      </w:pPr>
      <w:r>
        <w:rPr>
          <w:rStyle w:val="Funotenzeichen"/>
        </w:rPr>
        <w:footnoteRef/>
      </w:r>
      <w:r>
        <w:t xml:space="preserve"> Gustav Theile. China forciert die Energiewende. Die Volksrepublik genehmigt viel weniger Kohlekraftwerke und baut erneuerbare Energien im Rekordtempo aus. Analysten sehen den CO2-Wendepunkt erreicht. FAZ, 24.08.2024. </w:t>
      </w:r>
    </w:p>
  </w:footnote>
  <w:footnote w:id="2025">
    <w:p w14:paraId="42A7CD98" w14:textId="77777777" w:rsidR="001839F8" w:rsidRPr="009A661B" w:rsidRDefault="001839F8" w:rsidP="001839F8">
      <w:pPr>
        <w:pStyle w:val="Funotentext"/>
      </w:pPr>
      <w:r>
        <w:rPr>
          <w:rStyle w:val="Funotenzeichen"/>
        </w:rPr>
        <w:footnoteRef/>
      </w:r>
      <w:r w:rsidRPr="009A661B">
        <w:t xml:space="preserve"> </w:t>
      </w:r>
      <w:r>
        <w:t xml:space="preserve">Siehe: </w:t>
      </w:r>
      <w:hyperlink r:id="rId1492" w:history="1">
        <w:r w:rsidRPr="004D34B9">
          <w:rPr>
            <w:rStyle w:val="Hyperlink"/>
          </w:rPr>
          <w:t>https://de.wikipedia.org/wiki/Erneuerbare_Energien_in_China</w:t>
        </w:r>
      </w:hyperlink>
      <w:r>
        <w:t xml:space="preserve"> - Zugegriffen: 18.05.2025. </w:t>
      </w:r>
    </w:p>
  </w:footnote>
  <w:footnote w:id="2026">
    <w:p w14:paraId="3E3906CC" w14:textId="77777777" w:rsidR="001839F8" w:rsidRPr="003457E2" w:rsidRDefault="001839F8" w:rsidP="001839F8">
      <w:pPr>
        <w:pStyle w:val="Funotentext"/>
      </w:pPr>
      <w:r>
        <w:rPr>
          <w:rStyle w:val="Funotenzeichen"/>
        </w:rPr>
        <w:footnoteRef/>
      </w:r>
      <w:r w:rsidRPr="003457E2">
        <w:t xml:space="preserve"> Siehe: </w:t>
      </w:r>
      <w:hyperlink r:id="rId1493" w:history="1">
        <w:r w:rsidRPr="002639A0">
          <w:rPr>
            <w:rStyle w:val="Hyperlink"/>
          </w:rPr>
          <w:t>https://www.reuters.com/world/china/china-widens-wind-power-lead-with-new-generation-record-maguire-2024-04-18/</w:t>
        </w:r>
      </w:hyperlink>
      <w:r>
        <w:t xml:space="preserve"> - Zugegriffen: 25.06.2024.</w:t>
      </w:r>
    </w:p>
  </w:footnote>
  <w:footnote w:id="2027">
    <w:p w14:paraId="2C668792" w14:textId="77777777" w:rsidR="001839F8" w:rsidRPr="00A95661" w:rsidRDefault="001839F8" w:rsidP="001839F8">
      <w:pPr>
        <w:pStyle w:val="Funotentext"/>
      </w:pPr>
      <w:r>
        <w:rPr>
          <w:rStyle w:val="Funotenzeichen"/>
        </w:rPr>
        <w:footnoteRef/>
      </w:r>
      <w:r w:rsidRPr="00A95661">
        <w:rPr>
          <w:lang w:val="en-GB"/>
        </w:rPr>
        <w:t xml:space="preserve"> </w:t>
      </w:r>
      <w:proofErr w:type="spellStart"/>
      <w:r>
        <w:rPr>
          <w:lang w:val="en-GB"/>
        </w:rPr>
        <w:t>Siehe</w:t>
      </w:r>
      <w:proofErr w:type="spellEnd"/>
      <w:r>
        <w:rPr>
          <w:lang w:val="en-GB"/>
        </w:rPr>
        <w:t xml:space="preserve">: John Kemp. China’s rising hydro and solar set to cap coal use in 2024. </w:t>
      </w:r>
      <w:r w:rsidRPr="00A95661">
        <w:t xml:space="preserve">In: </w:t>
      </w:r>
      <w:hyperlink r:id="rId1494" w:history="1">
        <w:r w:rsidRPr="00A95661">
          <w:rPr>
            <w:rStyle w:val="Hyperlink"/>
          </w:rPr>
          <w:t>https://www.reuters.com/business/energy/chinas-rising-hydro-solar-set-cap-coal-use-2024-kemp-2024-04-24/</w:t>
        </w:r>
      </w:hyperlink>
      <w:r w:rsidRPr="00A95661">
        <w:t xml:space="preserve"> - Z</w:t>
      </w:r>
      <w:r>
        <w:t>ugegriffen: 25.06.2024.</w:t>
      </w:r>
      <w:r w:rsidRPr="00A95661">
        <w:t xml:space="preserve"> </w:t>
      </w:r>
    </w:p>
  </w:footnote>
  <w:footnote w:id="2028">
    <w:p w14:paraId="05A4AA39" w14:textId="77777777" w:rsidR="0045135C" w:rsidRDefault="0045135C" w:rsidP="0045135C">
      <w:pPr>
        <w:pStyle w:val="Funotentext"/>
      </w:pPr>
      <w:r>
        <w:rPr>
          <w:rStyle w:val="Funotenzeichen"/>
        </w:rPr>
        <w:footnoteRef/>
      </w:r>
      <w:r>
        <w:t xml:space="preserve"> Siehe: </w:t>
      </w:r>
      <w:hyperlink r:id="rId1495" w:history="1">
        <w:r w:rsidRPr="00287D4C">
          <w:rPr>
            <w:rStyle w:val="Hyperlink"/>
          </w:rPr>
          <w:t>https://www.eeas.europa.eu/eeas/china-%E2%80%93-co2-neutralit%C3%A4t-im-jahr-2060-ein-m%C3%B6glicher-wendepunkt-f%C3%BCr-das-klima_de</w:t>
        </w:r>
      </w:hyperlink>
      <w:r>
        <w:t xml:space="preserve"> – Zugegriffen: 11.04.2025.  </w:t>
      </w:r>
    </w:p>
  </w:footnote>
  <w:footnote w:id="2029">
    <w:p w14:paraId="19230249" w14:textId="77777777" w:rsidR="0045135C" w:rsidRDefault="0045135C" w:rsidP="0045135C">
      <w:pPr>
        <w:pStyle w:val="Funotentext"/>
      </w:pPr>
      <w:r>
        <w:rPr>
          <w:rStyle w:val="Funotenzeichen"/>
        </w:rPr>
        <w:footnoteRef/>
      </w:r>
      <w:r>
        <w:t xml:space="preserve"> Siehe: </w:t>
      </w:r>
      <w:hyperlink r:id="rId1496" w:history="1">
        <w:r w:rsidRPr="00287D4C">
          <w:rPr>
            <w:rStyle w:val="Hyperlink"/>
          </w:rPr>
          <w:t>https://www.eu2020.de/eu2020-de/aktuelles/artikel/eu-china-videokonferenz-offener-dialog-eu2020-2384002</w:t>
        </w:r>
      </w:hyperlink>
      <w:r>
        <w:t xml:space="preserve"> - Zugegriffen: 11.04.2025. </w:t>
      </w:r>
    </w:p>
  </w:footnote>
  <w:footnote w:id="2030">
    <w:p w14:paraId="13D1699F" w14:textId="77777777" w:rsidR="00AC6D42" w:rsidRDefault="00AC6D42" w:rsidP="00AC6D42">
      <w:pPr>
        <w:pStyle w:val="Funotentext"/>
      </w:pPr>
      <w:r>
        <w:rPr>
          <w:rStyle w:val="Funotenzeichen"/>
        </w:rPr>
        <w:footnoteRef/>
      </w:r>
      <w:r>
        <w:t xml:space="preserve"> Siehe: </w:t>
      </w:r>
      <w:hyperlink r:id="rId1497" w:history="1">
        <w:r w:rsidRPr="004C622C">
          <w:rPr>
            <w:rStyle w:val="Hyperlink"/>
          </w:rPr>
          <w:t>https://www.tagesschau.de/ausland/amerika/china-klima-treibhausgase-100.html</w:t>
        </w:r>
      </w:hyperlink>
      <w:r>
        <w:t xml:space="preserve"> - Zugegriffen: 27.09.2025.  </w:t>
      </w:r>
    </w:p>
  </w:footnote>
  <w:footnote w:id="2031">
    <w:p w14:paraId="63CDB1C8" w14:textId="77777777" w:rsidR="00AC6D42" w:rsidRDefault="00AC6D42" w:rsidP="00AC6D42">
      <w:pPr>
        <w:pStyle w:val="Funotentext"/>
      </w:pPr>
      <w:r>
        <w:rPr>
          <w:rStyle w:val="Funotenzeichen"/>
        </w:rPr>
        <w:footnoteRef/>
      </w:r>
      <w:r>
        <w:t xml:space="preserve"> Dies berichtet zusätzlich: Jochen Stahnke. Bescheidene Klimaziele und ein Seitenhieb auf Trump. FAZ, 25.09.2025. </w:t>
      </w:r>
    </w:p>
  </w:footnote>
  <w:footnote w:id="2032">
    <w:p w14:paraId="6F1B591F" w14:textId="77777777" w:rsidR="0045135C" w:rsidRDefault="0045135C" w:rsidP="0045135C">
      <w:pPr>
        <w:pStyle w:val="Funotentext"/>
      </w:pPr>
      <w:r>
        <w:rPr>
          <w:rStyle w:val="Funotenzeichen"/>
        </w:rPr>
        <w:footnoteRef/>
      </w:r>
      <w:r>
        <w:t xml:space="preserve"> Siehe: </w:t>
      </w:r>
      <w:hyperlink r:id="rId1498" w:history="1">
        <w:r w:rsidRPr="00187BF9">
          <w:rPr>
            <w:rStyle w:val="Hyperlink"/>
          </w:rPr>
          <w:t>https://www.international-climate-initiative.com/iki-medien/artikel/china_startet_nationalen_emissionshandel/</w:t>
        </w:r>
      </w:hyperlink>
      <w:r>
        <w:t xml:space="preserve"> - Zugegriffen: 11.04.2025. </w:t>
      </w:r>
    </w:p>
  </w:footnote>
  <w:footnote w:id="2033">
    <w:p w14:paraId="0736F9B8" w14:textId="77777777" w:rsidR="0045135C" w:rsidRDefault="0045135C" w:rsidP="0045135C">
      <w:pPr>
        <w:pStyle w:val="Funotentext"/>
      </w:pPr>
      <w:r>
        <w:rPr>
          <w:rStyle w:val="Funotenzeichen"/>
        </w:rPr>
        <w:footnoteRef/>
      </w:r>
      <w:r>
        <w:t xml:space="preserve"> Siehe: </w:t>
      </w:r>
      <w:hyperlink r:id="rId1499" w:history="1">
        <w:r w:rsidRPr="00187BF9">
          <w:rPr>
            <w:rStyle w:val="Hyperlink"/>
          </w:rPr>
          <w:t>https://unfccc.int/sites/default/files/NDC/2022-06/China%E2%80%99s%20Achievements%2C%20New%20Goals%20and%20New%20Measures%20for%20Nationally%20Determined%20Contributions.pdf</w:t>
        </w:r>
      </w:hyperlink>
      <w:r>
        <w:t xml:space="preserve"> – Zugegriffen: 11.04.2025.</w:t>
      </w:r>
    </w:p>
  </w:footnote>
  <w:footnote w:id="2034">
    <w:p w14:paraId="6316BA45" w14:textId="77777777" w:rsidR="0045135C" w:rsidRDefault="0045135C" w:rsidP="0045135C">
      <w:pPr>
        <w:pStyle w:val="Funotentext"/>
      </w:pPr>
      <w:r>
        <w:rPr>
          <w:rStyle w:val="Funotenzeichen"/>
        </w:rPr>
        <w:footnoteRef/>
      </w:r>
      <w:r>
        <w:t xml:space="preserve"> Siehe: </w:t>
      </w:r>
      <w:hyperlink r:id="rId1500" w:history="1">
        <w:r w:rsidRPr="00287D4C">
          <w:rPr>
            <w:rStyle w:val="Hyperlink"/>
          </w:rPr>
          <w:t>https://www.giz.de/de/weltweit/33978.html</w:t>
        </w:r>
      </w:hyperlink>
      <w:r>
        <w:t xml:space="preserve"> - Zugegriffen: 11.04.2025. </w:t>
      </w:r>
    </w:p>
  </w:footnote>
  <w:footnote w:id="2035">
    <w:p w14:paraId="79F4CC45" w14:textId="77777777" w:rsidR="0045135C" w:rsidRDefault="0045135C" w:rsidP="0045135C">
      <w:pPr>
        <w:pStyle w:val="Funotentext"/>
      </w:pPr>
      <w:r>
        <w:rPr>
          <w:rStyle w:val="Funotenzeichen"/>
        </w:rPr>
        <w:footnoteRef/>
      </w:r>
      <w:r>
        <w:t xml:space="preserve"> Siehe: Klimaschutz in China, 2016: </w:t>
      </w:r>
      <w:hyperlink r:id="rId1501" w:history="1">
        <w:r w:rsidRPr="00187BF9">
          <w:rPr>
            <w:rStyle w:val="Hyperlink"/>
          </w:rPr>
          <w:t>https://www.international-climate-initiative.com/iki-medien/artikel/china_startet_nationalen_emissionshandel/</w:t>
        </w:r>
      </w:hyperlink>
      <w:r>
        <w:t xml:space="preserve"> - Zugegriffen: 11.04.2025. </w:t>
      </w:r>
    </w:p>
  </w:footnote>
  <w:footnote w:id="2036">
    <w:p w14:paraId="3F4D5FCA" w14:textId="77777777" w:rsidR="0045135C" w:rsidRDefault="0045135C" w:rsidP="0045135C">
      <w:pPr>
        <w:pStyle w:val="Funotentext"/>
      </w:pPr>
      <w:r>
        <w:rPr>
          <w:rStyle w:val="Funotenzeichen"/>
        </w:rPr>
        <w:footnoteRef/>
      </w:r>
      <w:r w:rsidRPr="00F769C8">
        <w:rPr>
          <w:lang w:val="en-US"/>
        </w:rPr>
        <w:t xml:space="preserve"> </w:t>
      </w:r>
      <w:proofErr w:type="spellStart"/>
      <w:r w:rsidRPr="00F769C8">
        <w:rPr>
          <w:lang w:val="en-US"/>
        </w:rPr>
        <w:t>Siehe</w:t>
      </w:r>
      <w:proofErr w:type="spellEnd"/>
      <w:r w:rsidRPr="00F769C8">
        <w:rPr>
          <w:lang w:val="en-US"/>
        </w:rPr>
        <w:t xml:space="preserve"> Barbara Pongratz. China’s emerging decarbonization toolkit, 16. </w:t>
      </w:r>
      <w:r>
        <w:t xml:space="preserve">Mai 2923, Merics: </w:t>
      </w:r>
      <w:hyperlink r:id="rId1502" w:history="1">
        <w:r w:rsidRPr="00187BF9">
          <w:rPr>
            <w:rStyle w:val="Hyperlink"/>
          </w:rPr>
          <w:t>https://merics.org/de/kommentar/chinas-emerging-decarbonization-toolkit</w:t>
        </w:r>
      </w:hyperlink>
      <w:r>
        <w:t xml:space="preserve"> - Zugegriffen: 11.04.2025.</w:t>
      </w:r>
    </w:p>
  </w:footnote>
  <w:footnote w:id="2037">
    <w:p w14:paraId="0C60A3F3" w14:textId="77777777" w:rsidR="0011437E" w:rsidRPr="009B2ACD" w:rsidRDefault="0011437E" w:rsidP="0011437E">
      <w:pPr>
        <w:pStyle w:val="Funotentext"/>
      </w:pPr>
      <w:r>
        <w:rPr>
          <w:rStyle w:val="Funotenzeichen"/>
        </w:rPr>
        <w:footnoteRef/>
      </w:r>
      <w:r w:rsidRPr="00C94072">
        <w:t xml:space="preserve"> Die bemerkt: Jonas Jansen. </w:t>
      </w:r>
      <w:proofErr w:type="spellStart"/>
      <w:r w:rsidRPr="009B2ACD">
        <w:t>Thyssenkrupps</w:t>
      </w:r>
      <w:proofErr w:type="spellEnd"/>
      <w:r w:rsidRPr="009B2ACD">
        <w:t xml:space="preserve"> große S</w:t>
      </w:r>
      <w:r>
        <w:t>tahlsorgen. FAZ, 03.05.2024.</w:t>
      </w:r>
    </w:p>
  </w:footnote>
  <w:footnote w:id="2038">
    <w:p w14:paraId="727E5ECA" w14:textId="77777777" w:rsidR="0011437E" w:rsidRDefault="0011437E" w:rsidP="0011437E">
      <w:pPr>
        <w:pStyle w:val="Funotentext"/>
      </w:pPr>
      <w:r>
        <w:rPr>
          <w:rStyle w:val="Funotenzeichen"/>
        </w:rPr>
        <w:footnoteRef/>
      </w:r>
      <w:r>
        <w:t xml:space="preserve"> Siehe: </w:t>
      </w:r>
      <w:hyperlink r:id="rId1503" w:history="1">
        <w:r w:rsidRPr="007C682A">
          <w:rPr>
            <w:rStyle w:val="Hyperlink"/>
          </w:rPr>
          <w:t>https://www.klimareporter.de/europaeische-union/in-der-klimaaussenpolitik-mit-dem-groessten-co2-emittenten-schwaecht-sich-die-eu-selbst</w:t>
        </w:r>
      </w:hyperlink>
      <w:r>
        <w:t xml:space="preserve"> - Zugegriffen: 15.05.2025. </w:t>
      </w:r>
    </w:p>
  </w:footnote>
  <w:footnote w:id="2039">
    <w:p w14:paraId="75077074" w14:textId="77777777" w:rsidR="0011437E" w:rsidRPr="00341A3A" w:rsidRDefault="0011437E" w:rsidP="0011437E">
      <w:pPr>
        <w:pStyle w:val="Funotentext"/>
      </w:pPr>
      <w:r>
        <w:rPr>
          <w:rStyle w:val="Funotenzeichen"/>
        </w:rPr>
        <w:footnoteRef/>
      </w:r>
      <w:r w:rsidRPr="00341A3A">
        <w:t xml:space="preserve"> Siehe </w:t>
      </w:r>
      <w:proofErr w:type="spellStart"/>
      <w:r w:rsidRPr="00341A3A">
        <w:t>DEHSt</w:t>
      </w:r>
      <w:proofErr w:type="spellEnd"/>
      <w:r w:rsidRPr="00341A3A">
        <w:t xml:space="preserve"> Linking </w:t>
      </w:r>
      <w:proofErr w:type="spellStart"/>
      <w:r w:rsidRPr="00341A3A">
        <w:t>Emissions</w:t>
      </w:r>
      <w:proofErr w:type="spellEnd"/>
      <w:r w:rsidRPr="00341A3A">
        <w:t xml:space="preserve"> Trading Sch</w:t>
      </w:r>
      <w:r>
        <w:t xml:space="preserve">emes: </w:t>
      </w:r>
      <w:hyperlink r:id="rId1504" w:anchor="doc283556bodyText2" w:history="1">
        <w:r w:rsidRPr="007C682A">
          <w:rPr>
            <w:rStyle w:val="Hyperlink"/>
          </w:rPr>
          <w:t>https://www.dehst.de/DE/Themen/EU-ETS-1/EU-ETS-1-Informationen/Internationales/internationales_node.html#doc283556bodyText2</w:t>
        </w:r>
      </w:hyperlink>
      <w:r>
        <w:t xml:space="preserve"> – Zugegriffen: 15.05.2025. </w:t>
      </w:r>
    </w:p>
  </w:footnote>
  <w:footnote w:id="2040">
    <w:p w14:paraId="5A4FEB0F" w14:textId="0F16FD4F" w:rsidR="008307DF" w:rsidRDefault="008307DF">
      <w:pPr>
        <w:pStyle w:val="Funotentext"/>
      </w:pPr>
      <w:r>
        <w:rPr>
          <w:rStyle w:val="Funotenzeichen"/>
        </w:rPr>
        <w:footnoteRef/>
      </w:r>
      <w:r>
        <w:t xml:space="preserve"> Siehe: </w:t>
      </w:r>
      <w:hyperlink r:id="rId1505" w:history="1">
        <w:r w:rsidRPr="004D34B9">
          <w:rPr>
            <w:rStyle w:val="Hyperlink"/>
          </w:rPr>
          <w:t>https://de.wikipedia.org/wiki/Windenergie_in_China</w:t>
        </w:r>
      </w:hyperlink>
      <w:r>
        <w:t xml:space="preserve"> - Zugegriffen: 18.05.2025. </w:t>
      </w:r>
    </w:p>
  </w:footnote>
  <w:footnote w:id="2041">
    <w:p w14:paraId="5F70BD6E" w14:textId="77777777" w:rsidR="001962B0" w:rsidRDefault="001962B0" w:rsidP="001962B0">
      <w:pPr>
        <w:pStyle w:val="Funotentext"/>
      </w:pPr>
      <w:r>
        <w:rPr>
          <w:rStyle w:val="Funotenzeichen"/>
        </w:rPr>
        <w:footnoteRef/>
      </w:r>
      <w:r>
        <w:t xml:space="preserve"> Siehe: </w:t>
      </w:r>
      <w:hyperlink r:id="rId1506" w:history="1">
        <w:r w:rsidRPr="00C7669A">
          <w:rPr>
            <w:rStyle w:val="Hyperlink"/>
          </w:rPr>
          <w:t>https://en.wikipedia.org/wiki/Gansu_Wind_Farm</w:t>
        </w:r>
      </w:hyperlink>
      <w:r>
        <w:t xml:space="preserve"> - Zugegriffen: 16.10.2023.</w:t>
      </w:r>
    </w:p>
  </w:footnote>
  <w:footnote w:id="2042">
    <w:p w14:paraId="03201B47" w14:textId="77777777" w:rsidR="001962B0" w:rsidRDefault="001962B0" w:rsidP="001962B0">
      <w:pPr>
        <w:pStyle w:val="Funotentext"/>
      </w:pPr>
      <w:r>
        <w:rPr>
          <w:rStyle w:val="Funotenzeichen"/>
        </w:rPr>
        <w:footnoteRef/>
      </w:r>
      <w:r>
        <w:t xml:space="preserve"> Siehe: </w:t>
      </w:r>
      <w:hyperlink r:id="rId1507" w:history="1">
        <w:r w:rsidRPr="00C7669A">
          <w:rPr>
            <w:rStyle w:val="Hyperlink"/>
          </w:rPr>
          <w:t>https://www.forbes.com/sites/davidrvetter/2022/01/26/china-built-more-offshore-wind-in-2021-than-every-other-country-built-in-5-years/?sh=76ee518c4634</w:t>
        </w:r>
      </w:hyperlink>
      <w:r>
        <w:t xml:space="preserve"> – Zugegriffen: 16.10.2023.</w:t>
      </w:r>
    </w:p>
  </w:footnote>
  <w:footnote w:id="2043">
    <w:p w14:paraId="01C31F01" w14:textId="77777777" w:rsidR="001962B0" w:rsidRDefault="001962B0" w:rsidP="001962B0">
      <w:pPr>
        <w:pStyle w:val="Funotentext"/>
      </w:pPr>
      <w:r>
        <w:rPr>
          <w:rStyle w:val="Funotenzeichen"/>
        </w:rPr>
        <w:footnoteRef/>
      </w:r>
      <w:r>
        <w:t xml:space="preserve"> Hermanns 2020: 282-283.</w:t>
      </w:r>
    </w:p>
  </w:footnote>
  <w:footnote w:id="2044">
    <w:p w14:paraId="35892349" w14:textId="77777777" w:rsidR="001962B0" w:rsidRDefault="001962B0" w:rsidP="001962B0">
      <w:pPr>
        <w:pStyle w:val="Funotentext"/>
      </w:pPr>
      <w:r>
        <w:rPr>
          <w:rStyle w:val="Funotenzeichen"/>
        </w:rPr>
        <w:footnoteRef/>
      </w:r>
      <w:r>
        <w:t xml:space="preserve"> Siehe zu diesem gesamten Abschnitt: Christiane Kühl. China entdeckt die europäische Windindustrie. Capital, 15.08.2023. Siehe</w:t>
      </w:r>
      <w:r w:rsidRPr="002939E2">
        <w:t xml:space="preserve">: </w:t>
      </w:r>
      <w:hyperlink r:id="rId1508" w:history="1">
        <w:r w:rsidRPr="002939E2">
          <w:rPr>
            <w:rStyle w:val="Hyperlink"/>
          </w:rPr>
          <w:t>https://www.capital.de/wirtschaft-politik/china-entdeckt-die-europaeische-windindustrie-33737100.html</w:t>
        </w:r>
      </w:hyperlink>
      <w:r w:rsidRPr="002939E2">
        <w:t xml:space="preserve"> - Zugegriffen: 09.02.2024.</w:t>
      </w:r>
    </w:p>
  </w:footnote>
  <w:footnote w:id="2045">
    <w:p w14:paraId="4649D91F" w14:textId="46C490F6" w:rsidR="005A55C1" w:rsidRPr="000F41EB" w:rsidRDefault="005A55C1">
      <w:pPr>
        <w:pStyle w:val="Funotentext"/>
      </w:pPr>
      <w:r>
        <w:rPr>
          <w:rStyle w:val="Funotenzeichen"/>
        </w:rPr>
        <w:footnoteRef/>
      </w:r>
      <w:r w:rsidRPr="005A55C1">
        <w:t xml:space="preserve"> Kapert China jetzt das Of</w:t>
      </w:r>
      <w:r>
        <w:t xml:space="preserve">fshore-Geschäft. </w:t>
      </w:r>
      <w:r w:rsidRPr="000F41EB">
        <w:t xml:space="preserve">FAZ, 17.10.2024. </w:t>
      </w:r>
    </w:p>
  </w:footnote>
  <w:footnote w:id="2046">
    <w:p w14:paraId="4A615797" w14:textId="50CD2738" w:rsidR="00744078" w:rsidRPr="00744078" w:rsidRDefault="00744078">
      <w:pPr>
        <w:pStyle w:val="Funotentext"/>
      </w:pPr>
      <w:r>
        <w:rPr>
          <w:rStyle w:val="Funotenzeichen"/>
        </w:rPr>
        <w:footnoteRef/>
      </w:r>
      <w:r w:rsidRPr="00744078">
        <w:t xml:space="preserve"> Siehe: </w:t>
      </w:r>
      <w:hyperlink r:id="rId1509" w:history="1">
        <w:r w:rsidRPr="004C622C">
          <w:rPr>
            <w:rStyle w:val="Hyperlink"/>
          </w:rPr>
          <w:t>https://www.iwr.de/news/offshore-kurswechsel-bei-luxcara-siemens-gamesa-ersetzt-ming-yang-sicherheitsbedenken-ausgeschlossen-news39295</w:t>
        </w:r>
      </w:hyperlink>
      <w:r>
        <w:t xml:space="preserve"> - Zugegriffen: 27.09.2025. </w:t>
      </w:r>
    </w:p>
  </w:footnote>
  <w:footnote w:id="2047">
    <w:p w14:paraId="6143D3B8" w14:textId="77777777" w:rsidR="00E2003B" w:rsidRPr="00F86D16" w:rsidRDefault="00E2003B" w:rsidP="00E2003B">
      <w:pPr>
        <w:pStyle w:val="Funotentext"/>
      </w:pPr>
      <w:r>
        <w:rPr>
          <w:rStyle w:val="Funotenzeichen"/>
        </w:rPr>
        <w:footnoteRef/>
      </w:r>
      <w:r w:rsidRPr="00E2003B">
        <w:rPr>
          <w:lang w:val="en-GB"/>
        </w:rPr>
        <w:t xml:space="preserve"> U.S. Energy Information Administration. </w:t>
      </w:r>
      <w:r w:rsidRPr="00C32E69">
        <w:rPr>
          <w:lang w:val="en-GB"/>
        </w:rPr>
        <w:t xml:space="preserve">China Country Analysis Brief, November 2023. </w:t>
      </w:r>
      <w:r w:rsidRPr="00F86D16">
        <w:t>Siehe: https://eia.gov – Zugegriffen: 02.11.2023.</w:t>
      </w:r>
    </w:p>
  </w:footnote>
  <w:footnote w:id="2048">
    <w:p w14:paraId="021E1795" w14:textId="77777777" w:rsidR="00E2003B" w:rsidRPr="00F86D16" w:rsidRDefault="00E2003B" w:rsidP="00E2003B">
      <w:pPr>
        <w:pStyle w:val="Funotentext"/>
      </w:pPr>
      <w:r>
        <w:rPr>
          <w:rStyle w:val="Funotenzeichen"/>
        </w:rPr>
        <w:footnoteRef/>
      </w:r>
      <w:r w:rsidRPr="0023047F">
        <w:t xml:space="preserve"> U.S. Energy Information Administration. </w:t>
      </w:r>
      <w:r w:rsidRPr="00D76CB5">
        <w:rPr>
          <w:lang w:val="en-GB"/>
        </w:rPr>
        <w:t xml:space="preserve">China Country Analysis </w:t>
      </w:r>
      <w:r>
        <w:rPr>
          <w:lang w:val="en-GB"/>
        </w:rPr>
        <w:t>Executive Summary: India</w:t>
      </w:r>
      <w:r w:rsidRPr="00D76CB5">
        <w:rPr>
          <w:lang w:val="en-GB"/>
        </w:rPr>
        <w:t xml:space="preserve">, November </w:t>
      </w:r>
      <w:r>
        <w:rPr>
          <w:lang w:val="en-GB"/>
        </w:rPr>
        <w:t xml:space="preserve">17, </w:t>
      </w:r>
      <w:r w:rsidRPr="00D76CB5">
        <w:rPr>
          <w:lang w:val="en-GB"/>
        </w:rPr>
        <w:t>202</w:t>
      </w:r>
      <w:r>
        <w:rPr>
          <w:lang w:val="en-GB"/>
        </w:rPr>
        <w:t>2</w:t>
      </w:r>
      <w:r w:rsidRPr="00D76CB5">
        <w:rPr>
          <w:lang w:val="en-GB"/>
        </w:rPr>
        <w:t xml:space="preserve">. </w:t>
      </w:r>
      <w:r w:rsidRPr="00F86D16">
        <w:t>Siehe: https://eia.gov – Zugegriffen: 02.11.2023.</w:t>
      </w:r>
    </w:p>
  </w:footnote>
  <w:footnote w:id="2049">
    <w:p w14:paraId="577B6B85" w14:textId="77777777" w:rsidR="00E2003B" w:rsidRDefault="00E2003B" w:rsidP="00E2003B">
      <w:pPr>
        <w:pStyle w:val="Funotentext"/>
      </w:pPr>
      <w:r>
        <w:rPr>
          <w:rStyle w:val="Funotenzeichen"/>
        </w:rPr>
        <w:footnoteRef/>
      </w:r>
      <w:r>
        <w:t xml:space="preserve"> Siehe: </w:t>
      </w:r>
      <w:hyperlink r:id="rId1510" w:history="1">
        <w:r w:rsidRPr="00F976D9">
          <w:rPr>
            <w:rStyle w:val="Hyperlink"/>
          </w:rPr>
          <w:t>https://de.wikipedia.org/wiki/Liste_der_Kernreaktoren_in_der_Volksrepublik_China</w:t>
        </w:r>
      </w:hyperlink>
      <w:r>
        <w:t xml:space="preserve"> - Zugegriffen: 07.01.2024</w:t>
      </w:r>
    </w:p>
  </w:footnote>
  <w:footnote w:id="2050">
    <w:p w14:paraId="34D8B698" w14:textId="77777777" w:rsidR="00E2003B" w:rsidRDefault="00E2003B" w:rsidP="00E2003B">
      <w:pPr>
        <w:pStyle w:val="Funotentext"/>
      </w:pPr>
      <w:r>
        <w:rPr>
          <w:rStyle w:val="Funotenzeichen"/>
        </w:rPr>
        <w:footnoteRef/>
      </w:r>
      <w:r>
        <w:t xml:space="preserve"> Siehe: </w:t>
      </w:r>
      <w:hyperlink r:id="rId1511" w:history="1">
        <w:r w:rsidRPr="00F976D9">
          <w:rPr>
            <w:rStyle w:val="Hyperlink"/>
          </w:rPr>
          <w:t>https://de.wikipedia.org/wiki/Liste_der_Kernreaktoren_in_Indien</w:t>
        </w:r>
      </w:hyperlink>
      <w:r>
        <w:t xml:space="preserve"> - Zugegriffen: 07.01.2024.</w:t>
      </w:r>
    </w:p>
  </w:footnote>
  <w:footnote w:id="2051">
    <w:p w14:paraId="78E1B790" w14:textId="77777777" w:rsidR="00E2003B" w:rsidRDefault="00E2003B" w:rsidP="00E2003B">
      <w:pPr>
        <w:pStyle w:val="Funotentext"/>
      </w:pPr>
      <w:r>
        <w:rPr>
          <w:rStyle w:val="Funotenzeichen"/>
        </w:rPr>
        <w:footnoteRef/>
      </w:r>
      <w:r>
        <w:t xml:space="preserve"> Siehe: </w:t>
      </w:r>
      <w:hyperlink r:id="rId1512" w:history="1">
        <w:r w:rsidRPr="00F976D9">
          <w:rPr>
            <w:rStyle w:val="Hyperlink"/>
          </w:rPr>
          <w:t>https://en.wikipedia.org/wiki/List_of_countries_by_government_budget</w:t>
        </w:r>
      </w:hyperlink>
      <w:r>
        <w:t xml:space="preserve"> - Zugegriffen: 07.01.2024. </w:t>
      </w:r>
    </w:p>
  </w:footnote>
  <w:footnote w:id="2052">
    <w:p w14:paraId="064C010F" w14:textId="77777777" w:rsidR="00E2003B" w:rsidRDefault="00E2003B" w:rsidP="00E2003B">
      <w:pPr>
        <w:pStyle w:val="Funotentext"/>
      </w:pPr>
      <w:r>
        <w:rPr>
          <w:rStyle w:val="Funotenzeichen"/>
        </w:rPr>
        <w:footnoteRef/>
      </w:r>
      <w:r>
        <w:t xml:space="preserve"> </w:t>
      </w:r>
      <w:r w:rsidRPr="00C205D8">
        <w:t>https://www.destatis.de/DE/Themen/Staat/Oeffentliche-Finanzen/Ausgaben-Einnahmen/_inhalt.html</w:t>
      </w:r>
    </w:p>
  </w:footnote>
  <w:footnote w:id="2053">
    <w:p w14:paraId="2CD145BC" w14:textId="77777777" w:rsidR="00E2003B" w:rsidRDefault="00E2003B" w:rsidP="00E2003B">
      <w:pPr>
        <w:pStyle w:val="Funotentext"/>
      </w:pPr>
      <w:r>
        <w:rPr>
          <w:rStyle w:val="Funotenzeichen"/>
        </w:rPr>
        <w:footnoteRef/>
      </w:r>
      <w:r>
        <w:t xml:space="preserve"> </w:t>
      </w:r>
    </w:p>
  </w:footnote>
  <w:footnote w:id="2054">
    <w:p w14:paraId="736D1A5B" w14:textId="77777777" w:rsidR="00E2003B" w:rsidRDefault="00E2003B" w:rsidP="00E2003B">
      <w:pPr>
        <w:pStyle w:val="Funotentext"/>
      </w:pPr>
      <w:r>
        <w:rPr>
          <w:rStyle w:val="Funotenzeichen"/>
        </w:rPr>
        <w:footnoteRef/>
      </w:r>
      <w:r>
        <w:t xml:space="preserve"> Lübbert, Daniel, Lange, Felix. Uran als Kernbrennstoff: </w:t>
      </w:r>
      <w:proofErr w:type="spellStart"/>
      <w:r>
        <w:t>Voräte</w:t>
      </w:r>
      <w:proofErr w:type="spellEnd"/>
      <w:r>
        <w:t xml:space="preserve"> und Reichweite. Info-Brief, Wissenschaftliche Dienste Deutscher Bundestag, 2006. Siehe: </w:t>
      </w:r>
      <w:hyperlink r:id="rId1513" w:history="1">
        <w:r w:rsidRPr="00F976D9">
          <w:rPr>
            <w:rStyle w:val="Hyperlink"/>
          </w:rPr>
          <w:t>https://www.bundestag.de/resource/blob/509082/5594603c3ecf27933ad76d31faf89c27/uran-als-kernbrennstoff-data.pdf</w:t>
        </w:r>
      </w:hyperlink>
      <w:r>
        <w:t xml:space="preserve"> - Zugegriffen: 07.01.2024.</w:t>
      </w:r>
    </w:p>
  </w:footnote>
  <w:footnote w:id="2055">
    <w:p w14:paraId="3B9905D4" w14:textId="77777777" w:rsidR="00E2003B" w:rsidRDefault="00E2003B" w:rsidP="00E2003B">
      <w:pPr>
        <w:pStyle w:val="Funotentext"/>
      </w:pPr>
      <w:r>
        <w:rPr>
          <w:rStyle w:val="Funotenzeichen"/>
        </w:rPr>
        <w:footnoteRef/>
      </w:r>
      <w:r>
        <w:t xml:space="preserve"> Siehe: </w:t>
      </w:r>
      <w:hyperlink r:id="rId1514" w:history="1">
        <w:r w:rsidRPr="00F976D9">
          <w:rPr>
            <w:rStyle w:val="Hyperlink"/>
          </w:rPr>
          <w:t>https://en.wikipedia.org/wiki/Uranium</w:t>
        </w:r>
      </w:hyperlink>
      <w:r>
        <w:t xml:space="preserve"> </w:t>
      </w:r>
      <w:r w:rsidRPr="008102BE">
        <w:t xml:space="preserve">- </w:t>
      </w:r>
      <w:r>
        <w:t xml:space="preserve">siehe die Daten von der Seite: </w:t>
      </w:r>
      <w:hyperlink r:id="rId1515" w:history="1">
        <w:r w:rsidRPr="00F976D9">
          <w:rPr>
            <w:rStyle w:val="Hyperlink"/>
          </w:rPr>
          <w:t>https://world-nuclear.org/information-library/nuclear-fuel-cycle/mining-of-uranium/world-uranium-mining-production.aspx</w:t>
        </w:r>
      </w:hyperlink>
      <w:r>
        <w:t xml:space="preserve">  - </w:t>
      </w:r>
      <w:r w:rsidRPr="008102BE">
        <w:t>Zugegriffen: 07.01.2024</w:t>
      </w:r>
      <w:r>
        <w:t>.</w:t>
      </w:r>
    </w:p>
  </w:footnote>
  <w:footnote w:id="2056">
    <w:p w14:paraId="788157BA" w14:textId="77777777" w:rsidR="00E2003B" w:rsidRDefault="00E2003B" w:rsidP="00E2003B">
      <w:pPr>
        <w:pStyle w:val="Funotentext"/>
      </w:pPr>
      <w:r>
        <w:rPr>
          <w:rStyle w:val="Funotenzeichen"/>
        </w:rPr>
        <w:footnoteRef/>
      </w:r>
      <w:r>
        <w:t xml:space="preserve"> </w:t>
      </w:r>
      <w:r w:rsidRPr="006979C7">
        <w:t xml:space="preserve">OECD </w:t>
      </w:r>
      <w:proofErr w:type="spellStart"/>
      <w:r w:rsidRPr="006979C7">
        <w:t>Red</w:t>
      </w:r>
      <w:proofErr w:type="spellEnd"/>
      <w:r w:rsidRPr="006979C7">
        <w:t xml:space="preserve"> Book 2023</w:t>
      </w:r>
      <w:r>
        <w:t xml:space="preserve">: 22-23. Siehe: </w:t>
      </w:r>
      <w:hyperlink r:id="rId1516" w:history="1">
        <w:r w:rsidRPr="00AB4BBB">
          <w:rPr>
            <w:rStyle w:val="Hyperlink"/>
          </w:rPr>
          <w:t>https://www.oecd-nea.org/jcms/pl_28569/uranium-resources-production-and-demand-red-book</w:t>
        </w:r>
      </w:hyperlink>
      <w:r>
        <w:t xml:space="preserve"> - Zugegriffen: 07.01.2024. </w:t>
      </w:r>
    </w:p>
  </w:footnote>
  <w:footnote w:id="2057">
    <w:p w14:paraId="150F5FE0" w14:textId="77777777" w:rsidR="00E2003B" w:rsidRDefault="00E2003B" w:rsidP="00E2003B">
      <w:pPr>
        <w:pStyle w:val="Funotentext"/>
      </w:pPr>
      <w:r>
        <w:rPr>
          <w:rStyle w:val="Funotenzeichen"/>
        </w:rPr>
        <w:footnoteRef/>
      </w:r>
      <w:r>
        <w:t xml:space="preserve"> Siehe: </w:t>
      </w:r>
      <w:hyperlink r:id="rId1517" w:history="1">
        <w:r w:rsidRPr="0088181F">
          <w:rPr>
            <w:rStyle w:val="Hyperlink"/>
          </w:rPr>
          <w:t>https://de.wikipedia.org/wiki/Liste_der_Kernkraftwerke</w:t>
        </w:r>
      </w:hyperlink>
      <w:r>
        <w:t xml:space="preserve"> - Zugegriffen: 07.01.2024.</w:t>
      </w:r>
    </w:p>
  </w:footnote>
  <w:footnote w:id="2058">
    <w:p w14:paraId="09DDDE08" w14:textId="77777777" w:rsidR="00E2003B" w:rsidRDefault="00E2003B" w:rsidP="00E2003B">
      <w:pPr>
        <w:pStyle w:val="Funotentext"/>
      </w:pPr>
      <w:r>
        <w:rPr>
          <w:rStyle w:val="Funotenzeichen"/>
        </w:rPr>
        <w:footnoteRef/>
      </w:r>
      <w:r>
        <w:t xml:space="preserve"> Siehe IAEA PRIS, siehe: </w:t>
      </w:r>
      <w:hyperlink r:id="rId1518" w:history="1">
        <w:r w:rsidRPr="0088181F">
          <w:rPr>
            <w:rStyle w:val="Hyperlink"/>
          </w:rPr>
          <w:t>https://pris.iaea.org/pris/home.aspx</w:t>
        </w:r>
      </w:hyperlink>
      <w:r>
        <w:t xml:space="preserve"> </w:t>
      </w:r>
    </w:p>
  </w:footnote>
  <w:footnote w:id="2059">
    <w:p w14:paraId="1BFB4749" w14:textId="77777777" w:rsidR="00E57DF7" w:rsidRPr="00C56BFD" w:rsidRDefault="00E57DF7" w:rsidP="00E57DF7">
      <w:pPr>
        <w:pStyle w:val="Funotentext"/>
      </w:pPr>
      <w:r>
        <w:rPr>
          <w:rStyle w:val="Funotenzeichen"/>
        </w:rPr>
        <w:footnoteRef/>
      </w:r>
      <w:r>
        <w:t xml:space="preserve"> Dies wird angemahnt von Thielges, Sonja. </w:t>
      </w:r>
      <w:r w:rsidRPr="00C56BFD">
        <w:rPr>
          <w:lang w:val="en-GB"/>
        </w:rPr>
        <w:t>The Global Shift away f</w:t>
      </w:r>
      <w:r>
        <w:rPr>
          <w:lang w:val="en-GB"/>
        </w:rPr>
        <w:t xml:space="preserve">rom Fossil Energy. </w:t>
      </w:r>
      <w:r w:rsidRPr="00C56BFD">
        <w:t xml:space="preserve">SWP Comment 2023/C 38, 13.07.2023. Siehe: </w:t>
      </w:r>
      <w:hyperlink r:id="rId1519" w:history="1">
        <w:r w:rsidRPr="0088181F">
          <w:rPr>
            <w:rStyle w:val="Hyperlink"/>
          </w:rPr>
          <w:t>https://www.swp-berlin.org/publikation/the-global-shift-away-from-fossil-energy</w:t>
        </w:r>
      </w:hyperlink>
      <w:r>
        <w:t xml:space="preserve"> - Zugegriffen: 07.01.2024. </w:t>
      </w:r>
    </w:p>
  </w:footnote>
  <w:footnote w:id="2060">
    <w:p w14:paraId="11EA8F4B" w14:textId="77777777" w:rsidR="00E57DF7" w:rsidRPr="003D59D3" w:rsidRDefault="00E57DF7" w:rsidP="00E57DF7">
      <w:pPr>
        <w:pStyle w:val="Funotentext"/>
        <w:rPr>
          <w:lang w:val="en-GB"/>
        </w:rPr>
      </w:pPr>
      <w:r>
        <w:rPr>
          <w:rStyle w:val="Funotenzeichen"/>
        </w:rPr>
        <w:footnoteRef/>
      </w:r>
      <w:r w:rsidRPr="003D59D3">
        <w:rPr>
          <w:lang w:val="en-GB"/>
        </w:rPr>
        <w:t xml:space="preserve"> </w:t>
      </w:r>
      <w:proofErr w:type="spellStart"/>
      <w:r w:rsidRPr="003D59D3">
        <w:rPr>
          <w:lang w:val="en-GB"/>
        </w:rPr>
        <w:t>Siehe</w:t>
      </w:r>
      <w:proofErr w:type="spellEnd"/>
      <w:r w:rsidRPr="003D59D3">
        <w:rPr>
          <w:lang w:val="en-GB"/>
        </w:rPr>
        <w:t>: China, Germany hold d</w:t>
      </w:r>
      <w:r>
        <w:rPr>
          <w:lang w:val="en-GB"/>
        </w:rPr>
        <w:t xml:space="preserve">ialogue on climate change, green transition, June 23, 2024, Xinhua. The State Council, The People’s Republic of China: </w:t>
      </w:r>
      <w:hyperlink r:id="rId1520" w:history="1">
        <w:r w:rsidRPr="002639A0">
          <w:rPr>
            <w:rStyle w:val="Hyperlink"/>
            <w:lang w:val="en-GB"/>
          </w:rPr>
          <w:t>https://english.www.gov.cn/news/202406/23/content_WS667760b9c6d0868f4e8e8730.html</w:t>
        </w:r>
      </w:hyperlink>
      <w:r>
        <w:rPr>
          <w:lang w:val="en-GB"/>
        </w:rPr>
        <w:t xml:space="preserve"> - </w:t>
      </w:r>
      <w:proofErr w:type="spellStart"/>
      <w:r>
        <w:rPr>
          <w:lang w:val="en-GB"/>
        </w:rPr>
        <w:t>Zugegriffen</w:t>
      </w:r>
      <w:proofErr w:type="spellEnd"/>
      <w:r>
        <w:rPr>
          <w:lang w:val="en-GB"/>
        </w:rPr>
        <w:t xml:space="preserve">: 25.06.2024. </w:t>
      </w:r>
    </w:p>
  </w:footnote>
  <w:footnote w:id="2061">
    <w:p w14:paraId="23B5BE94" w14:textId="77777777" w:rsidR="002C057C" w:rsidRDefault="002C057C" w:rsidP="002C057C">
      <w:pPr>
        <w:pStyle w:val="Funotentext"/>
      </w:pPr>
      <w:r>
        <w:rPr>
          <w:rStyle w:val="Funotenzeichen"/>
        </w:rPr>
        <w:footnoteRef/>
      </w:r>
      <w:r>
        <w:t xml:space="preserve"> Die Hälfte der globalen Kapazität wird in nur 5 Fabriken produziert, zwischen 2000 und 2010 hat die chinesische Industrie mit Hilfe der Regierung 50 Mrd. in diesen Industriezweig investiert. DOE SOLAR 2022: 31. Siehe: </w:t>
      </w:r>
      <w:hyperlink r:id="rId1521" w:history="1">
        <w:r w:rsidRPr="00907554">
          <w:rPr>
            <w:rStyle w:val="Hyperlink"/>
          </w:rPr>
          <w:t>https://www.energy.gov/sites/default/files/2022-02/Solar%20Energy%20Supply%20Chain%20Report%20-%20Final.pdf</w:t>
        </w:r>
      </w:hyperlink>
      <w:r>
        <w:t xml:space="preserve"> – Zugegriffen: 14.07.2024. </w:t>
      </w:r>
    </w:p>
  </w:footnote>
  <w:footnote w:id="2062">
    <w:p w14:paraId="0E5D067D" w14:textId="77777777" w:rsidR="002C057C" w:rsidRPr="00A5368C" w:rsidRDefault="002C057C" w:rsidP="002C057C">
      <w:pPr>
        <w:pStyle w:val="Funotentext"/>
      </w:pPr>
      <w:r>
        <w:rPr>
          <w:rStyle w:val="Funotenzeichen"/>
        </w:rPr>
        <w:footnoteRef/>
      </w:r>
      <w:r w:rsidRPr="00A5368C">
        <w:t xml:space="preserve"> </w:t>
      </w:r>
      <w:r>
        <w:t>A</w:t>
      </w:r>
      <w:r w:rsidRPr="00A63483">
        <w:t>ußer bei den Cadmium Telluride Zellen von First Solar, hier sind die Kosten gleich</w:t>
      </w:r>
      <w:r>
        <w:t>.</w:t>
      </w:r>
      <w:r w:rsidRPr="00A63483">
        <w:t xml:space="preserve"> </w:t>
      </w:r>
      <w:r w:rsidRPr="00A5368C">
        <w:t>DOE Solar 2022: 10-11.</w:t>
      </w:r>
    </w:p>
  </w:footnote>
  <w:footnote w:id="2063">
    <w:p w14:paraId="21CEB145" w14:textId="77777777" w:rsidR="002C057C" w:rsidRPr="0010377A" w:rsidRDefault="002C057C" w:rsidP="002C057C">
      <w:pPr>
        <w:pStyle w:val="Funotentext"/>
      </w:pPr>
      <w:r>
        <w:rPr>
          <w:rStyle w:val="Funotenzeichen"/>
        </w:rPr>
        <w:footnoteRef/>
      </w:r>
      <w:r>
        <w:t xml:space="preserve"> </w:t>
      </w:r>
      <w:r w:rsidRPr="0010377A">
        <w:t>Sieh</w:t>
      </w:r>
      <w:r>
        <w:t xml:space="preserve">e Factsheet, 06.09.2012: </w:t>
      </w:r>
      <w:hyperlink r:id="rId1522" w:history="1">
        <w:r w:rsidRPr="00A14441">
          <w:rPr>
            <w:rStyle w:val="Hyperlink"/>
          </w:rPr>
          <w:t>https://ec.europa.eu/commission/presscorner/detail/de/memo_12_647</w:t>
        </w:r>
      </w:hyperlink>
      <w:r>
        <w:t xml:space="preserve"> - Zugegriffen: 05.04.2025. Siehe die Originalverordnung hier: </w:t>
      </w:r>
      <w:hyperlink r:id="rId1523" w:history="1">
        <w:r w:rsidRPr="00A77BA6">
          <w:rPr>
            <w:rStyle w:val="Hyperlink"/>
          </w:rPr>
          <w:t>https://eur-lex.europa.eu/legal-content/DE/TXT/HTML/?uri=CELEX:52012XC0906(02)</w:t>
        </w:r>
      </w:hyperlink>
      <w:r>
        <w:t xml:space="preserve"> – Zugegriffen: 05.04.2025. </w:t>
      </w:r>
    </w:p>
  </w:footnote>
  <w:footnote w:id="2064">
    <w:p w14:paraId="11735EF7" w14:textId="77777777" w:rsidR="002C057C" w:rsidRDefault="002C057C" w:rsidP="002C057C">
      <w:pPr>
        <w:pStyle w:val="Funotentext"/>
      </w:pPr>
      <w:r>
        <w:rPr>
          <w:rStyle w:val="Funotenzeichen"/>
        </w:rPr>
        <w:footnoteRef/>
      </w:r>
      <w:r>
        <w:t xml:space="preserve"> Siehe: </w:t>
      </w:r>
      <w:hyperlink r:id="rId1524" w:history="1">
        <w:r w:rsidRPr="00A77BA6">
          <w:rPr>
            <w:rStyle w:val="Hyperlink"/>
          </w:rPr>
          <w:t>https://ec.europa.eu/commission/presscorner/detail/de/memo_13_497</w:t>
        </w:r>
      </w:hyperlink>
      <w:r>
        <w:t xml:space="preserve"> - Zugegriffen: 05.04.2025.</w:t>
      </w:r>
    </w:p>
  </w:footnote>
  <w:footnote w:id="2065">
    <w:p w14:paraId="120ED45E" w14:textId="77777777" w:rsidR="002C057C" w:rsidRDefault="002C057C" w:rsidP="002C057C">
      <w:pPr>
        <w:pStyle w:val="Funotentext"/>
      </w:pPr>
      <w:r>
        <w:rPr>
          <w:rStyle w:val="Funotenzeichen"/>
        </w:rPr>
        <w:footnoteRef/>
      </w:r>
      <w:r>
        <w:t xml:space="preserve"> Siehe ausführlich: </w:t>
      </w:r>
      <w:hyperlink r:id="rId1525" w:history="1">
        <w:r w:rsidRPr="009446E8">
          <w:rPr>
            <w:rStyle w:val="Hyperlink"/>
          </w:rPr>
          <w:t>https://www.wirtschaftsdienst.eu/inhalt/jahr/2013/heft/8/beitrag/solarstreit-kompromiss-eu-und-china.html</w:t>
        </w:r>
      </w:hyperlink>
      <w:r>
        <w:t xml:space="preserve"> - Zugegriffen: 05.04.2025.</w:t>
      </w:r>
    </w:p>
  </w:footnote>
  <w:footnote w:id="2066">
    <w:p w14:paraId="5DF5DB2F" w14:textId="77777777" w:rsidR="002C057C" w:rsidRPr="005878F6" w:rsidRDefault="002C057C" w:rsidP="002C057C">
      <w:pPr>
        <w:pStyle w:val="Funotentext"/>
        <w:rPr>
          <w:lang w:val="en-GB"/>
        </w:rPr>
      </w:pPr>
      <w:r>
        <w:rPr>
          <w:rStyle w:val="Funotenzeichen"/>
        </w:rPr>
        <w:footnoteRef/>
      </w:r>
      <w:r>
        <w:t xml:space="preserve"> Siehe den Originaltext des ‚</w:t>
      </w:r>
      <w:proofErr w:type="spellStart"/>
      <w:r>
        <w:t>undertaking</w:t>
      </w:r>
      <w:proofErr w:type="spellEnd"/>
      <w:r>
        <w:t xml:space="preserve">‘, 2. </w:t>
      </w:r>
      <w:r w:rsidRPr="00516EFF">
        <w:rPr>
          <w:lang w:val="en-GB"/>
        </w:rPr>
        <w:t xml:space="preserve">Subsequent </w:t>
      </w:r>
      <w:proofErr w:type="spellStart"/>
      <w:r w:rsidRPr="00516EFF">
        <w:rPr>
          <w:lang w:val="en-GB"/>
        </w:rPr>
        <w:t>procesure</w:t>
      </w:r>
      <w:proofErr w:type="spellEnd"/>
      <w:r w:rsidRPr="00516EFF">
        <w:rPr>
          <w:lang w:val="en-GB"/>
        </w:rPr>
        <w:t xml:space="preserve"> (4) </w:t>
      </w:r>
      <w:r>
        <w:rPr>
          <w:lang w:val="en-GB"/>
        </w:rPr>
        <w:t>“</w:t>
      </w:r>
      <w:r w:rsidRPr="00516EFF">
        <w:rPr>
          <w:lang w:val="en-GB"/>
        </w:rPr>
        <w:t>Following the adoption of the provisional anti-dumping</w:t>
      </w:r>
      <w:r>
        <w:rPr>
          <w:lang w:val="en-GB"/>
        </w:rPr>
        <w:t xml:space="preserve"> </w:t>
      </w:r>
      <w:r w:rsidRPr="00516EFF">
        <w:rPr>
          <w:lang w:val="en-GB"/>
        </w:rPr>
        <w:t>measures, the Commission continued the investigation of</w:t>
      </w:r>
      <w:r>
        <w:rPr>
          <w:lang w:val="en-GB"/>
        </w:rPr>
        <w:t xml:space="preserve"> </w:t>
      </w:r>
      <w:r w:rsidRPr="00516EFF">
        <w:rPr>
          <w:lang w:val="en-GB"/>
        </w:rPr>
        <w:t>dumping, injury and Union interest, as well as the parallel</w:t>
      </w:r>
      <w:r>
        <w:rPr>
          <w:lang w:val="en-GB"/>
        </w:rPr>
        <w:t xml:space="preserve"> </w:t>
      </w:r>
      <w:r w:rsidRPr="00516EFF">
        <w:rPr>
          <w:lang w:val="en-GB"/>
        </w:rPr>
        <w:t>anti-subsidy proceeding. Wafers have been excluded from</w:t>
      </w:r>
      <w:r>
        <w:rPr>
          <w:lang w:val="en-GB"/>
        </w:rPr>
        <w:t xml:space="preserve"> </w:t>
      </w:r>
      <w:r w:rsidRPr="00516EFF">
        <w:rPr>
          <w:lang w:val="en-GB"/>
        </w:rPr>
        <w:t>the scope of both investigations, hence from the scope of</w:t>
      </w:r>
      <w:r>
        <w:rPr>
          <w:lang w:val="en-GB"/>
        </w:rPr>
        <w:t xml:space="preserve"> </w:t>
      </w:r>
      <w:r w:rsidRPr="00516EFF">
        <w:rPr>
          <w:lang w:val="en-GB"/>
        </w:rPr>
        <w:t>the definitive measures.</w:t>
      </w:r>
      <w:r>
        <w:rPr>
          <w:lang w:val="en-GB"/>
        </w:rPr>
        <w:t xml:space="preserve">”, </w:t>
      </w:r>
      <w:proofErr w:type="spellStart"/>
      <w:r>
        <w:rPr>
          <w:lang w:val="en-GB"/>
        </w:rPr>
        <w:t>siehe</w:t>
      </w:r>
      <w:proofErr w:type="spellEnd"/>
      <w:r w:rsidRPr="00516EFF">
        <w:rPr>
          <w:lang w:val="en-GB"/>
        </w:rPr>
        <w:t xml:space="preserve">: </w:t>
      </w:r>
      <w:hyperlink r:id="rId1526" w:history="1">
        <w:r w:rsidRPr="00516EFF">
          <w:rPr>
            <w:rStyle w:val="Hyperlink"/>
            <w:lang w:val="en-GB"/>
          </w:rPr>
          <w:t>https://eur-lex.europa.eu/legal-content/EN/TXT/PDF/?uri=CELEX:32013D0707&amp;from=EN</w:t>
        </w:r>
      </w:hyperlink>
      <w:r w:rsidRPr="00516EFF">
        <w:rPr>
          <w:lang w:val="en-GB"/>
        </w:rPr>
        <w:t xml:space="preserve"> – </w:t>
      </w:r>
      <w:proofErr w:type="spellStart"/>
      <w:r w:rsidRPr="00516EFF">
        <w:rPr>
          <w:lang w:val="en-GB"/>
        </w:rPr>
        <w:t>Zugegriffen</w:t>
      </w:r>
      <w:proofErr w:type="spellEnd"/>
      <w:r w:rsidRPr="00516EFF">
        <w:rPr>
          <w:lang w:val="en-GB"/>
        </w:rPr>
        <w:t xml:space="preserve">: 09.04.2025. </w:t>
      </w:r>
      <w:r w:rsidRPr="005878F6">
        <w:rPr>
          <w:lang w:val="en-GB"/>
        </w:rPr>
        <w:t xml:space="preserve">Dort </w:t>
      </w:r>
      <w:proofErr w:type="spellStart"/>
      <w:r w:rsidRPr="005878F6">
        <w:rPr>
          <w:lang w:val="en-GB"/>
        </w:rPr>
        <w:t>findet</w:t>
      </w:r>
      <w:proofErr w:type="spellEnd"/>
      <w:r w:rsidRPr="005878F6">
        <w:rPr>
          <w:lang w:val="en-GB"/>
        </w:rPr>
        <w:t xml:space="preserve"> </w:t>
      </w:r>
      <w:proofErr w:type="spellStart"/>
      <w:r w:rsidRPr="005878F6">
        <w:rPr>
          <w:lang w:val="en-GB"/>
        </w:rPr>
        <w:t>sich</w:t>
      </w:r>
      <w:proofErr w:type="spellEnd"/>
      <w:r w:rsidRPr="005878F6">
        <w:rPr>
          <w:lang w:val="en-GB"/>
        </w:rPr>
        <w:t xml:space="preserve"> in B. Undertaking as </w:t>
      </w:r>
      <w:proofErr w:type="spellStart"/>
      <w:r w:rsidRPr="005878F6">
        <w:rPr>
          <w:lang w:val="en-GB"/>
        </w:rPr>
        <w:t>amendet</w:t>
      </w:r>
      <w:proofErr w:type="spellEnd"/>
      <w:r w:rsidRPr="005878F6">
        <w:rPr>
          <w:lang w:val="en-GB"/>
        </w:rPr>
        <w:t xml:space="preserve"> </w:t>
      </w:r>
      <w:proofErr w:type="spellStart"/>
      <w:r w:rsidRPr="005878F6">
        <w:rPr>
          <w:lang w:val="en-GB"/>
        </w:rPr>
        <w:t>unter</w:t>
      </w:r>
      <w:proofErr w:type="spellEnd"/>
      <w:r w:rsidRPr="005878F6">
        <w:rPr>
          <w:lang w:val="en-GB"/>
        </w:rPr>
        <w:t xml:space="preserve"> (10), dieses </w:t>
      </w:r>
      <w:proofErr w:type="spellStart"/>
      <w:r w:rsidRPr="005878F6">
        <w:rPr>
          <w:lang w:val="en-GB"/>
        </w:rPr>
        <w:t>Zitat</w:t>
      </w:r>
      <w:proofErr w:type="spellEnd"/>
      <w:r w:rsidRPr="005878F6">
        <w:rPr>
          <w:lang w:val="en-GB"/>
        </w:rPr>
        <w:t>: „Furthermore, the CCCME and the exporting producers requested to revise the undertaking to take account</w:t>
      </w:r>
      <w:r>
        <w:rPr>
          <w:lang w:val="en-GB"/>
        </w:rPr>
        <w:t xml:space="preserve"> </w:t>
      </w:r>
      <w:r w:rsidRPr="005878F6">
        <w:rPr>
          <w:lang w:val="en-GB"/>
        </w:rPr>
        <w:t>of the exclusion of wafers from the scope of the</w:t>
      </w:r>
    </w:p>
    <w:p w14:paraId="3BE68D64" w14:textId="77777777" w:rsidR="002C057C" w:rsidRDefault="002C057C" w:rsidP="002C057C">
      <w:pPr>
        <w:pStyle w:val="Funotentext"/>
      </w:pPr>
      <w:proofErr w:type="spellStart"/>
      <w:r>
        <w:t>investigation</w:t>
      </w:r>
      <w:proofErr w:type="spellEnd"/>
      <w:r>
        <w:t>.“</w:t>
      </w:r>
    </w:p>
  </w:footnote>
  <w:footnote w:id="2067">
    <w:p w14:paraId="16CAFDB6" w14:textId="77777777" w:rsidR="002C057C" w:rsidRDefault="002C057C" w:rsidP="002C057C">
      <w:pPr>
        <w:pStyle w:val="Funotentext"/>
      </w:pPr>
      <w:r>
        <w:rPr>
          <w:rStyle w:val="Funotenzeichen"/>
        </w:rPr>
        <w:footnoteRef/>
      </w:r>
      <w:r>
        <w:t xml:space="preserve"> Siehe: </w:t>
      </w:r>
      <w:hyperlink r:id="rId1527" w:history="1">
        <w:r w:rsidRPr="009446E8">
          <w:rPr>
            <w:rStyle w:val="Hyperlink"/>
          </w:rPr>
          <w:t>https://www.wko.at/oe/handel/maschinen-technologie/info-fotovoltaikanlagen-aus-china-2015-07-02.pdf</w:t>
        </w:r>
      </w:hyperlink>
      <w:r>
        <w:t xml:space="preserve"> - Zugegriffen: 09.04.2025. Die alten Verfahren gibt es nur noch als Excel-Datei. Siehe: </w:t>
      </w:r>
      <w:hyperlink r:id="rId1528" w:history="1">
        <w:r w:rsidRPr="009446E8">
          <w:rPr>
            <w:rStyle w:val="Hyperlink"/>
          </w:rPr>
          <w:t>https://tron.trade.ec.europa.eu/investigations/search</w:t>
        </w:r>
      </w:hyperlink>
      <w:r>
        <w:t xml:space="preserve"> </w:t>
      </w:r>
    </w:p>
  </w:footnote>
  <w:footnote w:id="2068">
    <w:p w14:paraId="0473F46E" w14:textId="77777777" w:rsidR="002C057C" w:rsidRDefault="002C057C" w:rsidP="002C057C">
      <w:pPr>
        <w:pStyle w:val="Funotentext"/>
      </w:pPr>
      <w:r>
        <w:rPr>
          <w:rStyle w:val="Funotenzeichen"/>
        </w:rPr>
        <w:footnoteRef/>
      </w:r>
      <w:r>
        <w:t xml:space="preserve"> Soweit deute ich den Originaltext des ‚</w:t>
      </w:r>
      <w:proofErr w:type="spellStart"/>
      <w:r>
        <w:t>undertaking</w:t>
      </w:r>
      <w:proofErr w:type="spellEnd"/>
      <w:r>
        <w:t xml:space="preserve">‘: </w:t>
      </w:r>
      <w:hyperlink r:id="rId1529" w:history="1">
        <w:r w:rsidRPr="009446E8">
          <w:rPr>
            <w:rStyle w:val="Hyperlink"/>
          </w:rPr>
          <w:t>https://eur-lex.europa.eu/legal-content/EN/TXT/PDF/?uri=CELEX:32013D0707&amp;from=EN</w:t>
        </w:r>
      </w:hyperlink>
      <w:r>
        <w:t xml:space="preserve"> – Zugegriffen: 09.04.2025. </w:t>
      </w:r>
    </w:p>
  </w:footnote>
  <w:footnote w:id="2069">
    <w:p w14:paraId="6F74D41C" w14:textId="77777777" w:rsidR="002C057C" w:rsidRDefault="002C057C" w:rsidP="002C057C">
      <w:pPr>
        <w:pStyle w:val="Funotentext"/>
      </w:pPr>
      <w:r>
        <w:rPr>
          <w:rStyle w:val="Funotenzeichen"/>
        </w:rPr>
        <w:footnoteRef/>
      </w:r>
      <w:r>
        <w:t xml:space="preserve"> Siehe: </w:t>
      </w:r>
      <w:hyperlink r:id="rId1530" w:history="1">
        <w:r w:rsidRPr="00A14441">
          <w:rPr>
            <w:rStyle w:val="Hyperlink"/>
          </w:rPr>
          <w:t>https://www.solarbranche.de/news/nachrichten/artikel-23721-bundesregierung-nun-offiziell-gegen-eu-strafzolle-auf-chinesische-solarprodukte</w:t>
        </w:r>
      </w:hyperlink>
      <w:r>
        <w:t xml:space="preserve"> - Zugegriffen: 06.04.2025. </w:t>
      </w:r>
    </w:p>
  </w:footnote>
  <w:footnote w:id="2070">
    <w:p w14:paraId="6FFA2031" w14:textId="77777777" w:rsidR="002C057C" w:rsidRDefault="002C057C" w:rsidP="002C057C">
      <w:pPr>
        <w:pStyle w:val="Funotentext"/>
      </w:pPr>
      <w:r>
        <w:rPr>
          <w:rStyle w:val="Funotenzeichen"/>
        </w:rPr>
        <w:footnoteRef/>
      </w:r>
      <w:r>
        <w:t xml:space="preserve"> Siehe, S. 2: </w:t>
      </w:r>
      <w:r w:rsidRPr="004A1979">
        <w:t>https://opendata.uni-halle.de/bitstream/1981185920/73763/1/iwr_144_496.pdf</w:t>
      </w:r>
    </w:p>
  </w:footnote>
  <w:footnote w:id="2071">
    <w:p w14:paraId="69B1F8E6" w14:textId="77777777" w:rsidR="002C057C" w:rsidRDefault="002C057C" w:rsidP="002C057C">
      <w:pPr>
        <w:pStyle w:val="Funotentext"/>
      </w:pPr>
      <w:r>
        <w:rPr>
          <w:rStyle w:val="Funotenzeichen"/>
        </w:rPr>
        <w:footnoteRef/>
      </w:r>
      <w:r>
        <w:t xml:space="preserve"> Siehe: </w:t>
      </w:r>
      <w:hyperlink r:id="rId1531" w:history="1">
        <w:r w:rsidRPr="00A14441">
          <w:rPr>
            <w:rStyle w:val="Hyperlink"/>
          </w:rPr>
          <w:t>https://de.wikipedia.org/wiki/Solarworld</w:t>
        </w:r>
      </w:hyperlink>
      <w:r>
        <w:t xml:space="preserve"> - Zugegriffen: 06.04.2025. </w:t>
      </w:r>
    </w:p>
  </w:footnote>
  <w:footnote w:id="2072">
    <w:p w14:paraId="6BA68E8E" w14:textId="77777777" w:rsidR="002C057C" w:rsidRDefault="002C057C" w:rsidP="002C057C">
      <w:pPr>
        <w:pStyle w:val="Funotentext"/>
      </w:pPr>
      <w:r>
        <w:rPr>
          <w:rStyle w:val="Funotenzeichen"/>
        </w:rPr>
        <w:footnoteRef/>
      </w:r>
      <w:r>
        <w:t xml:space="preserve"> Siehe: </w:t>
      </w:r>
      <w:hyperlink r:id="rId1532" w:history="1">
        <w:r w:rsidRPr="009446E8">
          <w:rPr>
            <w:rStyle w:val="Hyperlink"/>
          </w:rPr>
          <w:t>https://ec.europa.eu/commission/presscorner/detail/de/memo_12_647</w:t>
        </w:r>
      </w:hyperlink>
      <w:r>
        <w:t xml:space="preserve"> - Zugegriffen: 09.04.2025. </w:t>
      </w:r>
      <w:proofErr w:type="spellStart"/>
      <w:r>
        <w:t>Solarworld</w:t>
      </w:r>
      <w:proofErr w:type="spellEnd"/>
      <w:r>
        <w:t xml:space="preserve"> wurde von mir hier hinzugefügt, diese Firma wurde in diesem Dokument nicht erwähnt. </w:t>
      </w:r>
    </w:p>
  </w:footnote>
  <w:footnote w:id="2073">
    <w:p w14:paraId="1302A20A" w14:textId="77777777" w:rsidR="00695005" w:rsidRDefault="00695005" w:rsidP="00695005">
      <w:pPr>
        <w:pStyle w:val="Funotentext"/>
      </w:pPr>
      <w:r>
        <w:rPr>
          <w:rStyle w:val="Funotenzeichen"/>
        </w:rPr>
        <w:footnoteRef/>
      </w:r>
      <w:r>
        <w:t xml:space="preserve"> Siehe: </w:t>
      </w:r>
      <w:hyperlink r:id="rId1533" w:history="1">
        <w:r w:rsidRPr="00A14441">
          <w:rPr>
            <w:rStyle w:val="Hyperlink"/>
          </w:rPr>
          <w:t>https://de.wikipedia.org/wiki/Solarworld</w:t>
        </w:r>
      </w:hyperlink>
      <w:r>
        <w:t xml:space="preserve"> - Zugegriffen: 06.04.2025. </w:t>
      </w:r>
    </w:p>
  </w:footnote>
  <w:footnote w:id="2074">
    <w:p w14:paraId="6FB7D937" w14:textId="77777777" w:rsidR="002C057C" w:rsidRDefault="002C057C" w:rsidP="002C057C">
      <w:pPr>
        <w:pStyle w:val="Funotentext"/>
      </w:pPr>
      <w:r>
        <w:rPr>
          <w:rStyle w:val="Funotenzeichen"/>
        </w:rPr>
        <w:footnoteRef/>
      </w:r>
      <w:r>
        <w:t xml:space="preserve"> Siehe: </w:t>
      </w:r>
      <w:hyperlink r:id="rId1534" w:history="1">
        <w:r w:rsidRPr="009446E8">
          <w:rPr>
            <w:rStyle w:val="Hyperlink"/>
          </w:rPr>
          <w:t>https://www.wko.at/aussenwirtschaft/solarglas</w:t>
        </w:r>
      </w:hyperlink>
      <w:r>
        <w:t xml:space="preserve"> - Zugegriffen: 06.04.2025.</w:t>
      </w:r>
    </w:p>
  </w:footnote>
  <w:footnote w:id="2075">
    <w:p w14:paraId="7B150817" w14:textId="77777777" w:rsidR="002C057C" w:rsidRDefault="002C057C" w:rsidP="002C057C">
      <w:pPr>
        <w:pStyle w:val="Funotentext"/>
      </w:pPr>
      <w:r>
        <w:rPr>
          <w:rStyle w:val="Funotenzeichen"/>
        </w:rPr>
        <w:footnoteRef/>
      </w:r>
      <w:r>
        <w:t xml:space="preserve"> Siehe: </w:t>
      </w:r>
      <w:hyperlink r:id="rId1535" w:history="1">
        <w:r w:rsidRPr="00A14441">
          <w:rPr>
            <w:rStyle w:val="Hyperlink"/>
          </w:rPr>
          <w:t>https://eur-lex.europa.eu/legal-content/DE/TXT/?uri=uriserv:OJ.C_.2012.340.01.0013.01.DEU</w:t>
        </w:r>
      </w:hyperlink>
      <w:r>
        <w:t xml:space="preserve"> – Zugegriffen: 06.04.2025.</w:t>
      </w:r>
    </w:p>
  </w:footnote>
  <w:footnote w:id="2076">
    <w:p w14:paraId="70E456F5" w14:textId="77777777" w:rsidR="002C057C" w:rsidRDefault="002C057C" w:rsidP="002C057C">
      <w:pPr>
        <w:pStyle w:val="Funotentext"/>
      </w:pPr>
      <w:r>
        <w:rPr>
          <w:rStyle w:val="Funotenzeichen"/>
        </w:rPr>
        <w:footnoteRef/>
      </w:r>
      <w:r>
        <w:t xml:space="preserve"> Siehe: </w:t>
      </w:r>
      <w:hyperlink r:id="rId1536" w:history="1">
        <w:r w:rsidRPr="006D452E">
          <w:rPr>
            <w:rStyle w:val="Hyperlink"/>
          </w:rPr>
          <w:t>http://www.prosunglass.org/</w:t>
        </w:r>
      </w:hyperlink>
    </w:p>
  </w:footnote>
  <w:footnote w:id="2077">
    <w:p w14:paraId="02E8F7E8" w14:textId="77777777" w:rsidR="002C057C" w:rsidRDefault="002C057C" w:rsidP="002C057C">
      <w:pPr>
        <w:pStyle w:val="Funotentext"/>
      </w:pPr>
      <w:r>
        <w:rPr>
          <w:rStyle w:val="Funotenzeichen"/>
        </w:rPr>
        <w:footnoteRef/>
      </w:r>
      <w:r>
        <w:t xml:space="preserve"> Siehe: </w:t>
      </w:r>
      <w:hyperlink r:id="rId1537" w:history="1">
        <w:r w:rsidRPr="00A14441">
          <w:rPr>
            <w:rStyle w:val="Hyperlink"/>
          </w:rPr>
          <w:t>https://www.euractiv.de/section/energie-und-umwelt/news/ende-der-eu-schutzzoelle-auf-chinesische-solarzellen/</w:t>
        </w:r>
      </w:hyperlink>
      <w:r>
        <w:t xml:space="preserve"> - 06.04.2025. </w:t>
      </w:r>
    </w:p>
  </w:footnote>
  <w:footnote w:id="2078">
    <w:p w14:paraId="3E7B3F58" w14:textId="77777777" w:rsidR="002C057C" w:rsidRDefault="002C057C" w:rsidP="002C057C">
      <w:pPr>
        <w:pStyle w:val="Funotentext"/>
      </w:pPr>
      <w:r>
        <w:rPr>
          <w:rStyle w:val="Funotenzeichen"/>
        </w:rPr>
        <w:footnoteRef/>
      </w:r>
      <w:r>
        <w:t xml:space="preserve"> Siehe: </w:t>
      </w:r>
      <w:hyperlink r:id="rId1538" w:history="1">
        <w:r w:rsidRPr="007050C8">
          <w:rPr>
            <w:rStyle w:val="Hyperlink"/>
          </w:rPr>
          <w:t>https://www.augsburger-allgemeine.de/wirtschaft/Energie-Der-Niedergang-der-deutschen-Solarwirtschaft-id41477701.html</w:t>
        </w:r>
      </w:hyperlink>
      <w:r>
        <w:t xml:space="preserve"> - Zugegriffen: 04.04.2025. </w:t>
      </w:r>
    </w:p>
  </w:footnote>
  <w:footnote w:id="2079">
    <w:p w14:paraId="1939F86D" w14:textId="77777777" w:rsidR="002C057C" w:rsidRDefault="002C057C" w:rsidP="002C057C">
      <w:pPr>
        <w:pStyle w:val="Funotentext"/>
      </w:pPr>
      <w:r>
        <w:rPr>
          <w:rStyle w:val="Funotenzeichen"/>
        </w:rPr>
        <w:footnoteRef/>
      </w:r>
      <w:r>
        <w:t xml:space="preserve"> Siehe: </w:t>
      </w:r>
      <w:hyperlink r:id="rId1539" w:history="1">
        <w:r w:rsidRPr="009B1266">
          <w:rPr>
            <w:rStyle w:val="Hyperlink"/>
          </w:rPr>
          <w:t>https://en.wikipedia.org/wiki/Qcells</w:t>
        </w:r>
      </w:hyperlink>
      <w:r>
        <w:t xml:space="preserve"> - Zugegriffen: 05.04.2025. Siehe auch: </w:t>
      </w:r>
      <w:hyperlink r:id="rId1540" w:history="1">
        <w:r w:rsidRPr="00E24B3A">
          <w:rPr>
            <w:rStyle w:val="Hyperlink"/>
          </w:rPr>
          <w:t>https://www.q-cells.de/privatkunden/solaranlage/eigene-solaranlage</w:t>
        </w:r>
      </w:hyperlink>
    </w:p>
  </w:footnote>
  <w:footnote w:id="2080">
    <w:p w14:paraId="5FFC35D4" w14:textId="77777777" w:rsidR="002C057C" w:rsidRDefault="002C057C" w:rsidP="002C057C">
      <w:pPr>
        <w:pStyle w:val="Funotentext"/>
      </w:pPr>
      <w:r>
        <w:rPr>
          <w:rStyle w:val="Funotenzeichen"/>
        </w:rPr>
        <w:footnoteRef/>
      </w:r>
      <w:r>
        <w:t xml:space="preserve"> Siehe: </w:t>
      </w:r>
      <w:hyperlink r:id="rId1541" w:history="1">
        <w:r w:rsidRPr="00E24B3A">
          <w:rPr>
            <w:rStyle w:val="Hyperlink"/>
          </w:rPr>
          <w:t>https://www.centrotherm.de/de</w:t>
        </w:r>
      </w:hyperlink>
    </w:p>
  </w:footnote>
  <w:footnote w:id="2081">
    <w:p w14:paraId="69A9E3C0" w14:textId="77777777" w:rsidR="002C057C" w:rsidRDefault="002C057C" w:rsidP="002C057C">
      <w:pPr>
        <w:pStyle w:val="Funotentext"/>
      </w:pPr>
      <w:r>
        <w:rPr>
          <w:rStyle w:val="Funotenzeichen"/>
        </w:rPr>
        <w:footnoteRef/>
      </w:r>
      <w:r>
        <w:t xml:space="preserve"> Siehe: </w:t>
      </w:r>
      <w:hyperlink r:id="rId1542" w:history="1">
        <w:r w:rsidRPr="00A14441">
          <w:rPr>
            <w:rStyle w:val="Hyperlink"/>
          </w:rPr>
          <w:t>https://web.archive.org/web/20180412150449/https://www.solarworld.de/home/</w:t>
        </w:r>
      </w:hyperlink>
      <w:r>
        <w:t xml:space="preserve"> - Zugegriffen: 06.04.2025. </w:t>
      </w:r>
    </w:p>
  </w:footnote>
  <w:footnote w:id="2082">
    <w:p w14:paraId="682C8123" w14:textId="77777777" w:rsidR="002C057C" w:rsidRPr="007F3E48" w:rsidRDefault="002C057C" w:rsidP="002C057C">
      <w:pPr>
        <w:pStyle w:val="Funotentext"/>
      </w:pPr>
      <w:r>
        <w:rPr>
          <w:rStyle w:val="Funotenzeichen"/>
        </w:rPr>
        <w:footnoteRef/>
      </w:r>
      <w:r>
        <w:t xml:space="preserve"> Schmidt, C./Schild, J. (2016). </w:t>
      </w:r>
      <w:r w:rsidRPr="000544C8">
        <w:t xml:space="preserve">Schmidt, Clemens, Schild, Joachim. </w:t>
      </w:r>
      <w:r w:rsidRPr="007F3E48">
        <w:rPr>
          <w:lang w:val="en-GB"/>
        </w:rPr>
        <w:t>Solar (Lobbying) Activity. Import-Dependent</w:t>
      </w:r>
      <w:r>
        <w:rPr>
          <w:lang w:val="en-GB"/>
        </w:rPr>
        <w:t xml:space="preserve"> </w:t>
      </w:r>
      <w:r w:rsidRPr="007F3E48">
        <w:rPr>
          <w:lang w:val="en-GB"/>
        </w:rPr>
        <w:t xml:space="preserve">Firms in the EU’s Photovoltaic Trade Case against China. </w:t>
      </w:r>
      <w:r>
        <w:t>Arbeitspapiere zur Europäischen Integration / Working</w:t>
      </w:r>
      <w:r w:rsidRPr="007F3E48">
        <w:t xml:space="preserve"> </w:t>
      </w:r>
      <w:r>
        <w:t xml:space="preserve">Papers on European Integration, Nr. 9 – Juni 2016, siehe: </w:t>
      </w:r>
      <w:hyperlink r:id="rId1543" w:history="1">
        <w:r w:rsidRPr="007F3E48">
          <w:rPr>
            <w:rStyle w:val="Hyperlink"/>
          </w:rPr>
          <w:t>https://www.uni-trier.de/universitaet/fachbereiche-faecher/fachbereich-iii/faecher/politikwissenschaft/team/vergleichende-regierungslehre/team/schild-joachim/forschung/arbeitspapiere-zur-eu</w:t>
        </w:r>
      </w:hyperlink>
      <w:r w:rsidRPr="007F3E48">
        <w:t xml:space="preserve"> - nicht</w:t>
      </w:r>
      <w:r>
        <w:t xml:space="preserve"> mehr verfügbar auf der Webseite 04.04.2025. </w:t>
      </w:r>
    </w:p>
  </w:footnote>
  <w:footnote w:id="2083">
    <w:p w14:paraId="0E62FD6D" w14:textId="77777777" w:rsidR="002C057C" w:rsidRDefault="002C057C" w:rsidP="002C057C">
      <w:pPr>
        <w:pStyle w:val="Funotentext"/>
      </w:pPr>
      <w:r>
        <w:rPr>
          <w:rStyle w:val="Funotenzeichen"/>
        </w:rPr>
        <w:footnoteRef/>
      </w:r>
      <w:r>
        <w:t xml:space="preserve"> Siehe: </w:t>
      </w:r>
      <w:hyperlink r:id="rId1544" w:history="1">
        <w:r w:rsidRPr="00A14441">
          <w:rPr>
            <w:rStyle w:val="Hyperlink"/>
          </w:rPr>
          <w:t>https://www.owlaw.de/zollrecht/antidumpingzoll/antidumpingzoll-solarglas-aus-china/</w:t>
        </w:r>
      </w:hyperlink>
      <w:r>
        <w:t xml:space="preserve"> - Zugegriffen: 06.04.2025.</w:t>
      </w:r>
    </w:p>
  </w:footnote>
  <w:footnote w:id="2084">
    <w:p w14:paraId="06A0ECAF" w14:textId="77777777" w:rsidR="002C057C" w:rsidRDefault="002C057C" w:rsidP="002C057C">
      <w:pPr>
        <w:pStyle w:val="Funotentext"/>
      </w:pPr>
      <w:r>
        <w:rPr>
          <w:rStyle w:val="Funotenzeichen"/>
        </w:rPr>
        <w:footnoteRef/>
      </w:r>
      <w:r>
        <w:t xml:space="preserve"> Siehe meinen China Text, S. 128-132: </w:t>
      </w:r>
      <w:hyperlink r:id="rId1545" w:history="1">
        <w:r w:rsidRPr="007050C8">
          <w:rPr>
            <w:rStyle w:val="Hyperlink"/>
          </w:rPr>
          <w:t>https://www.tradefocus.de/U.HermannsChinaOrdoDynamikReport2020.pdf</w:t>
        </w:r>
      </w:hyperlink>
      <w:r>
        <w:t xml:space="preserve"> - Zugegriffen: 04.04.2025. </w:t>
      </w:r>
    </w:p>
  </w:footnote>
  <w:footnote w:id="2085">
    <w:p w14:paraId="66A49DE2" w14:textId="74A490D1" w:rsidR="002C057C" w:rsidRDefault="002C057C" w:rsidP="002C057C">
      <w:pPr>
        <w:pStyle w:val="Funotentext"/>
      </w:pPr>
      <w:r>
        <w:rPr>
          <w:rStyle w:val="Funotenzeichen"/>
        </w:rPr>
        <w:footnoteRef/>
      </w:r>
      <w:r>
        <w:t xml:space="preserve"> Siehe </w:t>
      </w:r>
      <w:proofErr w:type="gramStart"/>
      <w:r w:rsidR="004F3AA0">
        <w:t>zu diesen Abschnitt</w:t>
      </w:r>
      <w:proofErr w:type="gramEnd"/>
      <w:r w:rsidR="004F3AA0">
        <w:t xml:space="preserve"> </w:t>
      </w:r>
      <w:r>
        <w:t xml:space="preserve">meinen China Text, S. 128-132: </w:t>
      </w:r>
      <w:hyperlink r:id="rId1546" w:history="1">
        <w:r w:rsidRPr="007050C8">
          <w:rPr>
            <w:rStyle w:val="Hyperlink"/>
          </w:rPr>
          <w:t>https://www.tradefocus.de/U.HermannsChinaOrdoDynamikReport2020.pdf</w:t>
        </w:r>
      </w:hyperlink>
      <w:r>
        <w:t xml:space="preserve"> - Zugegriffen: 04.04.2025. </w:t>
      </w:r>
    </w:p>
  </w:footnote>
  <w:footnote w:id="2086">
    <w:p w14:paraId="3B8B32FD" w14:textId="77777777" w:rsidR="00DB2BAC" w:rsidRPr="008C435F" w:rsidRDefault="00DB2BAC" w:rsidP="00DB2BAC">
      <w:pPr>
        <w:pStyle w:val="Funotentext"/>
      </w:pPr>
      <w:r>
        <w:rPr>
          <w:rStyle w:val="Funotenzeichen"/>
        </w:rPr>
        <w:footnoteRef/>
      </w:r>
      <w:r w:rsidRPr="008C435F">
        <w:t xml:space="preserve"> Siehe: </w:t>
      </w:r>
      <w:hyperlink r:id="rId1547" w:history="1">
        <w:r w:rsidRPr="00FD590F">
          <w:rPr>
            <w:rStyle w:val="Hyperlink"/>
          </w:rPr>
          <w:t>https://de.wikipedia.org/wiki/First_Solar</w:t>
        </w:r>
      </w:hyperlink>
      <w:r>
        <w:t xml:space="preserve"> - Zugegriffen: 05.04.2025. Siehe die Tabelle in: </w:t>
      </w:r>
      <w:hyperlink r:id="rId1548" w:history="1">
        <w:r w:rsidRPr="00FD590F">
          <w:rPr>
            <w:rStyle w:val="Hyperlink"/>
          </w:rPr>
          <w:t>https://seia.org/research-resources/american-solar-storage-manufacturing-renaissance-managing-transition-away-china/</w:t>
        </w:r>
      </w:hyperlink>
      <w:r>
        <w:t xml:space="preserve"> - Zugegriffen: 05.04.2025. </w:t>
      </w:r>
    </w:p>
  </w:footnote>
  <w:footnote w:id="2087">
    <w:p w14:paraId="5449DCAA" w14:textId="77777777" w:rsidR="002C057C" w:rsidRDefault="002C057C" w:rsidP="002C057C">
      <w:pPr>
        <w:pStyle w:val="Funotentext"/>
      </w:pPr>
      <w:r>
        <w:rPr>
          <w:rStyle w:val="Funotenzeichen"/>
        </w:rPr>
        <w:footnoteRef/>
      </w:r>
      <w:r>
        <w:t xml:space="preserve"> </w:t>
      </w:r>
      <w:r w:rsidRPr="00594625">
        <w:t xml:space="preserve">Siehe z.B. hier: </w:t>
      </w:r>
      <w:hyperlink r:id="rId1549" w:history="1">
        <w:r w:rsidRPr="00594625">
          <w:rPr>
            <w:rStyle w:val="Hyperlink"/>
          </w:rPr>
          <w:t>https://www.tradelawcounsel.com/solar</w:t>
        </w:r>
      </w:hyperlink>
      <w:r w:rsidRPr="00594625">
        <w:t xml:space="preserve"> - Zugegriffen: 04.04.2025.</w:t>
      </w:r>
    </w:p>
  </w:footnote>
  <w:footnote w:id="2088">
    <w:p w14:paraId="30A33F60" w14:textId="77777777" w:rsidR="002C057C" w:rsidRPr="00F769C8" w:rsidRDefault="002C057C" w:rsidP="002C057C">
      <w:pPr>
        <w:pStyle w:val="Funotentext"/>
        <w:rPr>
          <w:lang w:val="nl-NL"/>
        </w:rPr>
      </w:pPr>
      <w:r>
        <w:rPr>
          <w:rStyle w:val="Funotenzeichen"/>
        </w:rPr>
        <w:footnoteRef/>
      </w:r>
      <w:r w:rsidRPr="00F769C8">
        <w:rPr>
          <w:lang w:val="nl-NL"/>
        </w:rPr>
        <w:t xml:space="preserve"> DOE Solar 2022: 5, 42.</w:t>
      </w:r>
    </w:p>
  </w:footnote>
  <w:footnote w:id="2089">
    <w:p w14:paraId="01C302A5" w14:textId="77777777" w:rsidR="002C057C" w:rsidRPr="00F769C8" w:rsidRDefault="002C057C" w:rsidP="002C057C">
      <w:pPr>
        <w:pStyle w:val="Funotentext"/>
        <w:rPr>
          <w:lang w:val="nl-NL"/>
        </w:rPr>
      </w:pPr>
      <w:r>
        <w:rPr>
          <w:rStyle w:val="Funotenzeichen"/>
        </w:rPr>
        <w:footnoteRef/>
      </w:r>
      <w:r w:rsidRPr="00F769C8">
        <w:rPr>
          <w:lang w:val="nl-NL"/>
        </w:rPr>
        <w:t xml:space="preserve"> DOE Solar 2022: 34.</w:t>
      </w:r>
    </w:p>
  </w:footnote>
  <w:footnote w:id="2090">
    <w:p w14:paraId="31493355" w14:textId="77777777" w:rsidR="002C057C" w:rsidRPr="00F769C8" w:rsidRDefault="002C057C" w:rsidP="002C057C">
      <w:pPr>
        <w:pStyle w:val="Funotentext"/>
        <w:rPr>
          <w:lang w:val="nl-NL"/>
        </w:rPr>
      </w:pPr>
      <w:r>
        <w:rPr>
          <w:rStyle w:val="Funotenzeichen"/>
        </w:rPr>
        <w:footnoteRef/>
      </w:r>
      <w:r w:rsidRPr="00F769C8">
        <w:rPr>
          <w:lang w:val="nl-NL"/>
        </w:rPr>
        <w:t xml:space="preserve"> DOE Solar 2022: 42.</w:t>
      </w:r>
    </w:p>
  </w:footnote>
  <w:footnote w:id="2091">
    <w:p w14:paraId="604310FB" w14:textId="77777777" w:rsidR="002C057C" w:rsidRPr="004630FB" w:rsidRDefault="002C057C" w:rsidP="002C057C">
      <w:pPr>
        <w:pStyle w:val="Funotentext"/>
      </w:pPr>
      <w:r>
        <w:rPr>
          <w:rStyle w:val="Funotenzeichen"/>
        </w:rPr>
        <w:footnoteRef/>
      </w:r>
      <w:r w:rsidRPr="004630FB">
        <w:t xml:space="preserve"> DOE Solar 2022: 42.</w:t>
      </w:r>
    </w:p>
  </w:footnote>
  <w:footnote w:id="2092">
    <w:p w14:paraId="07EF5A82" w14:textId="77777777" w:rsidR="002C057C" w:rsidRDefault="002C057C" w:rsidP="002C057C">
      <w:pPr>
        <w:pStyle w:val="Funotentext"/>
      </w:pPr>
      <w:r>
        <w:rPr>
          <w:rStyle w:val="Funotenzeichen"/>
        </w:rPr>
        <w:footnoteRef/>
      </w:r>
      <w:r>
        <w:t xml:space="preserve"> Etwa der China-weite Zoll von 238,95 %, mit einigen Firmen, die nur 15,85 % Antidumpingzölle zahlen müssen in einem ADD Annual Review, 27. Juli 2018, siehe: </w:t>
      </w:r>
      <w:hyperlink r:id="rId1550" w:history="1">
        <w:r w:rsidRPr="009B1266">
          <w:rPr>
            <w:rStyle w:val="Hyperlink"/>
          </w:rPr>
          <w:t>https://www.tradelawcounsel.com/solar</w:t>
        </w:r>
      </w:hyperlink>
      <w:r>
        <w:t xml:space="preserve"> - Zugegriffen: 05.04.2025. </w:t>
      </w:r>
    </w:p>
  </w:footnote>
  <w:footnote w:id="2093">
    <w:p w14:paraId="046FE13B" w14:textId="77777777" w:rsidR="002C057C" w:rsidRDefault="002C057C" w:rsidP="002C057C">
      <w:pPr>
        <w:pStyle w:val="Funotentext"/>
      </w:pPr>
      <w:r>
        <w:rPr>
          <w:rStyle w:val="Funotenzeichen"/>
        </w:rPr>
        <w:footnoteRef/>
      </w:r>
      <w:r>
        <w:t xml:space="preserve"> Siehe: </w:t>
      </w:r>
      <w:hyperlink r:id="rId1551" w:history="1">
        <w:r w:rsidRPr="00A14441">
          <w:rPr>
            <w:rStyle w:val="Hyperlink"/>
          </w:rPr>
          <w:t>https://de.wikipedia.org/wiki/Solarworld</w:t>
        </w:r>
      </w:hyperlink>
      <w:r>
        <w:t xml:space="preserve"> - Zugegriffen: 06.04.2025. </w:t>
      </w:r>
    </w:p>
  </w:footnote>
  <w:footnote w:id="2094">
    <w:p w14:paraId="53204A28" w14:textId="77777777" w:rsidR="002C057C" w:rsidRPr="00F769C8" w:rsidRDefault="002C057C" w:rsidP="002C057C">
      <w:pPr>
        <w:pStyle w:val="Funotentext"/>
        <w:rPr>
          <w:lang w:val="nl-NL"/>
        </w:rPr>
      </w:pPr>
      <w:r>
        <w:rPr>
          <w:rStyle w:val="Funotenzeichen"/>
        </w:rPr>
        <w:footnoteRef/>
      </w:r>
      <w:r w:rsidRPr="00F769C8">
        <w:rPr>
          <w:lang w:val="nl-NL"/>
        </w:rPr>
        <w:t xml:space="preserve"> DOE Solar 2022: 42.</w:t>
      </w:r>
    </w:p>
  </w:footnote>
  <w:footnote w:id="2095">
    <w:p w14:paraId="18C9C370" w14:textId="77777777" w:rsidR="002C057C" w:rsidRPr="00F769C8" w:rsidRDefault="002C057C" w:rsidP="002C057C">
      <w:pPr>
        <w:pStyle w:val="Funotentext"/>
        <w:rPr>
          <w:lang w:val="nl-NL"/>
        </w:rPr>
      </w:pPr>
      <w:r>
        <w:rPr>
          <w:rStyle w:val="Funotenzeichen"/>
        </w:rPr>
        <w:footnoteRef/>
      </w:r>
      <w:r w:rsidRPr="00F769C8">
        <w:rPr>
          <w:lang w:val="nl-NL"/>
        </w:rPr>
        <w:t xml:space="preserve"> DOE Solar 2022: 49.</w:t>
      </w:r>
    </w:p>
  </w:footnote>
  <w:footnote w:id="2096">
    <w:p w14:paraId="0F5B708A" w14:textId="77777777" w:rsidR="002C057C" w:rsidRPr="00F769C8" w:rsidRDefault="002C057C" w:rsidP="002C057C">
      <w:pPr>
        <w:pStyle w:val="Funotentext"/>
        <w:rPr>
          <w:lang w:val="nl-NL"/>
        </w:rPr>
      </w:pPr>
      <w:r>
        <w:rPr>
          <w:rStyle w:val="Funotenzeichen"/>
        </w:rPr>
        <w:footnoteRef/>
      </w:r>
      <w:r w:rsidRPr="00F769C8">
        <w:rPr>
          <w:lang w:val="nl-NL"/>
        </w:rPr>
        <w:t xml:space="preserve"> DOE Solar 2022: 5.</w:t>
      </w:r>
    </w:p>
  </w:footnote>
  <w:footnote w:id="2097">
    <w:p w14:paraId="41F9113C" w14:textId="77777777" w:rsidR="002C057C" w:rsidRDefault="002C057C" w:rsidP="002C057C">
      <w:pPr>
        <w:pStyle w:val="Funotentext"/>
      </w:pPr>
      <w:r>
        <w:rPr>
          <w:rStyle w:val="Funotenzeichen"/>
        </w:rPr>
        <w:footnoteRef/>
      </w:r>
      <w:r>
        <w:t xml:space="preserve"> </w:t>
      </w:r>
      <w:bookmarkStart w:id="115" w:name="_Hlk194752559"/>
      <w:r>
        <w:t xml:space="preserve">Siehe z.B. hier: </w:t>
      </w:r>
      <w:hyperlink r:id="rId1552" w:history="1">
        <w:r w:rsidRPr="007050C8">
          <w:rPr>
            <w:rStyle w:val="Hyperlink"/>
          </w:rPr>
          <w:t>https://www.tradelawcounsel.com/solar</w:t>
        </w:r>
      </w:hyperlink>
      <w:r>
        <w:t xml:space="preserve"> - Zugegriffen: 04.04.2025. </w:t>
      </w:r>
      <w:bookmarkEnd w:id="115"/>
    </w:p>
  </w:footnote>
  <w:footnote w:id="2098">
    <w:p w14:paraId="0B16FFFE" w14:textId="77777777" w:rsidR="002C057C" w:rsidRDefault="002C057C" w:rsidP="002C057C">
      <w:pPr>
        <w:pStyle w:val="Funotentext"/>
      </w:pPr>
      <w:r>
        <w:rPr>
          <w:rStyle w:val="Funotenzeichen"/>
        </w:rPr>
        <w:footnoteRef/>
      </w:r>
      <w:r>
        <w:t xml:space="preserve"> DOE Solar 2022, siehe: </w:t>
      </w:r>
      <w:hyperlink r:id="rId1553" w:history="1">
        <w:r w:rsidRPr="00907554">
          <w:rPr>
            <w:rStyle w:val="Hyperlink"/>
          </w:rPr>
          <w:t>https://www.energy.gov/sites/default/files/2022-02/Solar%20Energy%20Supply%20Chain%20Report%20-%20Final.pdf</w:t>
        </w:r>
      </w:hyperlink>
      <w:r>
        <w:t xml:space="preserve"> – Zugegriffen: 14.07.2024. </w:t>
      </w:r>
    </w:p>
  </w:footnote>
  <w:footnote w:id="2099">
    <w:p w14:paraId="0C677AE9" w14:textId="77777777" w:rsidR="002C057C" w:rsidRDefault="002C057C" w:rsidP="002C057C">
      <w:pPr>
        <w:pStyle w:val="Funotentext"/>
      </w:pPr>
      <w:r>
        <w:rPr>
          <w:rStyle w:val="Funotenzeichen"/>
        </w:rPr>
        <w:footnoteRef/>
      </w:r>
      <w:r>
        <w:t xml:space="preserve"> Zumindest im Jahr 2022, siehe: </w:t>
      </w:r>
      <w:hyperlink r:id="rId1554" w:history="1">
        <w:r w:rsidRPr="00FD590F">
          <w:rPr>
            <w:rStyle w:val="Hyperlink"/>
          </w:rPr>
          <w:t>https://seia.org/research-resources/american-solar-storage-manufacturing-renaissance-managing-transition-away-china/</w:t>
        </w:r>
      </w:hyperlink>
      <w:r>
        <w:t xml:space="preserve"> - Zugegriffen: 05.04.2025. </w:t>
      </w:r>
    </w:p>
  </w:footnote>
  <w:footnote w:id="2100">
    <w:p w14:paraId="78E2E2A1" w14:textId="77777777" w:rsidR="002C057C" w:rsidRPr="00A5368C" w:rsidRDefault="002C057C" w:rsidP="002C057C">
      <w:pPr>
        <w:pStyle w:val="Funotentext"/>
      </w:pPr>
      <w:r>
        <w:rPr>
          <w:rStyle w:val="Funotenzeichen"/>
        </w:rPr>
        <w:footnoteRef/>
      </w:r>
      <w:r w:rsidRPr="00A5368C">
        <w:t xml:space="preserve"> DOE Solar 2022: 4-5.</w:t>
      </w:r>
    </w:p>
  </w:footnote>
  <w:footnote w:id="2101">
    <w:p w14:paraId="331D3E37" w14:textId="77777777" w:rsidR="002C057C" w:rsidRPr="00C77DE8" w:rsidRDefault="002C057C" w:rsidP="002C057C">
      <w:pPr>
        <w:pStyle w:val="Funotentext"/>
      </w:pPr>
      <w:r>
        <w:rPr>
          <w:rStyle w:val="Funotenzeichen"/>
        </w:rPr>
        <w:footnoteRef/>
      </w:r>
      <w:r w:rsidRPr="00C77DE8">
        <w:t xml:space="preserve"> Siehe: </w:t>
      </w:r>
      <w:hyperlink r:id="rId1555" w:history="1">
        <w:r w:rsidRPr="00FD590F">
          <w:rPr>
            <w:rStyle w:val="Hyperlink"/>
          </w:rPr>
          <w:t>https://www.tradelawcounsel.com/solar</w:t>
        </w:r>
      </w:hyperlink>
      <w:r>
        <w:t xml:space="preserve"> - Zugegriffen: 04.04.2025.</w:t>
      </w:r>
    </w:p>
  </w:footnote>
  <w:footnote w:id="2102">
    <w:p w14:paraId="03E8840C" w14:textId="77777777" w:rsidR="002C057C" w:rsidRPr="00C77DE8" w:rsidRDefault="002C057C" w:rsidP="002C057C">
      <w:pPr>
        <w:pStyle w:val="Funotentext"/>
      </w:pPr>
      <w:r>
        <w:rPr>
          <w:rStyle w:val="Funotenzeichen"/>
        </w:rPr>
        <w:footnoteRef/>
      </w:r>
      <w:r w:rsidRPr="00C77DE8">
        <w:t xml:space="preserve"> Siehe: </w:t>
      </w:r>
      <w:hyperlink r:id="rId1556" w:history="1">
        <w:r w:rsidRPr="00FD590F">
          <w:rPr>
            <w:rStyle w:val="Hyperlink"/>
          </w:rPr>
          <w:t>https://seia.org/news/solar-tariff-impacts/</w:t>
        </w:r>
      </w:hyperlink>
      <w:r>
        <w:t xml:space="preserve"> - Zugegriffen: 05.04.2025. </w:t>
      </w:r>
    </w:p>
  </w:footnote>
  <w:footnote w:id="2103">
    <w:p w14:paraId="0A1E7F74" w14:textId="77777777" w:rsidR="002C057C" w:rsidRDefault="002C057C" w:rsidP="002C057C">
      <w:pPr>
        <w:pStyle w:val="Funotentext"/>
      </w:pPr>
      <w:r>
        <w:rPr>
          <w:rStyle w:val="Funotenzeichen"/>
        </w:rPr>
        <w:footnoteRef/>
      </w:r>
      <w:r>
        <w:t xml:space="preserve"> Siehe: </w:t>
      </w:r>
      <w:hyperlink r:id="rId1557" w:history="1">
        <w:r w:rsidRPr="00FD590F">
          <w:rPr>
            <w:rStyle w:val="Hyperlink"/>
          </w:rPr>
          <w:t>https://seia.org/wp-content/uploads/2022/08/SEIA20Manufacturing20Roadmap202022_4.pdf</w:t>
        </w:r>
      </w:hyperlink>
      <w:r>
        <w:t xml:space="preserve"> - Zugegriffen: 05.04.2025. </w:t>
      </w:r>
    </w:p>
  </w:footnote>
  <w:footnote w:id="2104">
    <w:p w14:paraId="4F0C365E" w14:textId="77777777" w:rsidR="002C057C" w:rsidRDefault="002C057C" w:rsidP="002C057C">
      <w:pPr>
        <w:pStyle w:val="Funotentext"/>
      </w:pPr>
      <w:r>
        <w:rPr>
          <w:rStyle w:val="Funotenzeichen"/>
        </w:rPr>
        <w:footnoteRef/>
      </w:r>
      <w:r>
        <w:t xml:space="preserve"> Siehe: </w:t>
      </w:r>
      <w:hyperlink r:id="rId1558" w:history="1">
        <w:r w:rsidRPr="00FD590F">
          <w:rPr>
            <w:rStyle w:val="Hyperlink"/>
          </w:rPr>
          <w:t>https://www.projectfinance.law/publications/2022/august/solar-tariff-moratorium-and-customs-detentions/</w:t>
        </w:r>
      </w:hyperlink>
      <w:r>
        <w:t xml:space="preserve"> - und: </w:t>
      </w:r>
      <w:hyperlink r:id="rId1559" w:history="1">
        <w:r w:rsidRPr="00FD590F">
          <w:rPr>
            <w:rStyle w:val="Hyperlink"/>
          </w:rPr>
          <w:t>https://www.projectfinance.law/publications/2022/october/solar-anti-circumvention-moratorium/</w:t>
        </w:r>
      </w:hyperlink>
      <w:r>
        <w:t xml:space="preserve"> - Zugegriffen: 05.04.2025. </w:t>
      </w:r>
    </w:p>
  </w:footnote>
  <w:footnote w:id="2105">
    <w:p w14:paraId="228E9AF4" w14:textId="77777777" w:rsidR="002C057C" w:rsidRPr="008C435F" w:rsidRDefault="002C057C" w:rsidP="002C057C">
      <w:pPr>
        <w:pStyle w:val="Funotentext"/>
      </w:pPr>
      <w:r>
        <w:rPr>
          <w:rStyle w:val="Funotenzeichen"/>
        </w:rPr>
        <w:footnoteRef/>
      </w:r>
      <w:r w:rsidRPr="008C435F">
        <w:t xml:space="preserve"> </w:t>
      </w:r>
      <w:r>
        <w:t xml:space="preserve">Siehe: </w:t>
      </w:r>
      <w:hyperlink r:id="rId1560" w:history="1">
        <w:r w:rsidRPr="00FD590F">
          <w:rPr>
            <w:rStyle w:val="Hyperlink"/>
          </w:rPr>
          <w:t>https://seia.org/research-resources/american-solar-storage-manufacturing-renaissance-managing-transition-away-china/</w:t>
        </w:r>
      </w:hyperlink>
      <w:r>
        <w:t xml:space="preserve"> - Zugegriffen: 05.04.2025. Siehe auch hier: </w:t>
      </w:r>
      <w:hyperlink r:id="rId1561" w:history="1">
        <w:r w:rsidRPr="009B1266">
          <w:rPr>
            <w:rStyle w:val="Hyperlink"/>
          </w:rPr>
          <w:t>https://seia.org/research-resources/solar-storage-supply-chain-dashboard/</w:t>
        </w:r>
      </w:hyperlink>
      <w:r>
        <w:t xml:space="preserve"> - Zugegriffen: 05.04.2025. </w:t>
      </w:r>
    </w:p>
  </w:footnote>
  <w:footnote w:id="2106">
    <w:p w14:paraId="53DB3E35" w14:textId="77777777" w:rsidR="002C057C" w:rsidRDefault="002C057C" w:rsidP="002C057C">
      <w:pPr>
        <w:pStyle w:val="Funotentext"/>
      </w:pPr>
      <w:r>
        <w:rPr>
          <w:rStyle w:val="Funotenzeichen"/>
        </w:rPr>
        <w:footnoteRef/>
      </w:r>
      <w:r>
        <w:t xml:space="preserve"> Siehe zu HJT: </w:t>
      </w:r>
      <w:hyperlink r:id="rId1562" w:history="1">
        <w:r w:rsidRPr="00FD590F">
          <w:rPr>
            <w:rStyle w:val="Hyperlink"/>
          </w:rPr>
          <w:t>https://de.wikipedia.org/wiki/Hetero%C3%BCbergangssolarzelle</w:t>
        </w:r>
      </w:hyperlink>
      <w:r>
        <w:t xml:space="preserve"> – Zugegriffen: 05.04.2025. </w:t>
      </w:r>
    </w:p>
  </w:footnote>
  <w:footnote w:id="2107">
    <w:p w14:paraId="1CEE609B" w14:textId="77777777" w:rsidR="002C057C" w:rsidRDefault="002C057C" w:rsidP="002C057C">
      <w:pPr>
        <w:pStyle w:val="Funotentext"/>
      </w:pPr>
      <w:r>
        <w:rPr>
          <w:rStyle w:val="Funotenzeichen"/>
        </w:rPr>
        <w:footnoteRef/>
      </w:r>
      <w:r>
        <w:t xml:space="preserve"> Siehe zu </w:t>
      </w:r>
      <w:proofErr w:type="spellStart"/>
      <w:r>
        <w:t>TOPCon</w:t>
      </w:r>
      <w:proofErr w:type="spellEnd"/>
      <w:r>
        <w:t xml:space="preserve">: </w:t>
      </w:r>
      <w:hyperlink r:id="rId1563" w:history="1">
        <w:r w:rsidRPr="00FD590F">
          <w:rPr>
            <w:rStyle w:val="Hyperlink"/>
          </w:rPr>
          <w:t>https://www.ise.fraunhofer.de/de/presse-und-medien/news/2024/fraunhofer-ise-demonstriert-erfolgreich-topcon-solarzelle-mit-24-prozent-wirkungsgrad-in-m10-format.html</w:t>
        </w:r>
      </w:hyperlink>
      <w:r>
        <w:t xml:space="preserve"> - Zugegriffen: 05.04.2025.</w:t>
      </w:r>
    </w:p>
  </w:footnote>
  <w:footnote w:id="2108">
    <w:p w14:paraId="7FFCDC9E" w14:textId="77777777" w:rsidR="002C057C" w:rsidRDefault="002C057C" w:rsidP="002C057C">
      <w:pPr>
        <w:pStyle w:val="Funotentext"/>
      </w:pPr>
      <w:r>
        <w:rPr>
          <w:rStyle w:val="Funotenzeichen"/>
        </w:rPr>
        <w:footnoteRef/>
      </w:r>
      <w:r>
        <w:t xml:space="preserve"> Siehe die SEIA </w:t>
      </w:r>
      <w:proofErr w:type="spellStart"/>
      <w:r>
        <w:t>Roudmap</w:t>
      </w:r>
      <w:proofErr w:type="spellEnd"/>
      <w:r>
        <w:t xml:space="preserve"> von 2022: </w:t>
      </w:r>
      <w:hyperlink r:id="rId1564" w:history="1">
        <w:r w:rsidRPr="00FD590F">
          <w:rPr>
            <w:rStyle w:val="Hyperlink"/>
          </w:rPr>
          <w:t>https://seia.org/wp-content/uploads/2022/08/SEIA20Manufacturing20Roadmap202022_4.pdf</w:t>
        </w:r>
      </w:hyperlink>
      <w:r>
        <w:t xml:space="preserve"> - Zugegriffen: 05.04.2025. </w:t>
      </w:r>
    </w:p>
  </w:footnote>
  <w:footnote w:id="2109">
    <w:p w14:paraId="37AC6B0B" w14:textId="77777777" w:rsidR="002C057C" w:rsidRDefault="002C057C" w:rsidP="002C057C">
      <w:pPr>
        <w:pStyle w:val="Funotentext"/>
      </w:pPr>
      <w:r>
        <w:rPr>
          <w:rStyle w:val="Funotenzeichen"/>
        </w:rPr>
        <w:footnoteRef/>
      </w:r>
      <w:r>
        <w:t xml:space="preserve"> Siehe: </w:t>
      </w:r>
      <w:hyperlink r:id="rId1565" w:history="1">
        <w:r w:rsidRPr="009B1266">
          <w:rPr>
            <w:rStyle w:val="Hyperlink"/>
          </w:rPr>
          <w:t>https://suniva.com/us-solar-company-suniva-to-restart-idled-factory-thanks-to-biden-climate-law/</w:t>
        </w:r>
      </w:hyperlink>
      <w:r>
        <w:t xml:space="preserve"> - Zugegriffen: 05.04.2025. </w:t>
      </w:r>
    </w:p>
  </w:footnote>
  <w:footnote w:id="2110">
    <w:p w14:paraId="6C9350AC" w14:textId="77777777" w:rsidR="002C057C" w:rsidRDefault="002C057C" w:rsidP="002C057C">
      <w:pPr>
        <w:pStyle w:val="Funotentext"/>
      </w:pPr>
      <w:r>
        <w:rPr>
          <w:rStyle w:val="Funotenzeichen"/>
        </w:rPr>
        <w:footnoteRef/>
      </w:r>
      <w:r>
        <w:t xml:space="preserve"> Dies ist eigentlich ein Verstoß gegen die ‚</w:t>
      </w:r>
      <w:proofErr w:type="spellStart"/>
      <w:r>
        <w:t>local</w:t>
      </w:r>
      <w:proofErr w:type="spellEnd"/>
      <w:r>
        <w:t xml:space="preserve"> </w:t>
      </w:r>
      <w:proofErr w:type="spellStart"/>
      <w:r>
        <w:t>content</w:t>
      </w:r>
      <w:proofErr w:type="spellEnd"/>
      <w:r>
        <w:t xml:space="preserve">‘ bzw. Mindestinlandregeln der WTO, siehe zum IRA und diesen Regeln genau passend: </w:t>
      </w:r>
      <w:hyperlink r:id="rId1566" w:history="1">
        <w:r w:rsidRPr="009B1266">
          <w:rPr>
            <w:rStyle w:val="Hyperlink"/>
          </w:rPr>
          <w:t>https://www.bundestag.de/resource/blob/1041550/2689022673fd766d0cc2a7738df04724/WD-2-066-24-pdf.pdf</w:t>
        </w:r>
      </w:hyperlink>
      <w:r>
        <w:t xml:space="preserve"> - Zugegriffen: 05.04.2025. </w:t>
      </w:r>
    </w:p>
  </w:footnote>
  <w:footnote w:id="2111">
    <w:p w14:paraId="6A8AC1DB" w14:textId="77777777" w:rsidR="002C057C" w:rsidRPr="00242613" w:rsidRDefault="002C057C" w:rsidP="002C057C">
      <w:pPr>
        <w:pStyle w:val="Funotentext"/>
      </w:pPr>
      <w:r>
        <w:rPr>
          <w:rStyle w:val="Funotenzeichen"/>
        </w:rPr>
        <w:footnoteRef/>
      </w:r>
      <w:r w:rsidRPr="00242613">
        <w:t xml:space="preserve"> Siehe: </w:t>
      </w:r>
      <w:hyperlink r:id="rId1567" w:history="1">
        <w:r w:rsidRPr="009B1266">
          <w:rPr>
            <w:rStyle w:val="Hyperlink"/>
          </w:rPr>
          <w:t>https://suniva.com/suniva-solar-company-partners-with-corning-and-heliene-for-domestic-content/</w:t>
        </w:r>
      </w:hyperlink>
      <w:r>
        <w:t xml:space="preserve"> - Zugegriffen: 05.04.2025. </w:t>
      </w:r>
    </w:p>
  </w:footnote>
  <w:footnote w:id="2112">
    <w:p w14:paraId="683BD3A2" w14:textId="77777777" w:rsidR="002C057C" w:rsidRPr="004E1853" w:rsidRDefault="002C057C" w:rsidP="002C057C">
      <w:pPr>
        <w:pStyle w:val="Funotentext"/>
      </w:pPr>
      <w:r>
        <w:rPr>
          <w:rStyle w:val="Funotenzeichen"/>
        </w:rPr>
        <w:footnoteRef/>
      </w:r>
      <w:r w:rsidRPr="004E1853">
        <w:t xml:space="preserve"> Siehe: </w:t>
      </w:r>
      <w:hyperlink r:id="rId1568" w:history="1">
        <w:r w:rsidRPr="009B1266">
          <w:rPr>
            <w:rStyle w:val="Hyperlink"/>
          </w:rPr>
          <w:t>https://seia.org/research-resources/solar-storage-supply-chain-dashboard/</w:t>
        </w:r>
      </w:hyperlink>
      <w:r>
        <w:t xml:space="preserve"> - Zugegriffen: 05.04.2025. </w:t>
      </w:r>
    </w:p>
  </w:footnote>
  <w:footnote w:id="2113">
    <w:p w14:paraId="5A32EF54" w14:textId="77777777" w:rsidR="002C057C" w:rsidRPr="003668ED" w:rsidRDefault="002C057C" w:rsidP="002C057C">
      <w:pPr>
        <w:pStyle w:val="Funotentext"/>
      </w:pPr>
      <w:r>
        <w:rPr>
          <w:rStyle w:val="Funotenzeichen"/>
        </w:rPr>
        <w:footnoteRef/>
      </w:r>
      <w:r w:rsidRPr="003668ED">
        <w:t xml:space="preserve"> Siehe: </w:t>
      </w:r>
      <w:hyperlink r:id="rId1569" w:history="1">
        <w:r w:rsidRPr="003668ED">
          <w:rPr>
            <w:rStyle w:val="Hyperlink"/>
          </w:rPr>
          <w:t>https://www.corning.com/emea/de.html</w:t>
        </w:r>
      </w:hyperlink>
      <w:r w:rsidRPr="003668ED">
        <w:t xml:space="preserve"> </w:t>
      </w:r>
      <w:r>
        <w:t xml:space="preserve">- Zugegriffen: 05.04.2025. </w:t>
      </w:r>
    </w:p>
  </w:footnote>
  <w:footnote w:id="2114">
    <w:p w14:paraId="43AFEAA9" w14:textId="575EF361" w:rsidR="00765A97" w:rsidRPr="00765A97" w:rsidRDefault="00765A97">
      <w:pPr>
        <w:pStyle w:val="Funotentext"/>
      </w:pPr>
      <w:r>
        <w:rPr>
          <w:rStyle w:val="Funotenzeichen"/>
        </w:rPr>
        <w:footnoteRef/>
      </w:r>
      <w:r w:rsidRPr="00765A97">
        <w:t xml:space="preserve"> Unterschied war, dass </w:t>
      </w:r>
      <w:proofErr w:type="gramStart"/>
      <w:r w:rsidRPr="00765A97">
        <w:t>in der USA</w:t>
      </w:r>
      <w:proofErr w:type="gramEnd"/>
      <w:r w:rsidRPr="00765A97">
        <w:t xml:space="preserve"> die Firmen </w:t>
      </w:r>
      <w:r>
        <w:t>dem ‚</w:t>
      </w:r>
      <w:proofErr w:type="spellStart"/>
      <w:r>
        <w:t>undertaking</w:t>
      </w:r>
      <w:proofErr w:type="spellEnd"/>
      <w:r>
        <w:t xml:space="preserve">‘ zustimmen müssen, in der EU kann dies die Kommission allein bestimmen. </w:t>
      </w:r>
      <w:r w:rsidRPr="00765A97">
        <w:t>Hermanns 2008: 742.</w:t>
      </w:r>
    </w:p>
  </w:footnote>
  <w:footnote w:id="2115">
    <w:p w14:paraId="6F143E8F" w14:textId="77777777" w:rsidR="002C057C" w:rsidRPr="000D484B" w:rsidRDefault="002C057C" w:rsidP="002C057C">
      <w:pPr>
        <w:pStyle w:val="Funotentext"/>
      </w:pPr>
      <w:r>
        <w:rPr>
          <w:rStyle w:val="Funotenzeichen"/>
        </w:rPr>
        <w:footnoteRef/>
      </w:r>
      <w:r w:rsidRPr="000D484B">
        <w:t xml:space="preserve"> NZIA Staff Working </w:t>
      </w:r>
      <w:proofErr w:type="spellStart"/>
      <w:r w:rsidRPr="000D484B">
        <w:t>Document</w:t>
      </w:r>
      <w:proofErr w:type="spellEnd"/>
      <w:r w:rsidRPr="000D484B">
        <w:t xml:space="preserve"> 2023: 59.</w:t>
      </w:r>
    </w:p>
  </w:footnote>
  <w:footnote w:id="2116">
    <w:p w14:paraId="76B0D401" w14:textId="77777777" w:rsidR="002C057C" w:rsidRDefault="002C057C" w:rsidP="002C057C">
      <w:pPr>
        <w:pStyle w:val="Funotentext"/>
      </w:pPr>
      <w:r>
        <w:rPr>
          <w:rStyle w:val="Funotenzeichen"/>
        </w:rPr>
        <w:footnoteRef/>
      </w:r>
      <w:r w:rsidRPr="000D484B">
        <w:t xml:space="preserve"> 20.000 MT in Tennessee. </w:t>
      </w:r>
      <w:r>
        <w:t>Die U.S. Polysilizium Produktion ist nicht ausgelastet, weil China 2014 Zölle auf die U.S. Exporte auferlegt hat. DOE Solar 2022: 28.</w:t>
      </w:r>
    </w:p>
  </w:footnote>
  <w:footnote w:id="2117">
    <w:p w14:paraId="78C22578" w14:textId="77777777" w:rsidR="002C057C" w:rsidRPr="00B56739" w:rsidRDefault="002C057C" w:rsidP="002C057C">
      <w:pPr>
        <w:pStyle w:val="Funotentext"/>
      </w:pPr>
      <w:r>
        <w:rPr>
          <w:rStyle w:val="Funotenzeichen"/>
        </w:rPr>
        <w:footnoteRef/>
      </w:r>
      <w:r w:rsidRPr="00B56739">
        <w:t xml:space="preserve"> Wacker Chemie hat einen St</w:t>
      </w:r>
      <w:r>
        <w:t xml:space="preserve">romverbrauch von 6 TWh pro Jahr, 1,2 % des deutschen Verbrauchs. D.h. die Polysilizium Herstellung ist stromintensiv. </w:t>
      </w:r>
      <w:r w:rsidRPr="00B56739">
        <w:t xml:space="preserve">NZIA Staff Working </w:t>
      </w:r>
      <w:proofErr w:type="spellStart"/>
      <w:r w:rsidRPr="00B56739">
        <w:t>Document</w:t>
      </w:r>
      <w:proofErr w:type="spellEnd"/>
      <w:r w:rsidRPr="00B56739">
        <w:t xml:space="preserve"> 2023: 59.</w:t>
      </w:r>
    </w:p>
  </w:footnote>
  <w:footnote w:id="2118">
    <w:p w14:paraId="52C05468" w14:textId="77777777" w:rsidR="002C057C" w:rsidRPr="00A5368C" w:rsidRDefault="002C057C" w:rsidP="002C057C">
      <w:pPr>
        <w:pStyle w:val="Funotentext"/>
      </w:pPr>
      <w:r>
        <w:rPr>
          <w:rStyle w:val="Funotenzeichen"/>
        </w:rPr>
        <w:footnoteRef/>
      </w:r>
      <w:r w:rsidRPr="00A5368C">
        <w:t xml:space="preserve"> DOE Solar 2022: 8.</w:t>
      </w:r>
    </w:p>
  </w:footnote>
  <w:footnote w:id="2119">
    <w:p w14:paraId="14CA2C6C" w14:textId="77777777" w:rsidR="00DB2BAC" w:rsidRDefault="00DB2BAC" w:rsidP="00DB2BAC">
      <w:pPr>
        <w:pStyle w:val="Funotentext"/>
      </w:pPr>
      <w:r>
        <w:rPr>
          <w:rStyle w:val="Funotenzeichen"/>
        </w:rPr>
        <w:footnoteRef/>
      </w:r>
      <w:r>
        <w:t xml:space="preserve"> Siehe: </w:t>
      </w:r>
      <w:hyperlink r:id="rId1570" w:history="1">
        <w:r w:rsidRPr="00907554">
          <w:rPr>
            <w:rStyle w:val="Hyperlink"/>
          </w:rPr>
          <w:t>https://www.energy.gov/eere/solar/solar-manufacturing</w:t>
        </w:r>
      </w:hyperlink>
      <w:r>
        <w:t xml:space="preserve"> - Zugegriffen: 14.07.2024. </w:t>
      </w:r>
    </w:p>
  </w:footnote>
  <w:footnote w:id="2120">
    <w:p w14:paraId="2B16EADA" w14:textId="77777777" w:rsidR="00DB2BAC" w:rsidRDefault="00DB2BAC" w:rsidP="00DB2BAC">
      <w:pPr>
        <w:pStyle w:val="Funotentext"/>
      </w:pPr>
      <w:r>
        <w:rPr>
          <w:rStyle w:val="Funotenzeichen"/>
        </w:rPr>
        <w:footnoteRef/>
      </w:r>
      <w:r>
        <w:t xml:space="preserve"> DOE Solar 2022, siehe: </w:t>
      </w:r>
      <w:hyperlink r:id="rId1571" w:history="1">
        <w:r w:rsidRPr="00907554">
          <w:rPr>
            <w:rStyle w:val="Hyperlink"/>
          </w:rPr>
          <w:t>https://www.energy.gov/sites/default/files/2022-02/Solar%20Energy%20Supply%20Chain%20Report%20-%20Final.pdf</w:t>
        </w:r>
      </w:hyperlink>
      <w:r>
        <w:t xml:space="preserve"> – Zugegriffen: 14.07.2024. </w:t>
      </w:r>
    </w:p>
  </w:footnote>
  <w:footnote w:id="2121">
    <w:p w14:paraId="40A1B70D" w14:textId="77777777" w:rsidR="009A4085" w:rsidRPr="00A5368C" w:rsidRDefault="009A4085" w:rsidP="009A4085">
      <w:pPr>
        <w:pStyle w:val="Funotentext"/>
      </w:pPr>
      <w:r>
        <w:rPr>
          <w:rStyle w:val="Funotenzeichen"/>
        </w:rPr>
        <w:footnoteRef/>
      </w:r>
      <w:r w:rsidRPr="00A5368C">
        <w:t xml:space="preserve"> DOE Solar 2022: 10-11.</w:t>
      </w:r>
    </w:p>
  </w:footnote>
  <w:footnote w:id="2122">
    <w:p w14:paraId="16F8574D" w14:textId="77777777" w:rsidR="009A4085" w:rsidRPr="00635E0D" w:rsidRDefault="009A4085" w:rsidP="009A4085">
      <w:pPr>
        <w:pStyle w:val="Funotentext"/>
      </w:pPr>
      <w:r>
        <w:rPr>
          <w:rStyle w:val="Funotenzeichen"/>
        </w:rPr>
        <w:footnoteRef/>
      </w:r>
      <w:r w:rsidRPr="00635E0D">
        <w:t xml:space="preserve"> China bringt der Welt Licht und Schatten. </w:t>
      </w:r>
      <w:r>
        <w:t>Die Konzerne produzieren günstig und zerstören Konkurrenz – nun straucheln sie. FAZ, 05.07.2024.</w:t>
      </w:r>
      <w:r w:rsidRPr="00635E0D">
        <w:t xml:space="preserve"> </w:t>
      </w:r>
    </w:p>
  </w:footnote>
  <w:footnote w:id="2123">
    <w:p w14:paraId="28C7AD91" w14:textId="0977DADE" w:rsidR="009A4085" w:rsidRDefault="009A4085">
      <w:pPr>
        <w:pStyle w:val="Funotentext"/>
      </w:pPr>
      <w:r>
        <w:rPr>
          <w:rStyle w:val="Funotenzeichen"/>
        </w:rPr>
        <w:footnoteRef/>
      </w:r>
      <w:r>
        <w:t xml:space="preserve"> Siehe Hermanns 2008: 719-761, 1000-1110.</w:t>
      </w:r>
    </w:p>
  </w:footnote>
  <w:footnote w:id="2124">
    <w:p w14:paraId="186535AD" w14:textId="6186E76F" w:rsidR="0091709B" w:rsidRDefault="0091709B">
      <w:pPr>
        <w:pStyle w:val="Funotentext"/>
      </w:pPr>
      <w:r>
        <w:rPr>
          <w:rStyle w:val="Funotenzeichen"/>
        </w:rPr>
        <w:footnoteRef/>
      </w:r>
      <w:r>
        <w:t xml:space="preserve"> Hermanns 2008: 358, siehe dort die Theorie von Erziehungszöllen mit vielen Beispielen S. 360-387. </w:t>
      </w:r>
    </w:p>
  </w:footnote>
  <w:footnote w:id="2125">
    <w:p w14:paraId="01D17E98" w14:textId="77777777" w:rsidR="002C057C" w:rsidRDefault="002C057C" w:rsidP="002C057C">
      <w:pPr>
        <w:pStyle w:val="Funotentext"/>
      </w:pPr>
      <w:r>
        <w:rPr>
          <w:rStyle w:val="Funotenzeichen"/>
        </w:rPr>
        <w:footnoteRef/>
      </w:r>
      <w:r>
        <w:t xml:space="preserve"> Siehe: </w:t>
      </w:r>
      <w:hyperlink r:id="rId1572" w:history="1">
        <w:r w:rsidRPr="001B0D55">
          <w:rPr>
            <w:rStyle w:val="Hyperlink"/>
          </w:rPr>
          <w:t>https://trade.ec.europa.eu/</w:t>
        </w:r>
      </w:hyperlink>
      <w:r>
        <w:t xml:space="preserve"> </w:t>
      </w:r>
    </w:p>
  </w:footnote>
  <w:footnote w:id="2126">
    <w:p w14:paraId="5CF24471" w14:textId="77777777" w:rsidR="002C057C" w:rsidRDefault="002C057C" w:rsidP="002C057C">
      <w:pPr>
        <w:pStyle w:val="Funotentext"/>
      </w:pPr>
      <w:r>
        <w:rPr>
          <w:rStyle w:val="Funotenzeichen"/>
        </w:rPr>
        <w:footnoteRef/>
      </w:r>
      <w:r>
        <w:t xml:space="preserve"> Siehe: </w:t>
      </w:r>
      <w:hyperlink r:id="rId1573" w:history="1">
        <w:r w:rsidRPr="001B0D55">
          <w:rPr>
            <w:rStyle w:val="Hyperlink"/>
          </w:rPr>
          <w:t>https://policy.trade.ec.europa.eu/enforcement-and-protection/trade-defence_en</w:t>
        </w:r>
      </w:hyperlink>
      <w:r>
        <w:t xml:space="preserve"> </w:t>
      </w:r>
    </w:p>
  </w:footnote>
  <w:footnote w:id="2127">
    <w:p w14:paraId="5538863E" w14:textId="77777777" w:rsidR="002C057C" w:rsidRDefault="002C057C" w:rsidP="002C057C">
      <w:pPr>
        <w:pStyle w:val="Funotentext"/>
      </w:pPr>
      <w:r>
        <w:rPr>
          <w:rStyle w:val="Funotenzeichen"/>
        </w:rPr>
        <w:footnoteRef/>
      </w:r>
      <w:r>
        <w:t xml:space="preserve"> Siehe: </w:t>
      </w:r>
      <w:hyperlink r:id="rId1574" w:history="1">
        <w:r w:rsidRPr="001B0D55">
          <w:rPr>
            <w:rStyle w:val="Hyperlink"/>
          </w:rPr>
          <w:t>https://policy.trade.ec.europa.eu/enforcement-and-protection/trade-defence/anti-dumping-measures_en</w:t>
        </w:r>
      </w:hyperlink>
      <w:r>
        <w:t xml:space="preserve"> </w:t>
      </w:r>
    </w:p>
  </w:footnote>
  <w:footnote w:id="2128">
    <w:p w14:paraId="7482E551" w14:textId="77777777" w:rsidR="002C057C" w:rsidRDefault="002C057C" w:rsidP="002C057C">
      <w:pPr>
        <w:pStyle w:val="Funotentext"/>
      </w:pPr>
      <w:r>
        <w:rPr>
          <w:rStyle w:val="Funotenzeichen"/>
        </w:rPr>
        <w:footnoteRef/>
      </w:r>
      <w:r>
        <w:t xml:space="preserve"> Siehe: </w:t>
      </w:r>
      <w:hyperlink r:id="rId1575" w:history="1">
        <w:r w:rsidRPr="001B0D55">
          <w:rPr>
            <w:rStyle w:val="Hyperlink"/>
          </w:rPr>
          <w:t>https://policy.trade.ec.europa.eu/enforcement-and-protection/trade-defence/anti-subsidy-measures_en</w:t>
        </w:r>
      </w:hyperlink>
      <w:r>
        <w:t xml:space="preserve"> </w:t>
      </w:r>
    </w:p>
  </w:footnote>
  <w:footnote w:id="2129">
    <w:p w14:paraId="5CA44ABC" w14:textId="77777777" w:rsidR="002C057C" w:rsidRDefault="002C057C" w:rsidP="002C057C">
      <w:pPr>
        <w:pStyle w:val="Funotentext"/>
      </w:pPr>
      <w:r>
        <w:rPr>
          <w:rStyle w:val="Funotenzeichen"/>
        </w:rPr>
        <w:footnoteRef/>
      </w:r>
      <w:r>
        <w:t xml:space="preserve"> Siehe: </w:t>
      </w:r>
      <w:hyperlink r:id="rId1576" w:history="1">
        <w:r w:rsidRPr="001B0D55">
          <w:rPr>
            <w:rStyle w:val="Hyperlink"/>
          </w:rPr>
          <w:t>https://policy.trade.ec.europa.eu/eu-trade-relationships-country-and-region/countries-and-regions/china_en</w:t>
        </w:r>
      </w:hyperlink>
      <w:r>
        <w:t xml:space="preserve"> </w:t>
      </w:r>
    </w:p>
  </w:footnote>
  <w:footnote w:id="2130">
    <w:p w14:paraId="25D4074F" w14:textId="77777777" w:rsidR="002C057C" w:rsidRDefault="002C057C" w:rsidP="002C057C">
      <w:pPr>
        <w:pStyle w:val="Funotentext"/>
      </w:pPr>
      <w:r>
        <w:rPr>
          <w:rStyle w:val="Funotenzeichen"/>
        </w:rPr>
        <w:footnoteRef/>
      </w:r>
      <w:r>
        <w:t xml:space="preserve"> Siehe: </w:t>
      </w:r>
      <w:hyperlink r:id="rId1577" w:history="1">
        <w:r w:rsidRPr="001B0D55">
          <w:rPr>
            <w:rStyle w:val="Hyperlink"/>
          </w:rPr>
          <w:t>https://tron.trade.ec.europa.eu/investigations/ongoing</w:t>
        </w:r>
      </w:hyperlink>
      <w:r>
        <w:t xml:space="preserve"> </w:t>
      </w:r>
    </w:p>
  </w:footnote>
  <w:footnote w:id="2131">
    <w:p w14:paraId="52292296" w14:textId="77777777" w:rsidR="002C057C" w:rsidRDefault="002C057C" w:rsidP="002C057C">
      <w:pPr>
        <w:pStyle w:val="Funotentext"/>
      </w:pPr>
      <w:r>
        <w:rPr>
          <w:rStyle w:val="Funotenzeichen"/>
        </w:rPr>
        <w:footnoteRef/>
      </w:r>
      <w:r>
        <w:t xml:space="preserve"> Siehe: </w:t>
      </w:r>
      <w:hyperlink r:id="rId1578" w:history="1">
        <w:r w:rsidRPr="00011C1B">
          <w:rPr>
            <w:rStyle w:val="Hyperlink"/>
          </w:rPr>
          <w:t>https://ec.europa.eu/commission/presscorner/detail/en/ip_23_3358</w:t>
        </w:r>
      </w:hyperlink>
      <w:r>
        <w:t xml:space="preserve"> - Zugegriffen: 15.05.2025. </w:t>
      </w:r>
    </w:p>
  </w:footnote>
  <w:footnote w:id="2132">
    <w:p w14:paraId="0F20B9E0" w14:textId="77777777" w:rsidR="002C057C" w:rsidRDefault="002C057C" w:rsidP="002C057C">
      <w:pPr>
        <w:pStyle w:val="Funotentext"/>
      </w:pPr>
      <w:r>
        <w:rPr>
          <w:rStyle w:val="Funotenzeichen"/>
        </w:rPr>
        <w:footnoteRef/>
      </w:r>
      <w:r>
        <w:t xml:space="preserve"> Siehe: </w:t>
      </w:r>
      <w:hyperlink r:id="rId1579" w:history="1">
        <w:r w:rsidRPr="00011C1B">
          <w:rPr>
            <w:rStyle w:val="Hyperlink"/>
          </w:rPr>
          <w:t>https://eur-lex.europa.eu/legal-content/EN/TXT/?uri=CELEX:52023JC0020</w:t>
        </w:r>
      </w:hyperlink>
      <w:r>
        <w:t xml:space="preserve"> – Zugegriffen: 15.05.2025. </w:t>
      </w:r>
    </w:p>
  </w:footnote>
  <w:footnote w:id="2133">
    <w:p w14:paraId="758770A2" w14:textId="77777777" w:rsidR="002C057C" w:rsidRDefault="002C057C" w:rsidP="002C057C">
      <w:pPr>
        <w:pStyle w:val="Funotentext"/>
      </w:pPr>
      <w:r>
        <w:rPr>
          <w:rStyle w:val="Funotenzeichen"/>
        </w:rPr>
        <w:footnoteRef/>
      </w:r>
      <w:r>
        <w:t xml:space="preserve"> Siehe: </w:t>
      </w:r>
      <w:hyperlink r:id="rId1580" w:history="1">
        <w:r w:rsidRPr="001B0D55">
          <w:rPr>
            <w:rStyle w:val="Hyperlink"/>
          </w:rPr>
          <w:t>https://tron.trade.ec.europa.eu/investigations/case-history?caseId=2684</w:t>
        </w:r>
      </w:hyperlink>
      <w:r>
        <w:t xml:space="preserve"> – Zugegriffen: 13.04.2025.</w:t>
      </w:r>
    </w:p>
  </w:footnote>
  <w:footnote w:id="2134">
    <w:p w14:paraId="67F8E1C6" w14:textId="77777777" w:rsidR="002C057C" w:rsidRDefault="002C057C" w:rsidP="002C057C">
      <w:pPr>
        <w:pStyle w:val="Funotentext"/>
      </w:pPr>
      <w:r>
        <w:rPr>
          <w:rStyle w:val="Funotenzeichen"/>
        </w:rPr>
        <w:footnoteRef/>
      </w:r>
      <w:r>
        <w:t xml:space="preserve"> Siehe: </w:t>
      </w:r>
      <w:hyperlink r:id="rId1581" w:history="1">
        <w:r w:rsidRPr="001B0D55">
          <w:rPr>
            <w:rStyle w:val="Hyperlink"/>
          </w:rPr>
          <w:t>https://eur-lex.europa.eu/legal-content/EN/TXT/?uri=CELEX:32024R1866</w:t>
        </w:r>
      </w:hyperlink>
      <w:r>
        <w:t xml:space="preserve"> - und offenbar neue Zölle in: </w:t>
      </w:r>
      <w:hyperlink r:id="rId1582" w:history="1">
        <w:r w:rsidRPr="001B0D55">
          <w:rPr>
            <w:rStyle w:val="Hyperlink"/>
          </w:rPr>
          <w:t>https://eur-lex.europa.eu/legal-content/EN/TXT/?uri=CELEX:02024R1866-20240704</w:t>
        </w:r>
      </w:hyperlink>
      <w:r>
        <w:t xml:space="preserve"> – Zugegriffen: 13.04.2025.</w:t>
      </w:r>
    </w:p>
  </w:footnote>
  <w:footnote w:id="2135">
    <w:p w14:paraId="51FA4A8F" w14:textId="77777777" w:rsidR="002C057C" w:rsidRDefault="002C057C" w:rsidP="002C057C">
      <w:pPr>
        <w:pStyle w:val="Funotentext"/>
      </w:pPr>
      <w:r>
        <w:rPr>
          <w:rStyle w:val="Funotenzeichen"/>
        </w:rPr>
        <w:footnoteRef/>
      </w:r>
      <w:r>
        <w:t xml:space="preserve"> S. 228-229, siehe: </w:t>
      </w:r>
      <w:hyperlink r:id="rId1583" w:history="1">
        <w:r w:rsidRPr="001B0D55">
          <w:rPr>
            <w:rStyle w:val="Hyperlink"/>
          </w:rPr>
          <w:t>https://eur-lex.europa.eu/legal-content/EN/TXT/PDF/?uri=OJ:L_202402754</w:t>
        </w:r>
      </w:hyperlink>
      <w:r>
        <w:t xml:space="preserve"> – Zugegriffen: 13.04.2025. </w:t>
      </w:r>
    </w:p>
  </w:footnote>
  <w:footnote w:id="2136">
    <w:p w14:paraId="0A0B43CB" w14:textId="77777777" w:rsidR="002C057C" w:rsidRDefault="002C057C" w:rsidP="002C057C">
      <w:pPr>
        <w:pStyle w:val="Funotentext"/>
      </w:pPr>
      <w:r>
        <w:rPr>
          <w:rStyle w:val="Funotenzeichen"/>
        </w:rPr>
        <w:footnoteRef/>
      </w:r>
      <w:r>
        <w:t xml:space="preserve"> Siehe Spiegel Online, 11.04.2025: </w:t>
      </w:r>
      <w:hyperlink r:id="rId1584" w:history="1">
        <w:r w:rsidRPr="001B0D55">
          <w:rPr>
            <w:rStyle w:val="Hyperlink"/>
          </w:rPr>
          <w:t>https://www.spiegel.de/wirtschaft/china-eu-und-peking-erwaegen-mindestpreis-fuer-elektroautos-aus-der-volksrepublik-a-622c5aee-4020-40bb-b9dc-85377af26ee1</w:t>
        </w:r>
      </w:hyperlink>
      <w:r>
        <w:t xml:space="preserve"> - Zugegriffen: 11.04.2025. </w:t>
      </w:r>
    </w:p>
  </w:footnote>
  <w:footnote w:id="2137">
    <w:p w14:paraId="6D346F2D" w14:textId="77777777" w:rsidR="002C057C" w:rsidRDefault="002C057C" w:rsidP="002C057C">
      <w:pPr>
        <w:pStyle w:val="Funotentext"/>
      </w:pPr>
      <w:r>
        <w:rPr>
          <w:rStyle w:val="Funotenzeichen"/>
        </w:rPr>
        <w:footnoteRef/>
      </w:r>
      <w:r>
        <w:t xml:space="preserve"> Siehe: </w:t>
      </w:r>
      <w:hyperlink r:id="rId1585" w:history="1">
        <w:r w:rsidRPr="001B0D55">
          <w:rPr>
            <w:rStyle w:val="Hyperlink"/>
          </w:rPr>
          <w:t>https://policy.trade.ec.europa.eu/news/commission-imposes-anti-dumping-duties-imports-steel-wind-towers-china-2021-12-16_en</w:t>
        </w:r>
      </w:hyperlink>
      <w:r>
        <w:t xml:space="preserve"> - Zugegriffen: 13.04.2025. </w:t>
      </w:r>
    </w:p>
  </w:footnote>
  <w:footnote w:id="2138">
    <w:p w14:paraId="0F9A068A" w14:textId="77777777" w:rsidR="002C057C" w:rsidRDefault="002C057C" w:rsidP="002C057C">
      <w:pPr>
        <w:pStyle w:val="Funotentext"/>
      </w:pPr>
      <w:r>
        <w:rPr>
          <w:rStyle w:val="Funotenzeichen"/>
        </w:rPr>
        <w:footnoteRef/>
      </w:r>
      <w:r>
        <w:t xml:space="preserve"> Siehe: </w:t>
      </w:r>
      <w:hyperlink r:id="rId1586" w:history="1">
        <w:r w:rsidRPr="001B0D55">
          <w:rPr>
            <w:rStyle w:val="Hyperlink"/>
          </w:rPr>
          <w:t>https://eur-lex.europa.eu/legal-content/EN/TXT/?uri=CELEX:32021R2239</w:t>
        </w:r>
      </w:hyperlink>
      <w:r>
        <w:t xml:space="preserve"> – Zugegriffen: 11.04.2025. </w:t>
      </w:r>
    </w:p>
  </w:footnote>
  <w:footnote w:id="2139">
    <w:p w14:paraId="22F992E8" w14:textId="77777777" w:rsidR="002C057C" w:rsidRDefault="002C057C" w:rsidP="002C057C">
      <w:pPr>
        <w:pStyle w:val="Funotentext"/>
      </w:pPr>
      <w:r>
        <w:rPr>
          <w:rStyle w:val="Funotenzeichen"/>
        </w:rPr>
        <w:footnoteRef/>
      </w:r>
      <w:r>
        <w:t xml:space="preserve"> Siehe: </w:t>
      </w:r>
      <w:hyperlink r:id="rId1587" w:history="1">
        <w:r w:rsidRPr="001B0D55">
          <w:rPr>
            <w:rStyle w:val="Hyperlink"/>
          </w:rPr>
          <w:t>https://eur-lex.europa.eu/legal-content/EN/TXT/PDF/?uri=CELEX:32020R1081&amp;from=EN</w:t>
        </w:r>
      </w:hyperlink>
      <w:r>
        <w:t xml:space="preserve"> – Zugegriffen: 11.04.2025. </w:t>
      </w:r>
    </w:p>
  </w:footnote>
  <w:footnote w:id="2140">
    <w:p w14:paraId="5B859FA7" w14:textId="77777777" w:rsidR="002C057C" w:rsidRDefault="002C057C" w:rsidP="002C057C">
      <w:pPr>
        <w:pStyle w:val="Funotentext"/>
      </w:pPr>
      <w:r>
        <w:rPr>
          <w:rStyle w:val="Funotenzeichen"/>
        </w:rPr>
        <w:footnoteRef/>
      </w:r>
      <w:r>
        <w:t xml:space="preserve"> Siehe: </w:t>
      </w:r>
      <w:hyperlink r:id="rId1588" w:history="1">
        <w:r w:rsidRPr="001B0D55">
          <w:rPr>
            <w:rStyle w:val="Hyperlink"/>
          </w:rPr>
          <w:t>https://eur-lex.europa.eu/legal-content/EN/TXT/PDF/?uri=CELEX:32023R1033</w:t>
        </w:r>
      </w:hyperlink>
      <w:r>
        <w:t xml:space="preserve"> – Zugegriffen: 13.04.2025. </w:t>
      </w:r>
    </w:p>
  </w:footnote>
  <w:footnote w:id="2141">
    <w:p w14:paraId="304AAD8C" w14:textId="77777777" w:rsidR="002C057C" w:rsidRDefault="002C057C" w:rsidP="002C057C">
      <w:pPr>
        <w:pStyle w:val="Funotentext"/>
      </w:pPr>
      <w:r>
        <w:rPr>
          <w:rStyle w:val="Funotenzeichen"/>
        </w:rPr>
        <w:footnoteRef/>
      </w:r>
      <w:r>
        <w:t xml:space="preserve"> Siehe: </w:t>
      </w:r>
      <w:hyperlink r:id="rId1589" w:history="1">
        <w:r w:rsidRPr="001B0D55">
          <w:rPr>
            <w:rStyle w:val="Hyperlink"/>
          </w:rPr>
          <w:t>https://tron.trade.ec.europa.eu/investigations/case-history?caseId=1895</w:t>
        </w:r>
      </w:hyperlink>
      <w:r>
        <w:t xml:space="preserve"> – Zugegriffen: 13.04.2025. </w:t>
      </w:r>
    </w:p>
  </w:footnote>
  <w:footnote w:id="2142">
    <w:p w14:paraId="3BF0B292" w14:textId="77777777" w:rsidR="002C057C" w:rsidRDefault="002C057C" w:rsidP="002C057C">
      <w:pPr>
        <w:pStyle w:val="Funotentext"/>
      </w:pPr>
      <w:r>
        <w:rPr>
          <w:rStyle w:val="Funotenzeichen"/>
        </w:rPr>
        <w:footnoteRef/>
      </w:r>
      <w:r>
        <w:t xml:space="preserve"> Siehe: </w:t>
      </w:r>
      <w:hyperlink r:id="rId1590" w:history="1">
        <w:r w:rsidRPr="001B0D55">
          <w:rPr>
            <w:rStyle w:val="Hyperlink"/>
          </w:rPr>
          <w:t>https://tron.trade.ec.europa.eu/investigations/case-history?caseId=1932</w:t>
        </w:r>
      </w:hyperlink>
      <w:r>
        <w:t xml:space="preserve"> – Zugegriffen: 13.04.2025. </w:t>
      </w:r>
    </w:p>
  </w:footnote>
  <w:footnote w:id="2143">
    <w:p w14:paraId="1BFF554C" w14:textId="77777777" w:rsidR="002C057C" w:rsidRDefault="002C057C" w:rsidP="002C057C">
      <w:pPr>
        <w:pStyle w:val="Funotentext"/>
      </w:pPr>
      <w:r>
        <w:rPr>
          <w:rStyle w:val="Funotenzeichen"/>
        </w:rPr>
        <w:footnoteRef/>
      </w:r>
      <w:r>
        <w:t xml:space="preserve"> Siehe: </w:t>
      </w:r>
      <w:hyperlink r:id="rId1591" w:history="1">
        <w:r w:rsidRPr="007050C8">
          <w:rPr>
            <w:rStyle w:val="Hyperlink"/>
          </w:rPr>
          <w:t>https://single-market-economy.ec.europa.eu/industry/sustainability/net-zero-industry-act_en</w:t>
        </w:r>
      </w:hyperlink>
      <w:r>
        <w:t xml:space="preserve"> - Zugegriffen: 04.04.2025. </w:t>
      </w:r>
    </w:p>
  </w:footnote>
  <w:footnote w:id="2144">
    <w:p w14:paraId="2D77F850" w14:textId="77777777" w:rsidR="002C057C" w:rsidRPr="000544C8" w:rsidRDefault="002C057C" w:rsidP="002C057C">
      <w:pPr>
        <w:pStyle w:val="Funotentext"/>
        <w:rPr>
          <w:lang w:val="en-GB"/>
        </w:rPr>
      </w:pPr>
      <w:r>
        <w:rPr>
          <w:rStyle w:val="Funotenzeichen"/>
        </w:rPr>
        <w:footnoteRef/>
      </w:r>
      <w:r w:rsidRPr="000544C8">
        <w:rPr>
          <w:lang w:val="en-GB"/>
        </w:rPr>
        <w:t xml:space="preserve"> NZIA Staff Working Document 2023: 18</w:t>
      </w:r>
      <w:r>
        <w:rPr>
          <w:lang w:val="en-GB"/>
        </w:rPr>
        <w:t>, 72-73</w:t>
      </w:r>
      <w:r w:rsidRPr="000544C8">
        <w:rPr>
          <w:lang w:val="en-GB"/>
        </w:rPr>
        <w:t>.</w:t>
      </w:r>
    </w:p>
  </w:footnote>
  <w:footnote w:id="2145">
    <w:p w14:paraId="6E7DD546" w14:textId="77777777" w:rsidR="002C057C" w:rsidRPr="000544C8" w:rsidRDefault="002C057C" w:rsidP="002C057C">
      <w:pPr>
        <w:pStyle w:val="Funotentext"/>
        <w:rPr>
          <w:lang w:val="en-GB"/>
        </w:rPr>
      </w:pPr>
      <w:r>
        <w:rPr>
          <w:rStyle w:val="Funotenzeichen"/>
        </w:rPr>
        <w:footnoteRef/>
      </w:r>
      <w:r w:rsidRPr="000544C8">
        <w:rPr>
          <w:lang w:val="en-GB"/>
        </w:rPr>
        <w:t xml:space="preserve"> NZIA Staff Working Document 2023: 18.</w:t>
      </w:r>
    </w:p>
  </w:footnote>
  <w:footnote w:id="2146">
    <w:p w14:paraId="6C6BD1D1" w14:textId="77777777" w:rsidR="002C057C" w:rsidRDefault="002C057C" w:rsidP="002C057C">
      <w:pPr>
        <w:pStyle w:val="Funotentext"/>
      </w:pPr>
      <w:r>
        <w:rPr>
          <w:rStyle w:val="Funotenzeichen"/>
        </w:rPr>
        <w:footnoteRef/>
      </w:r>
      <w:r>
        <w:t xml:space="preserve"> Erwägungsgrund 16, Siehe: </w:t>
      </w:r>
      <w:hyperlink r:id="rId1592" w:history="1">
        <w:r w:rsidRPr="007050C8">
          <w:rPr>
            <w:rStyle w:val="Hyperlink"/>
          </w:rPr>
          <w:t>https://eur-lex.europa.eu/legal-content/DE/TXT/PDF/?uri=OJ:L_202401735</w:t>
        </w:r>
      </w:hyperlink>
      <w:r>
        <w:t xml:space="preserve"> – Zugegriffen: 04.04.2025.</w:t>
      </w:r>
    </w:p>
  </w:footnote>
  <w:footnote w:id="2147">
    <w:p w14:paraId="7F5D34A2" w14:textId="77777777" w:rsidR="002C057C" w:rsidRDefault="002C057C" w:rsidP="002C057C">
      <w:pPr>
        <w:pStyle w:val="Funotentext"/>
      </w:pPr>
      <w:r>
        <w:rPr>
          <w:rStyle w:val="Funotenzeichen"/>
        </w:rPr>
        <w:footnoteRef/>
      </w:r>
      <w:r>
        <w:t xml:space="preserve"> Siehe: </w:t>
      </w:r>
      <w:hyperlink r:id="rId1593" w:history="1">
        <w:r w:rsidRPr="007050C8">
          <w:rPr>
            <w:rStyle w:val="Hyperlink"/>
          </w:rPr>
          <w:t>https://single-market-economy.ec.europa.eu/sectors/raw-materials/areas-specific-interest/critical-raw-materials/critical-raw-materials-act_en</w:t>
        </w:r>
      </w:hyperlink>
      <w:r>
        <w:t xml:space="preserve"> - Zugegriffen: 04.04.2025. Die folgenden Rohstoffe gelten als strategisch: (a) Bismut (b) Bor – metallurgische Qualität (c) Kobalt (d) Kupfer (e) Gallium (f) Germanium (g) Lithium – Batteriequalität (h) Magnesiummetall (i) Mangan – Batteriequalität (j) Natürlicher Grafit Batteriequalität (k) Nickel – Batteriequalität (l) Metalle der Platingruppe (m) Seltenerdmetalle für Magnete (Nd, Pr, Tb, Dy, </w:t>
      </w:r>
      <w:proofErr w:type="spellStart"/>
      <w:r>
        <w:t>Gd</w:t>
      </w:r>
      <w:proofErr w:type="spellEnd"/>
      <w:r>
        <w:t xml:space="preserve">, </w:t>
      </w:r>
      <w:proofErr w:type="spellStart"/>
      <w:r>
        <w:t>Sm</w:t>
      </w:r>
      <w:proofErr w:type="spellEnd"/>
      <w:r>
        <w:t xml:space="preserve"> und Ce) (n) </w:t>
      </w:r>
      <w:proofErr w:type="spellStart"/>
      <w:r>
        <w:t>Siliciummetall</w:t>
      </w:r>
      <w:proofErr w:type="spellEnd"/>
      <w:r>
        <w:t xml:space="preserve"> (o) Titanmetall (p) Wolfram, siehe: </w:t>
      </w:r>
      <w:hyperlink r:id="rId1594" w:history="1">
        <w:r w:rsidRPr="007050C8">
          <w:rPr>
            <w:rStyle w:val="Hyperlink"/>
          </w:rPr>
          <w:t>https://eur-lex.europa.eu/resource.html?uri=cellar:903d35cc-c4a2-11ed-a05c-01aa75ed71a1.0003.02/DOC_2&amp;format=PDF</w:t>
        </w:r>
      </w:hyperlink>
      <w:r>
        <w:t xml:space="preserve"> – Zugegriffen: 04.04.2025.</w:t>
      </w:r>
    </w:p>
  </w:footnote>
  <w:footnote w:id="2148">
    <w:p w14:paraId="35B938D7" w14:textId="77777777" w:rsidR="002C057C" w:rsidRDefault="002C057C" w:rsidP="002C057C">
      <w:pPr>
        <w:pStyle w:val="Funotentext"/>
      </w:pPr>
      <w:r>
        <w:rPr>
          <w:rStyle w:val="Funotenzeichen"/>
        </w:rPr>
        <w:footnoteRef/>
      </w:r>
      <w:r>
        <w:t xml:space="preserve"> Siehe: </w:t>
      </w:r>
      <w:hyperlink r:id="rId1595" w:history="1">
        <w:r w:rsidRPr="007050C8">
          <w:rPr>
            <w:rStyle w:val="Hyperlink"/>
          </w:rPr>
          <w:t>https://single-market-economy.ec.europa.eu/sectors/raw-materials/areas-specific-interest/critical-raw-materials/critical-raw-materials-act_en</w:t>
        </w:r>
      </w:hyperlink>
      <w:r>
        <w:t xml:space="preserve"> - Zugegriffen: 04.04.2025. Die folgenden Rohstoffe gelten als strategisch: (a) Bismut (b) Bor – metallurgische Qualität (c) Kobalt (d) Kupfer (e) Gallium (f) Germanium (g) Lithium – Batteriequalität (h) Magnesiummetall (i) Mangan – Batteriequalität (j) Natürlicher Grafit Batteriequalität (k) Nickel – Batteriequalität (l) Metalle der Platingruppe (m) Seltenerdmetalle für Magnete (Nd, Pr, Tb, Dy, </w:t>
      </w:r>
      <w:proofErr w:type="spellStart"/>
      <w:r>
        <w:t>Gd</w:t>
      </w:r>
      <w:proofErr w:type="spellEnd"/>
      <w:r>
        <w:t xml:space="preserve">, </w:t>
      </w:r>
      <w:proofErr w:type="spellStart"/>
      <w:r>
        <w:t>Sm</w:t>
      </w:r>
      <w:proofErr w:type="spellEnd"/>
      <w:r>
        <w:t xml:space="preserve"> und Ce) (n) </w:t>
      </w:r>
      <w:proofErr w:type="spellStart"/>
      <w:r>
        <w:t>Siliciummetall</w:t>
      </w:r>
      <w:proofErr w:type="spellEnd"/>
      <w:r>
        <w:t xml:space="preserve"> (o) Titanmetall (p) Wolfram, siehe: </w:t>
      </w:r>
      <w:hyperlink r:id="rId1596" w:history="1">
        <w:r w:rsidRPr="007050C8">
          <w:rPr>
            <w:rStyle w:val="Hyperlink"/>
          </w:rPr>
          <w:t>https://eur-lex.europa.eu/resource.html?uri=cellar:903d35cc-c4a2-11ed-a05c-01aa75ed71a1.0003.02/DOC_2&amp;format=PDF</w:t>
        </w:r>
      </w:hyperlink>
      <w:r>
        <w:t xml:space="preserve"> – Zugegriffen: 04.04.2025. Siehe auch diese Studie: </w:t>
      </w:r>
      <w:hyperlink r:id="rId1597" w:history="1">
        <w:r w:rsidRPr="007050C8">
          <w:rPr>
            <w:rStyle w:val="Hyperlink"/>
          </w:rPr>
          <w:t>https://op.europa.eu/en/publication-detail/-/publication/57318397-fdd4-11ed-a05c-01aa75ed71a1</w:t>
        </w:r>
      </w:hyperlink>
      <w:r>
        <w:t xml:space="preserve"> - Zugegriffen: 04.04.2025. </w:t>
      </w:r>
    </w:p>
  </w:footnote>
  <w:footnote w:id="2149">
    <w:p w14:paraId="1DC6720A" w14:textId="77777777" w:rsidR="002C057C" w:rsidRPr="006F031F" w:rsidRDefault="002C057C" w:rsidP="002C057C">
      <w:pPr>
        <w:pStyle w:val="Funotentext"/>
        <w:rPr>
          <w:lang w:val="en-GB"/>
        </w:rPr>
      </w:pPr>
      <w:r>
        <w:rPr>
          <w:rStyle w:val="Funotenzeichen"/>
        </w:rPr>
        <w:footnoteRef/>
      </w:r>
      <w:r w:rsidRPr="006F031F">
        <w:rPr>
          <w:lang w:val="en-GB"/>
        </w:rPr>
        <w:t xml:space="preserve"> NZIA Staff Working Document 2023: 18.</w:t>
      </w:r>
    </w:p>
  </w:footnote>
  <w:footnote w:id="2150">
    <w:p w14:paraId="6111AC9E" w14:textId="77777777" w:rsidR="002C057C" w:rsidRDefault="002C057C" w:rsidP="002C057C">
      <w:pPr>
        <w:pStyle w:val="Funotentext"/>
      </w:pPr>
      <w:r>
        <w:rPr>
          <w:rStyle w:val="Funotenzeichen"/>
        </w:rPr>
        <w:footnoteRef/>
      </w:r>
      <w:r w:rsidRPr="006F031F">
        <w:rPr>
          <w:lang w:val="en-GB"/>
        </w:rPr>
        <w:t xml:space="preserve"> 20.000 MT in Tennessee. </w:t>
      </w:r>
      <w:r>
        <w:t>Die U.S. Polysilizium Produktion ist nicht ausgelastet, weil China 2014 Zölle auf die U.S. Exporte auferlegt hat. DOE Solar 2022: 28.</w:t>
      </w:r>
    </w:p>
  </w:footnote>
  <w:footnote w:id="2151">
    <w:p w14:paraId="7E181212" w14:textId="77777777" w:rsidR="002C057C" w:rsidRPr="00B56739" w:rsidRDefault="002C057C" w:rsidP="002C057C">
      <w:pPr>
        <w:pStyle w:val="Funotentext"/>
      </w:pPr>
      <w:r>
        <w:rPr>
          <w:rStyle w:val="Funotenzeichen"/>
        </w:rPr>
        <w:footnoteRef/>
      </w:r>
      <w:r w:rsidRPr="00B56739">
        <w:t xml:space="preserve"> Wacker Chemie hat einen St</w:t>
      </w:r>
      <w:r>
        <w:t xml:space="preserve">romverbrauch von 6 TWh pro Jahr, 1,2 % des deutschen Verbrauchs. D.h. die Polysilizium Herstellung ist stromintensiv. </w:t>
      </w:r>
      <w:r w:rsidRPr="00B56739">
        <w:t xml:space="preserve">NZIA Staff Working </w:t>
      </w:r>
      <w:proofErr w:type="spellStart"/>
      <w:r w:rsidRPr="00B56739">
        <w:t>Document</w:t>
      </w:r>
      <w:proofErr w:type="spellEnd"/>
      <w:r w:rsidRPr="00B56739">
        <w:t xml:space="preserve"> 2023: 59.</w:t>
      </w:r>
    </w:p>
  </w:footnote>
  <w:footnote w:id="2152">
    <w:p w14:paraId="7C7A3339" w14:textId="77777777" w:rsidR="002C057C" w:rsidRPr="000F0F3E" w:rsidRDefault="002C057C" w:rsidP="002C057C">
      <w:pPr>
        <w:pStyle w:val="Funotentext"/>
      </w:pPr>
      <w:r>
        <w:rPr>
          <w:rStyle w:val="Funotenzeichen"/>
        </w:rPr>
        <w:footnoteRef/>
      </w:r>
      <w:r w:rsidRPr="000F0F3E">
        <w:t xml:space="preserve"> COM (2023) 161 final., 16.03.2023, S. 25, siehe: https://single-market-economy.ec.europa.eu/publications/net-zero-industry-act_en - Zugegriffen: 29.12.2023.</w:t>
      </w:r>
    </w:p>
  </w:footnote>
  <w:footnote w:id="2153">
    <w:p w14:paraId="770C071E" w14:textId="77777777" w:rsidR="002C057C" w:rsidRDefault="002C057C" w:rsidP="002C057C">
      <w:pPr>
        <w:pStyle w:val="Funotentext"/>
      </w:pPr>
      <w:r>
        <w:rPr>
          <w:rStyle w:val="Funotenzeichen"/>
        </w:rPr>
        <w:footnoteRef/>
      </w:r>
      <w:r>
        <w:t xml:space="preserve"> Siehe: </w:t>
      </w:r>
      <w:hyperlink r:id="rId1598" w:history="1">
        <w:r w:rsidRPr="007050C8">
          <w:rPr>
            <w:rStyle w:val="Hyperlink"/>
          </w:rPr>
          <w:t>https://eur-lex.europa.eu/legal-content/EN/TXT/?uri=OJ:L_202401735</w:t>
        </w:r>
      </w:hyperlink>
      <w:r>
        <w:t xml:space="preserve"> – Zugegriffen: 04.04.2025. </w:t>
      </w:r>
    </w:p>
  </w:footnote>
  <w:footnote w:id="2154">
    <w:p w14:paraId="2379FC04" w14:textId="77777777" w:rsidR="002C057C" w:rsidRDefault="002C057C" w:rsidP="002C057C">
      <w:pPr>
        <w:pStyle w:val="Funotentext"/>
      </w:pPr>
      <w:r>
        <w:rPr>
          <w:rStyle w:val="Funotenzeichen"/>
        </w:rPr>
        <w:footnoteRef/>
      </w:r>
      <w:r>
        <w:t xml:space="preserve"> Siehe: </w:t>
      </w:r>
      <w:hyperlink r:id="rId1599" w:history="1">
        <w:r w:rsidRPr="007050C8">
          <w:rPr>
            <w:rStyle w:val="Hyperlink"/>
          </w:rPr>
          <w:t>https://single-market-economy.ec.europa.eu/industry/sustainability/net-zero-industry-act_en</w:t>
        </w:r>
      </w:hyperlink>
      <w:r>
        <w:t xml:space="preserve"> - Zugegriffen: 04.04.2025. </w:t>
      </w:r>
    </w:p>
  </w:footnote>
  <w:footnote w:id="2155">
    <w:p w14:paraId="19C5F182" w14:textId="77777777" w:rsidR="002C057C" w:rsidRDefault="002C057C" w:rsidP="002C057C">
      <w:pPr>
        <w:pStyle w:val="Funotentext"/>
      </w:pPr>
      <w:r>
        <w:rPr>
          <w:rStyle w:val="Funotenzeichen"/>
        </w:rPr>
        <w:footnoteRef/>
      </w:r>
      <w:r>
        <w:t xml:space="preserve"> Siehe: </w:t>
      </w:r>
      <w:hyperlink r:id="rId1600" w:history="1">
        <w:r w:rsidRPr="001E7A15">
          <w:rPr>
            <w:rStyle w:val="Hyperlink"/>
          </w:rPr>
          <w:t>https://eur-lex.europa.eu/legal-content/EN/TXT/?uri=OJ:L_202401252</w:t>
        </w:r>
      </w:hyperlink>
      <w:r>
        <w:t xml:space="preserve"> – Zugegriffen: 04.04.2025.</w:t>
      </w:r>
    </w:p>
  </w:footnote>
  <w:footnote w:id="2156">
    <w:p w14:paraId="59CEC9B6" w14:textId="77777777" w:rsidR="002C057C" w:rsidRDefault="002C057C" w:rsidP="002C057C">
      <w:pPr>
        <w:pStyle w:val="Funotentext"/>
      </w:pPr>
      <w:r>
        <w:rPr>
          <w:rStyle w:val="Funotenzeichen"/>
        </w:rPr>
        <w:footnoteRef/>
      </w:r>
      <w:r>
        <w:t xml:space="preserve"> Siehe: </w:t>
      </w:r>
      <w:hyperlink r:id="rId1601" w:history="1">
        <w:r w:rsidRPr="007050C8">
          <w:rPr>
            <w:rStyle w:val="Hyperlink"/>
          </w:rPr>
          <w:t>https://single-market-economy.ec.europa.eu/sectors/raw-materials/areas-specific-interest/critical-raw-materials/critical-raw-materials-act_en</w:t>
        </w:r>
      </w:hyperlink>
      <w:r>
        <w:t xml:space="preserve"> - Zugegriffen: 04.04.2025. </w:t>
      </w:r>
    </w:p>
  </w:footnote>
  <w:footnote w:id="2157">
    <w:p w14:paraId="6D1D41E0" w14:textId="77777777" w:rsidR="002C057C" w:rsidRDefault="002C057C" w:rsidP="002C057C">
      <w:pPr>
        <w:pStyle w:val="Funotentext"/>
      </w:pPr>
      <w:r>
        <w:rPr>
          <w:rStyle w:val="Funotenzeichen"/>
        </w:rPr>
        <w:footnoteRef/>
      </w:r>
      <w:r>
        <w:t xml:space="preserve"> Siehe: </w:t>
      </w:r>
      <w:hyperlink r:id="rId1602" w:history="1">
        <w:r w:rsidRPr="007050C8">
          <w:rPr>
            <w:rStyle w:val="Hyperlink"/>
          </w:rPr>
          <w:t>https://www.bmwk.de/Redaktion/DE/Artikel/Industrie/critical-raw-materials-act.html</w:t>
        </w:r>
      </w:hyperlink>
      <w:r>
        <w:t xml:space="preserve"> - Zugegriffen: 04.04.2025. </w:t>
      </w:r>
    </w:p>
  </w:footnote>
  <w:footnote w:id="2158">
    <w:p w14:paraId="16752AC2" w14:textId="77777777" w:rsidR="002C057C" w:rsidRDefault="002C057C" w:rsidP="002C057C">
      <w:pPr>
        <w:pStyle w:val="Funotentext"/>
      </w:pPr>
      <w:r>
        <w:rPr>
          <w:rStyle w:val="Funotenzeichen"/>
        </w:rPr>
        <w:footnoteRef/>
      </w:r>
      <w:r>
        <w:t xml:space="preserve"> Art. 25 5 (c), siehe: </w:t>
      </w:r>
      <w:hyperlink r:id="rId1603" w:history="1">
        <w:r w:rsidRPr="007050C8">
          <w:rPr>
            <w:rStyle w:val="Hyperlink"/>
          </w:rPr>
          <w:t>https://eur-lex.europa.eu/legal-content/DE/TXT/PDF/?uri=OJ:L_202401735</w:t>
        </w:r>
      </w:hyperlink>
      <w:r>
        <w:t xml:space="preserve"> – Zugegriffen: 04.04.2025. </w:t>
      </w:r>
    </w:p>
  </w:footnote>
  <w:footnote w:id="2159">
    <w:p w14:paraId="27F61C09" w14:textId="77777777" w:rsidR="002C057C" w:rsidRDefault="002C057C" w:rsidP="002C057C">
      <w:pPr>
        <w:pStyle w:val="Funotentext"/>
      </w:pPr>
      <w:r>
        <w:rPr>
          <w:rStyle w:val="Funotenzeichen"/>
        </w:rPr>
        <w:footnoteRef/>
      </w:r>
      <w:r>
        <w:t xml:space="preserve"> Erwägungsgrund 3 und 4, siehe: </w:t>
      </w:r>
      <w:hyperlink r:id="rId1604" w:history="1">
        <w:r w:rsidRPr="007050C8">
          <w:rPr>
            <w:rStyle w:val="Hyperlink"/>
          </w:rPr>
          <w:t>https://eur-lex.europa.eu/legal-content/DE/TXT/PDF/?uri=OJ:L_202401252</w:t>
        </w:r>
      </w:hyperlink>
      <w:r>
        <w:t xml:space="preserve"> – Zugegriffen: 04.04.2025. </w:t>
      </w:r>
    </w:p>
  </w:footnote>
  <w:footnote w:id="2160">
    <w:p w14:paraId="5E25FFAB" w14:textId="105D8A3E" w:rsidR="008950DD" w:rsidRDefault="008950DD">
      <w:pPr>
        <w:pStyle w:val="Funotentext"/>
      </w:pPr>
      <w:r>
        <w:rPr>
          <w:rStyle w:val="Funotenzeichen"/>
        </w:rPr>
        <w:footnoteRef/>
      </w:r>
      <w:r>
        <w:t xml:space="preserve"> Siehe: </w:t>
      </w:r>
      <w:hyperlink r:id="rId1605" w:history="1">
        <w:r w:rsidRPr="00C14A4B">
          <w:rPr>
            <w:rStyle w:val="Hyperlink"/>
          </w:rPr>
          <w:t>https://wtoplurilaterals.info/plural_initiative/the-mpia/</w:t>
        </w:r>
      </w:hyperlink>
      <w:r>
        <w:t xml:space="preserve"> - Zugegriffen: 15.06.2025. </w:t>
      </w:r>
    </w:p>
  </w:footnote>
  <w:footnote w:id="2161">
    <w:p w14:paraId="279E4AA8" w14:textId="1AA8F874" w:rsidR="002C057C" w:rsidRDefault="002C057C" w:rsidP="002C057C">
      <w:pPr>
        <w:pStyle w:val="Funotentext"/>
      </w:pPr>
      <w:r>
        <w:rPr>
          <w:rStyle w:val="Funotenzeichen"/>
        </w:rPr>
        <w:footnoteRef/>
      </w:r>
      <w:r>
        <w:t xml:space="preserve"> </w:t>
      </w:r>
      <w:r w:rsidRPr="00CE30D9">
        <w:t xml:space="preserve">Dies ist natürlich sinnvoll, z.B. setzt man sich dadurch, dass man gegen WTO-Regeln klar erkennbar verstößt, dem Risiko aus, dass ein Handelspartner reziprok Vergeltung übt, d.h. seinerseits z.B. Zölle erhöht. Auch wenn man Schutzmaßnahmen nutzt, etwa Antidumpingzölle, ist dies erst einmal aber WTO konform und ist noch kein Einstieg in eine solche Zollerhöhung. Eigentlich ist die Streitbeilegung dafür zuständig, und diese Streitigkeiten finden in der WTO auch immer noch statt, derzeit ist </w:t>
      </w:r>
      <w:r>
        <w:t xml:space="preserve">allerdings </w:t>
      </w:r>
      <w:r w:rsidRPr="00CE30D9">
        <w:t>die Berufungsinstanz der WTO durch die USA blockiert</w:t>
      </w:r>
      <w:r w:rsidR="008950DD">
        <w:t xml:space="preserve">, hier gibt es allerdings für 16 Staaten nun die Einigung, dass sie eine </w:t>
      </w:r>
      <w:proofErr w:type="spellStart"/>
      <w:r w:rsidR="008950DD">
        <w:t>Berufungsinstanzsystem</w:t>
      </w:r>
      <w:proofErr w:type="spellEnd"/>
      <w:r w:rsidR="008950DD">
        <w:t xml:space="preserve"> nur für sich akzeptieren, eben die MPIA, Multi-Party Interim Appeal Arbitration Arrangement</w:t>
      </w:r>
      <w:r w:rsidRPr="00CE30D9">
        <w:t>.</w:t>
      </w:r>
      <w:r>
        <w:t xml:space="preserve"> Präsident Trump will sich offenbar aus der WTO ganz zurückziehen, er hat angekündigt, die Beiträge nicht mehr zu zahlen. </w:t>
      </w:r>
      <w:r w:rsidR="008950DD">
        <w:t xml:space="preserve">Dafür hier keine </w:t>
      </w:r>
      <w:proofErr w:type="spellStart"/>
      <w:r w:rsidR="008950DD">
        <w:t>Fussnote</w:t>
      </w:r>
      <w:proofErr w:type="spellEnd"/>
      <w:r w:rsidR="008950DD">
        <w:t xml:space="preserve">. </w:t>
      </w:r>
    </w:p>
  </w:footnote>
  <w:footnote w:id="2162">
    <w:p w14:paraId="2C0E1286" w14:textId="77777777" w:rsidR="009E3B9C" w:rsidRDefault="009E3B9C" w:rsidP="009E3B9C">
      <w:pPr>
        <w:pStyle w:val="Funotentext"/>
      </w:pPr>
      <w:r>
        <w:rPr>
          <w:rStyle w:val="Funotenzeichen"/>
        </w:rPr>
        <w:footnoteRef/>
      </w:r>
      <w:r>
        <w:t xml:space="preserve"> Siehe hier: </w:t>
      </w:r>
      <w:hyperlink r:id="rId1606" w:history="1">
        <w:r w:rsidRPr="004D34B9">
          <w:rPr>
            <w:rStyle w:val="Hyperlink"/>
          </w:rPr>
          <w:t>https://commission.europa.eu/document/download/9db1c5c8-9e82-467b-ab6a-905feeb4b6b0_en?filename=Communication%20-%20Clean%20Industrial%20Deal_en.pdf&amp;prefLang=de</w:t>
        </w:r>
      </w:hyperlink>
      <w:r>
        <w:t xml:space="preserve"> – Zugegriffen: 15.05.2025. </w:t>
      </w:r>
    </w:p>
  </w:footnote>
  <w:footnote w:id="2163">
    <w:p w14:paraId="7EA2CA25" w14:textId="77777777" w:rsidR="002C057C" w:rsidRDefault="002C057C" w:rsidP="002C057C">
      <w:pPr>
        <w:pStyle w:val="Funotentext"/>
      </w:pPr>
      <w:r>
        <w:rPr>
          <w:rStyle w:val="Funotenzeichen"/>
        </w:rPr>
        <w:footnoteRef/>
      </w:r>
      <w:r>
        <w:t xml:space="preserve"> Siehe: </w:t>
      </w:r>
      <w:hyperlink r:id="rId1607" w:history="1">
        <w:r w:rsidRPr="008D0F9C">
          <w:rPr>
            <w:rStyle w:val="Hyperlink"/>
          </w:rPr>
          <w:t>https://eur-lex.europa.eu/legal-content/DE/TXT/PDF/?uri=CELEX:52022XC0218(03)</w:t>
        </w:r>
      </w:hyperlink>
      <w:r>
        <w:t xml:space="preserve"> - Zugegriffen: 24.02.2024.</w:t>
      </w:r>
    </w:p>
  </w:footnote>
  <w:footnote w:id="2164">
    <w:p w14:paraId="4631F9B5" w14:textId="77777777" w:rsidR="002C057C" w:rsidRPr="002D4D3B" w:rsidRDefault="002C057C" w:rsidP="002C057C">
      <w:pPr>
        <w:pStyle w:val="Funotentext"/>
      </w:pPr>
      <w:r>
        <w:rPr>
          <w:rStyle w:val="Funotenzeichen"/>
        </w:rPr>
        <w:footnoteRef/>
      </w:r>
      <w:r w:rsidRPr="002D4D3B">
        <w:t xml:space="preserve"> Si</w:t>
      </w:r>
      <w:r>
        <w:t xml:space="preserve">ehe: </w:t>
      </w:r>
      <w:hyperlink r:id="rId1608" w:history="1">
        <w:r w:rsidRPr="00724584">
          <w:rPr>
            <w:rStyle w:val="Hyperlink"/>
          </w:rPr>
          <w:t>https://stiftung-umweltenergierecht.de/wp-content/uploads/2022/04/Stiftung_Umweltenergierecht_WueBerichte_54_Energiekrise-und-Beihilfenrecht.pdf</w:t>
        </w:r>
      </w:hyperlink>
      <w:r>
        <w:t xml:space="preserve"> - Zugegriffen: 05.12.2024. </w:t>
      </w:r>
    </w:p>
  </w:footnote>
  <w:footnote w:id="2165">
    <w:p w14:paraId="06456FCC" w14:textId="77777777" w:rsidR="002C057C" w:rsidRDefault="002C057C" w:rsidP="002C057C">
      <w:pPr>
        <w:pStyle w:val="Funotentext"/>
      </w:pPr>
      <w:r>
        <w:rPr>
          <w:rStyle w:val="Funotenzeichen"/>
        </w:rPr>
        <w:footnoteRef/>
      </w:r>
      <w:r>
        <w:t xml:space="preserve"> Siehe die Webseite </w:t>
      </w:r>
      <w:proofErr w:type="spellStart"/>
      <w:r>
        <w:t>Holosolis</w:t>
      </w:r>
      <w:proofErr w:type="spellEnd"/>
      <w:r>
        <w:t xml:space="preserve">: </w:t>
      </w:r>
      <w:hyperlink r:id="rId1609" w:history="1">
        <w:r w:rsidRPr="007A17B2">
          <w:rPr>
            <w:rStyle w:val="Hyperlink"/>
          </w:rPr>
          <w:t>https://holosolis.com/</w:t>
        </w:r>
      </w:hyperlink>
      <w:r>
        <w:t xml:space="preserve"> die Firmen soll im Gewerbegebiet </w:t>
      </w:r>
      <w:proofErr w:type="spellStart"/>
      <w:r>
        <w:t>Europole</w:t>
      </w:r>
      <w:proofErr w:type="spellEnd"/>
      <w:r>
        <w:t xml:space="preserve"> 2 in Hambach, 20 km von Saarbrücken entfernt, aufgebaut werden, siehe auch: </w:t>
      </w:r>
      <w:hyperlink r:id="rId1610" w:history="1">
        <w:r w:rsidRPr="002157C3">
          <w:rPr>
            <w:rStyle w:val="Hyperlink"/>
          </w:rPr>
          <w:t>https://www.concertation-holosolis.org/deutsch/das-projekt/</w:t>
        </w:r>
      </w:hyperlink>
      <w:r>
        <w:t xml:space="preserve"> - Zugegriffen: 04.04.2024.</w:t>
      </w:r>
    </w:p>
  </w:footnote>
  <w:footnote w:id="2166">
    <w:p w14:paraId="0DC170C6" w14:textId="16F9865D" w:rsidR="00FF5FD3" w:rsidRPr="00FF5FD3" w:rsidRDefault="00FF5FD3">
      <w:pPr>
        <w:pStyle w:val="Funotentext"/>
      </w:pPr>
      <w:r>
        <w:rPr>
          <w:rStyle w:val="Funotenzeichen"/>
        </w:rPr>
        <w:footnoteRef/>
      </w:r>
      <w:r w:rsidRPr="00FF5FD3">
        <w:t xml:space="preserve"> Siehe: </w:t>
      </w:r>
      <w:hyperlink r:id="rId1611" w:history="1">
        <w:r w:rsidRPr="00034843">
          <w:rPr>
            <w:rStyle w:val="Hyperlink"/>
          </w:rPr>
          <w:t>https://www.sr.de/sr/home/nachrichten/politik_wirtschaft/holosolis_photovoltaik_hambach_bauantrag_gestellt_100.html</w:t>
        </w:r>
      </w:hyperlink>
      <w:r>
        <w:t xml:space="preserve"> - Zugegriffen: 23.05.2025. </w:t>
      </w:r>
    </w:p>
  </w:footnote>
  <w:footnote w:id="2167">
    <w:p w14:paraId="2433156A" w14:textId="5F955ADB" w:rsidR="00FF5FD3" w:rsidRPr="00FF5FD3" w:rsidRDefault="00FF5FD3">
      <w:pPr>
        <w:pStyle w:val="Funotentext"/>
      </w:pPr>
      <w:r>
        <w:rPr>
          <w:rStyle w:val="Funotenzeichen"/>
        </w:rPr>
        <w:footnoteRef/>
      </w:r>
      <w:r w:rsidRPr="00FF5FD3">
        <w:t xml:space="preserve"> Siehe: </w:t>
      </w:r>
      <w:hyperlink r:id="rId1612" w:history="1">
        <w:r w:rsidRPr="00FF5FD3">
          <w:rPr>
            <w:rStyle w:val="Hyperlink"/>
          </w:rPr>
          <w:t>https://holosolis.com/</w:t>
        </w:r>
      </w:hyperlink>
      <w:r w:rsidRPr="00FF5FD3">
        <w:t xml:space="preserve"> - Z</w:t>
      </w:r>
      <w:r>
        <w:t xml:space="preserve">ugegriffen: 23.05.2025. </w:t>
      </w:r>
    </w:p>
  </w:footnote>
  <w:footnote w:id="2168">
    <w:p w14:paraId="30DE8CD3" w14:textId="77777777" w:rsidR="002C057C" w:rsidRPr="00F30DA6" w:rsidRDefault="002C057C" w:rsidP="002C057C">
      <w:pPr>
        <w:pStyle w:val="Funotentext"/>
      </w:pPr>
      <w:r>
        <w:rPr>
          <w:rStyle w:val="Funotenzeichen"/>
        </w:rPr>
        <w:footnoteRef/>
      </w:r>
      <w:r w:rsidRPr="000D484B">
        <w:t xml:space="preserve"> Hendrik Kafsack et al. </w:t>
      </w:r>
      <w:r>
        <w:t xml:space="preserve">Paris drängt auf Einfuhrlimit für Solartechnik aus China. </w:t>
      </w:r>
      <w:r w:rsidRPr="00F30DA6">
        <w:t>FAZ, 13.11.2023.</w:t>
      </w:r>
    </w:p>
  </w:footnote>
  <w:footnote w:id="2169">
    <w:p w14:paraId="2024B53F" w14:textId="36B045AC" w:rsidR="00B14AED" w:rsidRDefault="00B14AED">
      <w:pPr>
        <w:pStyle w:val="Funotentext"/>
      </w:pPr>
      <w:r>
        <w:rPr>
          <w:rStyle w:val="Funotenzeichen"/>
        </w:rPr>
        <w:footnoteRef/>
      </w:r>
      <w:r>
        <w:t xml:space="preserve"> Siehe: </w:t>
      </w:r>
      <w:hyperlink r:id="rId1613" w:history="1">
        <w:r w:rsidRPr="0050727D">
          <w:rPr>
            <w:rStyle w:val="Hyperlink"/>
          </w:rPr>
          <w:t>https://carbon-solar.com/en/</w:t>
        </w:r>
      </w:hyperlink>
      <w:r>
        <w:t xml:space="preserve"> </w:t>
      </w:r>
    </w:p>
  </w:footnote>
  <w:footnote w:id="2170">
    <w:p w14:paraId="7E545D83" w14:textId="4C6C87E0" w:rsidR="004B7F4A" w:rsidRDefault="004B7F4A">
      <w:pPr>
        <w:pStyle w:val="Funotentext"/>
      </w:pPr>
      <w:r>
        <w:rPr>
          <w:rStyle w:val="Funotenzeichen"/>
        </w:rPr>
        <w:footnoteRef/>
      </w:r>
      <w:r>
        <w:t xml:space="preserve"> Siehe: </w:t>
      </w:r>
      <w:hyperlink r:id="rId1614" w:history="1">
        <w:r w:rsidRPr="0050727D">
          <w:rPr>
            <w:rStyle w:val="Hyperlink"/>
          </w:rPr>
          <w:t>https://carbon-solar.com/en/carbonnews/carbonnews-carbonnews/the-ministry-of-the-economy-reaffirms-its-support-for-a-sustainable-industry/</w:t>
        </w:r>
      </w:hyperlink>
      <w:r>
        <w:t xml:space="preserve"> - Zugegriffen: 09.06.2025. </w:t>
      </w:r>
    </w:p>
  </w:footnote>
  <w:footnote w:id="2171">
    <w:p w14:paraId="2DC6D7B3" w14:textId="3684FC06" w:rsidR="004B7F4A" w:rsidRDefault="004B7F4A">
      <w:pPr>
        <w:pStyle w:val="Funotentext"/>
      </w:pPr>
      <w:r>
        <w:rPr>
          <w:rStyle w:val="Funotenzeichen"/>
        </w:rPr>
        <w:footnoteRef/>
      </w:r>
      <w:r>
        <w:t xml:space="preserve"> Siehe: </w:t>
      </w:r>
      <w:hyperlink r:id="rId1615" w:history="1">
        <w:r w:rsidRPr="0050727D">
          <w:rPr>
            <w:rStyle w:val="Hyperlink"/>
          </w:rPr>
          <w:t>https://carbon-solar.com/en/carbonnews/carbonnews-carbonnews/the-ministry-of-the-economy-reaffirms-its-support-for-a-sustainable-industry/</w:t>
        </w:r>
      </w:hyperlink>
      <w:r>
        <w:t xml:space="preserve"> - Zugegriffen: 09.06.2025. </w:t>
      </w:r>
    </w:p>
  </w:footnote>
  <w:footnote w:id="2172">
    <w:p w14:paraId="47D6EF98" w14:textId="653F23FC" w:rsidR="000801A8" w:rsidRDefault="000801A8">
      <w:pPr>
        <w:pStyle w:val="Funotentext"/>
      </w:pPr>
      <w:r>
        <w:rPr>
          <w:rStyle w:val="Funotenzeichen"/>
        </w:rPr>
        <w:footnoteRef/>
      </w:r>
      <w:r>
        <w:t xml:space="preserve"> Siehe: </w:t>
      </w:r>
      <w:hyperlink r:id="rId1616" w:history="1">
        <w:r w:rsidRPr="00143633">
          <w:rPr>
            <w:rStyle w:val="Hyperlink"/>
          </w:rPr>
          <w:t>https://www.solarnl.eu/</w:t>
        </w:r>
      </w:hyperlink>
      <w:r>
        <w:t xml:space="preserve"> </w:t>
      </w:r>
    </w:p>
  </w:footnote>
  <w:footnote w:id="2173">
    <w:p w14:paraId="2F9760FB" w14:textId="44D6079E" w:rsidR="00743CD4" w:rsidRDefault="00743CD4">
      <w:pPr>
        <w:pStyle w:val="Funotentext"/>
      </w:pPr>
      <w:r>
        <w:rPr>
          <w:rStyle w:val="Funotenzeichen"/>
        </w:rPr>
        <w:footnoteRef/>
      </w:r>
      <w:r>
        <w:t xml:space="preserve"> Siehe: </w:t>
      </w:r>
      <w:hyperlink r:id="rId1617" w:history="1">
        <w:r w:rsidRPr="00143633">
          <w:rPr>
            <w:rStyle w:val="Hyperlink"/>
          </w:rPr>
          <w:t>https://solaralliance.eu/news/dutch-government-allocates-e312-million-subsidy-for-solarnl-pushing-the-growth-of-solar-energy-manufacturing-industry-in-europe/</w:t>
        </w:r>
      </w:hyperlink>
      <w:r>
        <w:t xml:space="preserve"> - Zugegriffen: 01.06.2025. </w:t>
      </w:r>
    </w:p>
  </w:footnote>
  <w:footnote w:id="2174">
    <w:p w14:paraId="64CD3877" w14:textId="77777777" w:rsidR="002C057C" w:rsidRDefault="002C057C" w:rsidP="002C057C">
      <w:pPr>
        <w:pStyle w:val="Funotentext"/>
        <w:tabs>
          <w:tab w:val="left" w:pos="825"/>
        </w:tabs>
      </w:pPr>
      <w:r>
        <w:rPr>
          <w:rStyle w:val="Funotenzeichen"/>
        </w:rPr>
        <w:footnoteRef/>
      </w:r>
      <w:r>
        <w:t xml:space="preserve"> Siehe: </w:t>
      </w:r>
      <w:hyperlink r:id="rId1618" w:history="1">
        <w:r w:rsidRPr="00CB33EB">
          <w:rPr>
            <w:rStyle w:val="Hyperlink"/>
          </w:rPr>
          <w:t>https://solaralliance.eu/</w:t>
        </w:r>
      </w:hyperlink>
    </w:p>
  </w:footnote>
  <w:footnote w:id="2175">
    <w:p w14:paraId="2FFC27D1" w14:textId="77777777" w:rsidR="002C057C" w:rsidRPr="00F30DA6" w:rsidRDefault="002C057C" w:rsidP="002C057C">
      <w:pPr>
        <w:pStyle w:val="Funotentext"/>
      </w:pPr>
      <w:r>
        <w:rPr>
          <w:rStyle w:val="Funotenzeichen"/>
        </w:rPr>
        <w:footnoteRef/>
      </w:r>
      <w:r w:rsidRPr="00F30DA6">
        <w:t xml:space="preserve"> </w:t>
      </w:r>
      <w:r>
        <w:t xml:space="preserve">Siehe: </w:t>
      </w:r>
      <w:hyperlink r:id="rId1619" w:history="1">
        <w:r w:rsidRPr="0087198C">
          <w:rPr>
            <w:rStyle w:val="Hyperlink"/>
          </w:rPr>
          <w:t>https://solaralliance.eu/wp-content/uploads/2023/06/ESIA_WG-Status-Report-Q2-2023.pdf</w:t>
        </w:r>
      </w:hyperlink>
      <w:r>
        <w:t xml:space="preserve"> - Zugegriffen: 30.03.2025. </w:t>
      </w:r>
    </w:p>
  </w:footnote>
  <w:footnote w:id="2176">
    <w:p w14:paraId="779036B1" w14:textId="77777777" w:rsidR="002C057C" w:rsidRDefault="002C057C" w:rsidP="002C057C">
      <w:pPr>
        <w:pStyle w:val="Funotentext"/>
      </w:pPr>
      <w:r>
        <w:rPr>
          <w:rStyle w:val="Funotenzeichen"/>
        </w:rPr>
        <w:footnoteRef/>
      </w:r>
      <w:r>
        <w:t xml:space="preserve"> Siehe: </w:t>
      </w:r>
      <w:hyperlink r:id="rId1620" w:history="1">
        <w:r w:rsidRPr="00CB33EB">
          <w:rPr>
            <w:rStyle w:val="Hyperlink"/>
          </w:rPr>
          <w:t>https://pilatus-project.eu/</w:t>
        </w:r>
      </w:hyperlink>
    </w:p>
  </w:footnote>
  <w:footnote w:id="2177">
    <w:p w14:paraId="728F2639" w14:textId="77777777" w:rsidR="002C057C" w:rsidRPr="00B510DF" w:rsidRDefault="002C057C" w:rsidP="002C057C">
      <w:pPr>
        <w:pStyle w:val="Funotentext"/>
      </w:pPr>
      <w:r>
        <w:rPr>
          <w:rStyle w:val="Funotenzeichen"/>
        </w:rPr>
        <w:footnoteRef/>
      </w:r>
      <w:r w:rsidRPr="00B510DF">
        <w:t xml:space="preserve"> Siehe: </w:t>
      </w:r>
      <w:hyperlink r:id="rId1621" w:history="1">
        <w:r w:rsidRPr="008956AF">
          <w:rPr>
            <w:rStyle w:val="Hyperlink"/>
          </w:rPr>
          <w:t>https://www.csp.fraunhofer.de/de/presse/pressemitteilungen/digitalisierte-produktionslinien-solarzellen-solarmodule-europa.html</w:t>
        </w:r>
      </w:hyperlink>
      <w:r>
        <w:t xml:space="preserve"> - Zugegriffen: 27.05.2024. </w:t>
      </w:r>
    </w:p>
  </w:footnote>
  <w:footnote w:id="2178">
    <w:p w14:paraId="78BA57B5" w14:textId="77777777" w:rsidR="002C057C" w:rsidRPr="00B510DF" w:rsidRDefault="002C057C" w:rsidP="002C057C">
      <w:pPr>
        <w:pStyle w:val="Funotentext"/>
      </w:pPr>
      <w:r>
        <w:rPr>
          <w:rStyle w:val="Funotenzeichen"/>
        </w:rPr>
        <w:footnoteRef/>
      </w:r>
      <w:r w:rsidRPr="00B510DF">
        <w:t xml:space="preserve"> </w:t>
      </w:r>
      <w:r>
        <w:t xml:space="preserve">Siehe: </w:t>
      </w:r>
      <w:hyperlink r:id="rId1622" w:history="1">
        <w:r w:rsidRPr="00CB33EB">
          <w:rPr>
            <w:rStyle w:val="Hyperlink"/>
          </w:rPr>
          <w:t>https://www.oxfordpv.com/</w:t>
        </w:r>
      </w:hyperlink>
    </w:p>
  </w:footnote>
  <w:footnote w:id="2179">
    <w:p w14:paraId="1FC3B676" w14:textId="77777777" w:rsidR="002C057C" w:rsidRPr="00F30DA6" w:rsidRDefault="002C057C" w:rsidP="002C057C">
      <w:pPr>
        <w:pStyle w:val="Funotentext"/>
      </w:pPr>
      <w:r>
        <w:rPr>
          <w:rStyle w:val="Funotenzeichen"/>
        </w:rPr>
        <w:footnoteRef/>
      </w:r>
      <w:r w:rsidRPr="00F30DA6">
        <w:t xml:space="preserve"> </w:t>
      </w:r>
      <w:r>
        <w:t xml:space="preserve">Siehe: </w:t>
      </w:r>
      <w:hyperlink r:id="rId1623" w:history="1">
        <w:r w:rsidRPr="0087198C">
          <w:rPr>
            <w:rStyle w:val="Hyperlink"/>
          </w:rPr>
          <w:t>https://www.meyerburger.com/de/solarprodukte-fuer-privat</w:t>
        </w:r>
      </w:hyperlink>
      <w:r>
        <w:t xml:space="preserve"> - Zugegriffen: 27.05.2024.</w:t>
      </w:r>
    </w:p>
  </w:footnote>
  <w:footnote w:id="2180">
    <w:p w14:paraId="323BA283" w14:textId="77777777" w:rsidR="002C057C" w:rsidRPr="00F30DA6" w:rsidRDefault="002C057C" w:rsidP="002C057C">
      <w:pPr>
        <w:pStyle w:val="Funotentext"/>
      </w:pPr>
      <w:r>
        <w:rPr>
          <w:rStyle w:val="Funotenzeichen"/>
        </w:rPr>
        <w:footnoteRef/>
      </w:r>
      <w:r w:rsidRPr="00F30DA6">
        <w:t xml:space="preserve"> </w:t>
      </w:r>
      <w:r>
        <w:t xml:space="preserve">Siehe: </w:t>
      </w:r>
      <w:hyperlink r:id="rId1624" w:history="1">
        <w:r w:rsidRPr="0087198C">
          <w:rPr>
            <w:rStyle w:val="Hyperlink"/>
          </w:rPr>
          <w:t>https://www.azurspace.com/index.php/en/</w:t>
        </w:r>
      </w:hyperlink>
      <w:r>
        <w:t xml:space="preserve"> - Zugegriffen: 27.05.2024.</w:t>
      </w:r>
    </w:p>
  </w:footnote>
  <w:footnote w:id="2181">
    <w:p w14:paraId="34D646AB" w14:textId="77777777" w:rsidR="002C057C" w:rsidRPr="00F30DA6" w:rsidRDefault="002C057C" w:rsidP="002C057C">
      <w:pPr>
        <w:pStyle w:val="Funotentext"/>
      </w:pPr>
      <w:r>
        <w:rPr>
          <w:rStyle w:val="Funotenzeichen"/>
        </w:rPr>
        <w:footnoteRef/>
      </w:r>
      <w:r w:rsidRPr="00F30DA6">
        <w:t xml:space="preserve"> </w:t>
      </w:r>
      <w:r>
        <w:t xml:space="preserve">Siehe: </w:t>
      </w:r>
      <w:hyperlink r:id="rId1625" w:history="1">
        <w:r w:rsidRPr="00CB33EB">
          <w:rPr>
            <w:rStyle w:val="Hyperlink"/>
          </w:rPr>
          <w:t>https://ecosolifer.com/</w:t>
        </w:r>
      </w:hyperlink>
    </w:p>
  </w:footnote>
  <w:footnote w:id="2182">
    <w:p w14:paraId="1B61E81D" w14:textId="77777777" w:rsidR="002C057C" w:rsidRPr="00F30DA6" w:rsidRDefault="002C057C" w:rsidP="002C057C">
      <w:pPr>
        <w:pStyle w:val="Funotentext"/>
      </w:pPr>
      <w:r>
        <w:rPr>
          <w:rStyle w:val="Funotenzeichen"/>
        </w:rPr>
        <w:footnoteRef/>
      </w:r>
      <w:r w:rsidRPr="00F30DA6">
        <w:t xml:space="preserve"> </w:t>
      </w:r>
      <w:r>
        <w:t xml:space="preserve">Siehe: </w:t>
      </w:r>
      <w:hyperlink r:id="rId1626" w:history="1">
        <w:r w:rsidRPr="00CB33EB">
          <w:rPr>
            <w:rStyle w:val="Hyperlink"/>
          </w:rPr>
          <w:t>https://valoe.com/</w:t>
        </w:r>
      </w:hyperlink>
    </w:p>
  </w:footnote>
  <w:footnote w:id="2183">
    <w:p w14:paraId="4133EDF8" w14:textId="40712673" w:rsidR="001E0E3D" w:rsidRDefault="001E0E3D">
      <w:pPr>
        <w:pStyle w:val="Funotentext"/>
      </w:pPr>
      <w:r>
        <w:rPr>
          <w:rStyle w:val="Funotenzeichen"/>
        </w:rPr>
        <w:footnoteRef/>
      </w:r>
      <w:r>
        <w:t xml:space="preserve"> </w:t>
      </w:r>
      <w:r w:rsidR="00B14AED">
        <w:t xml:space="preserve">Siehe: </w:t>
      </w:r>
      <w:hyperlink r:id="rId1627" w:history="1">
        <w:r w:rsidR="00B14AED" w:rsidRPr="0050727D">
          <w:rPr>
            <w:rStyle w:val="Hyperlink"/>
          </w:rPr>
          <w:t>https://www.bernreuter.com/newsroom/polysilicon-news/article/insolvency-of-norwegian-crystals-is-a-blow-to-pv-supply-in-eu/</w:t>
        </w:r>
      </w:hyperlink>
      <w:r w:rsidR="00B14AED">
        <w:t xml:space="preserve"> - Zugegriffen: 09.06.2025. </w:t>
      </w:r>
    </w:p>
  </w:footnote>
  <w:footnote w:id="2184">
    <w:p w14:paraId="44F44912" w14:textId="3294D127" w:rsidR="00B14AED" w:rsidRDefault="00B14AED">
      <w:pPr>
        <w:pStyle w:val="Funotentext"/>
      </w:pPr>
      <w:r>
        <w:rPr>
          <w:rStyle w:val="Funotenzeichen"/>
        </w:rPr>
        <w:footnoteRef/>
      </w:r>
      <w:r>
        <w:t xml:space="preserve"> Siehe: </w:t>
      </w:r>
      <w:hyperlink r:id="rId1628" w:history="1">
        <w:r w:rsidRPr="0050727D">
          <w:rPr>
            <w:rStyle w:val="Hyperlink"/>
          </w:rPr>
          <w:t>https://www.norsun.no/artikler/norsun-discontinues-manufacturing-in-norway-and-concentrates-all-efforts-on-us-project</w:t>
        </w:r>
      </w:hyperlink>
      <w:r>
        <w:t xml:space="preserve"> - Zugegriffen: 09.06.2025. </w:t>
      </w:r>
    </w:p>
  </w:footnote>
  <w:footnote w:id="2185">
    <w:p w14:paraId="139C379A" w14:textId="58A6268A" w:rsidR="001E0E3D" w:rsidRDefault="001E0E3D">
      <w:pPr>
        <w:pStyle w:val="Funotentext"/>
      </w:pPr>
      <w:r>
        <w:rPr>
          <w:rStyle w:val="Funotenzeichen"/>
        </w:rPr>
        <w:footnoteRef/>
      </w:r>
      <w:r>
        <w:t xml:space="preserve"> Stand August 2022: </w:t>
      </w:r>
      <w:r w:rsidRPr="00EB3080">
        <w:t xml:space="preserve">DENA </w:t>
      </w:r>
      <w:proofErr w:type="spellStart"/>
      <w:r w:rsidRPr="00EB3080">
        <w:t>StiPE</w:t>
      </w:r>
      <w:proofErr w:type="spellEnd"/>
      <w:r w:rsidRPr="00EB3080">
        <w:t xml:space="preserve"> Berich</w:t>
      </w:r>
      <w:r w:rsidR="000D2AA3">
        <w:t>t</w:t>
      </w:r>
      <w:r w:rsidRPr="00EB3080">
        <w:t xml:space="preserve"> 2022:</w:t>
      </w:r>
      <w:r>
        <w:t xml:space="preserve"> 26.</w:t>
      </w:r>
    </w:p>
  </w:footnote>
  <w:footnote w:id="2186">
    <w:p w14:paraId="161259C9" w14:textId="77777777" w:rsidR="002C057C" w:rsidRPr="00F30DA6" w:rsidRDefault="002C057C" w:rsidP="002C057C">
      <w:pPr>
        <w:pStyle w:val="Funotentext"/>
      </w:pPr>
      <w:r>
        <w:rPr>
          <w:rStyle w:val="Funotenzeichen"/>
        </w:rPr>
        <w:footnoteRef/>
      </w:r>
      <w:r w:rsidRPr="00F30DA6">
        <w:t xml:space="preserve"> </w:t>
      </w:r>
      <w:r>
        <w:t xml:space="preserve">Siehe: </w:t>
      </w:r>
      <w:hyperlink r:id="rId1629" w:history="1">
        <w:r w:rsidRPr="0087198C">
          <w:rPr>
            <w:rStyle w:val="Hyperlink"/>
          </w:rPr>
          <w:t>https://www.enelgreenpower.com/who-we-are/innovation/3SUN-factory</w:t>
        </w:r>
      </w:hyperlink>
      <w:r>
        <w:t xml:space="preserve"> - Zugegriffen: 27.05.2024.</w:t>
      </w:r>
    </w:p>
  </w:footnote>
  <w:footnote w:id="2187">
    <w:p w14:paraId="72F02CDE" w14:textId="3D0FC418" w:rsidR="00EB168D" w:rsidRDefault="00EB168D">
      <w:pPr>
        <w:pStyle w:val="Funotentext"/>
      </w:pPr>
      <w:r>
        <w:rPr>
          <w:rStyle w:val="Funotenzeichen"/>
        </w:rPr>
        <w:footnoteRef/>
      </w:r>
      <w:r>
        <w:t xml:space="preserve"> Christian Schubert. Enel fährt die Solarzellenproduktion hoch. FAZ, 19.11.2024. </w:t>
      </w:r>
    </w:p>
  </w:footnote>
  <w:footnote w:id="2188">
    <w:p w14:paraId="5575D664" w14:textId="10BD0DC9" w:rsidR="00EB168D" w:rsidRDefault="00EB168D">
      <w:pPr>
        <w:pStyle w:val="Funotentext"/>
      </w:pPr>
      <w:r>
        <w:rPr>
          <w:rStyle w:val="Funotenzeichen"/>
        </w:rPr>
        <w:footnoteRef/>
      </w:r>
      <w:r>
        <w:t xml:space="preserve"> </w:t>
      </w:r>
      <w:r w:rsidR="00544E39">
        <w:t xml:space="preserve">Christian Schubert. Von </w:t>
      </w:r>
      <w:proofErr w:type="spellStart"/>
      <w:r w:rsidR="00544E39">
        <w:t>Silizen</w:t>
      </w:r>
      <w:proofErr w:type="spellEnd"/>
      <w:r w:rsidR="00544E39">
        <w:t xml:space="preserve"> gegen die chinesische Übermacht. FAZ, 26.02.2024.</w:t>
      </w:r>
    </w:p>
  </w:footnote>
  <w:footnote w:id="2189">
    <w:p w14:paraId="39338338" w14:textId="112DC923" w:rsidR="00CC05E8" w:rsidRDefault="00CC05E8">
      <w:pPr>
        <w:pStyle w:val="Funotentext"/>
      </w:pPr>
      <w:r>
        <w:rPr>
          <w:rStyle w:val="Funotenzeichen"/>
        </w:rPr>
        <w:footnoteRef/>
      </w:r>
      <w:r>
        <w:t xml:space="preserve"> </w:t>
      </w:r>
      <w:r w:rsidRPr="00DB2AD1">
        <w:t xml:space="preserve">DENA </w:t>
      </w:r>
      <w:proofErr w:type="spellStart"/>
      <w:r w:rsidRPr="00DB2AD1">
        <w:t>StiPE</w:t>
      </w:r>
      <w:proofErr w:type="spellEnd"/>
      <w:r w:rsidRPr="00DB2AD1">
        <w:t xml:space="preserve"> Berich</w:t>
      </w:r>
      <w:r w:rsidR="000D2AA3">
        <w:t>t</w:t>
      </w:r>
      <w:r w:rsidRPr="00DB2AD1">
        <w:t xml:space="preserve"> 2022:</w:t>
      </w:r>
      <w:r>
        <w:t xml:space="preserve"> 26.</w:t>
      </w:r>
    </w:p>
  </w:footnote>
  <w:footnote w:id="2190">
    <w:p w14:paraId="07C6C9AE" w14:textId="5E274A17" w:rsidR="0086292E" w:rsidRDefault="0086292E">
      <w:pPr>
        <w:pStyle w:val="Funotentext"/>
      </w:pPr>
      <w:r>
        <w:rPr>
          <w:rStyle w:val="Funotenzeichen"/>
        </w:rPr>
        <w:footnoteRef/>
      </w:r>
      <w:r>
        <w:t xml:space="preserve"> </w:t>
      </w:r>
      <w:r w:rsidRPr="00DB2AD1">
        <w:t xml:space="preserve">DENA </w:t>
      </w:r>
      <w:proofErr w:type="spellStart"/>
      <w:r w:rsidRPr="00DB2AD1">
        <w:t>StiPE</w:t>
      </w:r>
      <w:proofErr w:type="spellEnd"/>
      <w:r w:rsidRPr="00DB2AD1">
        <w:t xml:space="preserve"> Berich</w:t>
      </w:r>
      <w:r w:rsidR="000D2AA3">
        <w:t>t</w:t>
      </w:r>
      <w:r w:rsidRPr="00DB2AD1">
        <w:t xml:space="preserve"> 2022:</w:t>
      </w:r>
      <w:r>
        <w:t xml:space="preserve"> 12.</w:t>
      </w:r>
    </w:p>
  </w:footnote>
  <w:footnote w:id="2191">
    <w:p w14:paraId="57A4475F" w14:textId="1E94C213" w:rsidR="001C1C00" w:rsidRDefault="001C1C00">
      <w:pPr>
        <w:pStyle w:val="Funotentext"/>
      </w:pPr>
      <w:r>
        <w:rPr>
          <w:rStyle w:val="Funotenzeichen"/>
        </w:rPr>
        <w:footnoteRef/>
      </w:r>
      <w:r>
        <w:t xml:space="preserve"> Solarausrüster Meyer Burger droht mit Schließung des Standorts Freiberg. FAZ, 17.01.2024.</w:t>
      </w:r>
    </w:p>
  </w:footnote>
  <w:footnote w:id="2192">
    <w:p w14:paraId="58367E18" w14:textId="226D3516" w:rsidR="006406D1" w:rsidRDefault="006406D1" w:rsidP="00E77433">
      <w:pPr>
        <w:pStyle w:val="Funotentext"/>
        <w:tabs>
          <w:tab w:val="left" w:pos="870"/>
        </w:tabs>
      </w:pPr>
      <w:r>
        <w:rPr>
          <w:rStyle w:val="Funotenzeichen"/>
        </w:rPr>
        <w:footnoteRef/>
      </w:r>
      <w:r>
        <w:t xml:space="preserve"> </w:t>
      </w:r>
      <w:r w:rsidR="00E77433">
        <w:t xml:space="preserve">Siehe: </w:t>
      </w:r>
      <w:hyperlink r:id="rId1630" w:history="1">
        <w:r w:rsidR="00E77433" w:rsidRPr="00143633">
          <w:rPr>
            <w:rStyle w:val="Hyperlink"/>
          </w:rPr>
          <w:t>https://www.meyerburger.com/de/newsroom/artikel/meyer-burger-kuendigt-solarzell-produktion-in-colorado-usa-an</w:t>
        </w:r>
      </w:hyperlink>
      <w:r w:rsidR="00E77433">
        <w:t xml:space="preserve"> - Zugegriffen: 01.06.2025. </w:t>
      </w:r>
      <w:r w:rsidR="00E77433">
        <w:tab/>
      </w:r>
    </w:p>
  </w:footnote>
  <w:footnote w:id="2193">
    <w:p w14:paraId="193333B6" w14:textId="231481C2" w:rsidR="006406D1" w:rsidRDefault="006406D1">
      <w:pPr>
        <w:pStyle w:val="Funotentext"/>
      </w:pPr>
      <w:r>
        <w:rPr>
          <w:rStyle w:val="Funotenzeichen"/>
        </w:rPr>
        <w:footnoteRef/>
      </w:r>
      <w:r>
        <w:t xml:space="preserve"> Siehe: </w:t>
      </w:r>
      <w:hyperlink r:id="rId1631" w:history="1">
        <w:r w:rsidRPr="00143633">
          <w:rPr>
            <w:rStyle w:val="Hyperlink"/>
          </w:rPr>
          <w:t>https://www.freiberg.de/stadt-und-buerger/aktuelles/neuigkeiten/meyer-burger-erhaelt-200-mio-eur-eu-foerderung</w:t>
        </w:r>
      </w:hyperlink>
      <w:r>
        <w:t xml:space="preserve"> - Zugegriffen: 01.06.2025. </w:t>
      </w:r>
    </w:p>
  </w:footnote>
  <w:footnote w:id="2194">
    <w:p w14:paraId="590B1ECD" w14:textId="77777777" w:rsidR="002C057C" w:rsidRDefault="002C057C" w:rsidP="002C057C">
      <w:pPr>
        <w:pStyle w:val="Funotentext"/>
      </w:pPr>
      <w:r>
        <w:rPr>
          <w:rStyle w:val="Funotenzeichen"/>
        </w:rPr>
        <w:footnoteRef/>
      </w:r>
      <w:r>
        <w:t xml:space="preserve"> Siehe zu diesem gesamten Abschnitt: Solarproduzent Meyer Burger schließt deutsches Werk. FAZ. 24.02.2024. Wirtschaft, S. 17. </w:t>
      </w:r>
    </w:p>
  </w:footnote>
  <w:footnote w:id="2195">
    <w:p w14:paraId="1AA993D0" w14:textId="77777777" w:rsidR="002C057C" w:rsidRDefault="002C057C" w:rsidP="002C057C">
      <w:pPr>
        <w:pStyle w:val="Funotentext"/>
      </w:pPr>
      <w:r>
        <w:rPr>
          <w:rStyle w:val="Funotenzeichen"/>
        </w:rPr>
        <w:footnoteRef/>
      </w:r>
      <w:r>
        <w:t xml:space="preserve"> Siehe: </w:t>
      </w:r>
      <w:hyperlink r:id="rId1632" w:history="1">
        <w:r w:rsidRPr="00A2553B">
          <w:rPr>
            <w:rStyle w:val="Hyperlink"/>
          </w:rPr>
          <w:t>https://www.mdr.de/nachrichten/sachsen/chemnitz/freiberg/solar-meyer-burger-stopp-produktion-100.html</w:t>
        </w:r>
      </w:hyperlink>
      <w:r>
        <w:t xml:space="preserve"> - Zugegriffen: 30.04.2025. </w:t>
      </w:r>
    </w:p>
  </w:footnote>
  <w:footnote w:id="2196">
    <w:p w14:paraId="76985745" w14:textId="77777777" w:rsidR="002C057C" w:rsidRDefault="002C057C" w:rsidP="002C057C">
      <w:pPr>
        <w:pStyle w:val="Funotentext"/>
      </w:pPr>
      <w:r>
        <w:rPr>
          <w:rStyle w:val="Funotenzeichen"/>
        </w:rPr>
        <w:footnoteRef/>
      </w:r>
      <w:r>
        <w:t xml:space="preserve"> Siehe: </w:t>
      </w:r>
      <w:hyperlink r:id="rId1633" w:history="1">
        <w:r w:rsidRPr="00A2553B">
          <w:rPr>
            <w:rStyle w:val="Hyperlink"/>
          </w:rPr>
          <w:t>https://www.tagesschau.de/wirtschaft/unternehmen/meyer-burger-thalheim-100.html</w:t>
        </w:r>
      </w:hyperlink>
      <w:r>
        <w:t xml:space="preserve"> - Zugegriffen: 30.04.2025. </w:t>
      </w:r>
    </w:p>
  </w:footnote>
  <w:footnote w:id="2197">
    <w:p w14:paraId="4D58E18F" w14:textId="77777777" w:rsidR="002C057C" w:rsidRDefault="002C057C" w:rsidP="002C057C">
      <w:pPr>
        <w:pStyle w:val="Funotentext"/>
      </w:pPr>
      <w:r>
        <w:rPr>
          <w:rStyle w:val="Funotenzeichen"/>
        </w:rPr>
        <w:footnoteRef/>
      </w:r>
      <w:r>
        <w:t xml:space="preserve"> Insolvenzabwendung Dezember 2024 nicht in dieser Info, ich finde gerade die Quelle dazu nicht mehr, hier nur die Verlängerung: Siehe: </w:t>
      </w:r>
      <w:hyperlink r:id="rId1634" w:history="1">
        <w:r w:rsidRPr="00A2553B">
          <w:rPr>
            <w:rStyle w:val="Hyperlink"/>
          </w:rPr>
          <w:t>https://www.meyerburger.com/de/newsroom/artikel/meyer-burger-verlaengert-und-erhoeht-brueckenfinanzierung</w:t>
        </w:r>
      </w:hyperlink>
      <w:r>
        <w:t xml:space="preserve"> - Zugegriffen: 30.04.2025. </w:t>
      </w:r>
    </w:p>
  </w:footnote>
  <w:footnote w:id="2198">
    <w:p w14:paraId="047FF2B6" w14:textId="793197A2" w:rsidR="00E77433" w:rsidRDefault="00E77433">
      <w:pPr>
        <w:pStyle w:val="Funotentext"/>
      </w:pPr>
      <w:r>
        <w:rPr>
          <w:rStyle w:val="Funotenzeichen"/>
        </w:rPr>
        <w:footnoteRef/>
      </w:r>
      <w:r>
        <w:t xml:space="preserve"> </w:t>
      </w:r>
      <w:r w:rsidR="001C1C00">
        <w:t xml:space="preserve">Siehe: </w:t>
      </w:r>
      <w:hyperlink r:id="rId1635" w:history="1">
        <w:r w:rsidR="001C1C00" w:rsidRPr="00143633">
          <w:rPr>
            <w:rStyle w:val="Hyperlink"/>
          </w:rPr>
          <w:t>https://www.meyerburger.com/de/newsroom/artikel/meyer-burger-beantragt-insolvenz-fuer-deutsche-gesellschaften</w:t>
        </w:r>
      </w:hyperlink>
      <w:r w:rsidR="001C1C00">
        <w:t xml:space="preserve"> - </w:t>
      </w:r>
      <w:hyperlink r:id="rId1636" w:history="1">
        <w:r w:rsidR="001C1C00" w:rsidRPr="00143633">
          <w:rPr>
            <w:rStyle w:val="Hyperlink"/>
          </w:rPr>
          <w:t>https://www.meyerburger.com/de/newsroom/artikel/meyer-burger-stoppt-solarmodulproduktion-und-entlaesst-282-mitarbeitende-in-den-usa</w:t>
        </w:r>
      </w:hyperlink>
      <w:r w:rsidR="001C1C00">
        <w:t xml:space="preserve"> - Zugegriffen: 01.06.2025. </w:t>
      </w:r>
    </w:p>
  </w:footnote>
  <w:footnote w:id="2199">
    <w:p w14:paraId="2C41AEB8" w14:textId="59E73586" w:rsidR="005B380E" w:rsidRDefault="005B380E">
      <w:pPr>
        <w:pStyle w:val="Funotentext"/>
      </w:pPr>
      <w:r>
        <w:rPr>
          <w:rStyle w:val="Funotenzeichen"/>
        </w:rPr>
        <w:footnoteRef/>
      </w:r>
      <w:r>
        <w:t xml:space="preserve"> Siehe: </w:t>
      </w:r>
      <w:hyperlink r:id="rId1637" w:history="1">
        <w:r w:rsidRPr="00151089">
          <w:rPr>
            <w:rStyle w:val="Hyperlink"/>
          </w:rPr>
          <w:t>https://www.saechsische.de/sachsen/meyer-burger-pleite-im-osten-steuerzahler-buergen-fuer-hohen-millionenkredit-HETKRLICRRCUNN6IZREBELBVLY.html</w:t>
        </w:r>
      </w:hyperlink>
      <w:r>
        <w:t xml:space="preserve"> - Zugegriffen: 16.06.2025. </w:t>
      </w:r>
    </w:p>
  </w:footnote>
  <w:footnote w:id="2200">
    <w:p w14:paraId="3DBC2A94" w14:textId="14CFD3D4" w:rsidR="00743CD4" w:rsidRDefault="00743CD4">
      <w:pPr>
        <w:pStyle w:val="Funotentext"/>
      </w:pPr>
      <w:r>
        <w:rPr>
          <w:rStyle w:val="Funotenzeichen"/>
        </w:rPr>
        <w:footnoteRef/>
      </w:r>
      <w:r>
        <w:t xml:space="preserve"> Hendrick Kafsack, Julia Löhr, Niklas Zaboji. Paris drängt auf Einfuhrlimits für Solartechnik aus China. FAZ, 13.11.2023. </w:t>
      </w:r>
    </w:p>
  </w:footnote>
  <w:footnote w:id="2201">
    <w:p w14:paraId="65D20F93" w14:textId="77777777" w:rsidR="002C057C" w:rsidRDefault="002C057C" w:rsidP="002C057C">
      <w:pPr>
        <w:pStyle w:val="Funotentext"/>
      </w:pPr>
      <w:r>
        <w:rPr>
          <w:rStyle w:val="Funotenzeichen"/>
        </w:rPr>
        <w:footnoteRef/>
      </w:r>
      <w:r>
        <w:t xml:space="preserve"> </w:t>
      </w:r>
      <w:proofErr w:type="spellStart"/>
      <w:r>
        <w:t>SolarPower</w:t>
      </w:r>
      <w:proofErr w:type="spellEnd"/>
      <w:r>
        <w:t xml:space="preserve"> Europe: </w:t>
      </w:r>
      <w:hyperlink r:id="rId1638" w:history="1">
        <w:r w:rsidRPr="002D373A">
          <w:rPr>
            <w:rStyle w:val="Hyperlink"/>
          </w:rPr>
          <w:t>https://www.solarpowereurope.org/advocacy/solar-for-europe-manifesto</w:t>
        </w:r>
      </w:hyperlink>
      <w:r>
        <w:t xml:space="preserve"> - Zugegriffen: 04.02.2024. </w:t>
      </w:r>
    </w:p>
  </w:footnote>
  <w:footnote w:id="2202">
    <w:p w14:paraId="46AC786F" w14:textId="77777777" w:rsidR="002C057C" w:rsidRDefault="002C057C" w:rsidP="002C057C">
      <w:pPr>
        <w:pStyle w:val="Funotentext"/>
      </w:pPr>
      <w:r>
        <w:rPr>
          <w:rStyle w:val="Funotenzeichen"/>
        </w:rPr>
        <w:footnoteRef/>
      </w:r>
      <w:r>
        <w:t xml:space="preserve"> Siehe: </w:t>
      </w:r>
      <w:hyperlink r:id="rId1639" w:history="1">
        <w:r w:rsidRPr="00EE37DC">
          <w:rPr>
            <w:rStyle w:val="Hyperlink"/>
          </w:rPr>
          <w:t>https://www.solarpowereurope.org/insights/interactive-data/solar-manufacturing-map</w:t>
        </w:r>
      </w:hyperlink>
      <w:r>
        <w:t xml:space="preserve"> - Zugegriffen: 05.02.2024.</w:t>
      </w:r>
    </w:p>
  </w:footnote>
  <w:footnote w:id="2203">
    <w:p w14:paraId="619501BB" w14:textId="77777777" w:rsidR="002C057C" w:rsidRDefault="002C057C" w:rsidP="002C057C">
      <w:pPr>
        <w:pStyle w:val="Funotentext"/>
      </w:pPr>
      <w:r>
        <w:rPr>
          <w:rStyle w:val="Funotenzeichen"/>
        </w:rPr>
        <w:footnoteRef/>
      </w:r>
      <w:r>
        <w:t xml:space="preserve"> Siehe: </w:t>
      </w:r>
      <w:hyperlink r:id="rId1640" w:history="1">
        <w:r w:rsidRPr="002D373A">
          <w:rPr>
            <w:rStyle w:val="Hyperlink"/>
          </w:rPr>
          <w:t>https://germany.representation.ec.europa.eu/news/eu-initiativen-zur-starkung-der-solarindustrie-2024-01-18_de</w:t>
        </w:r>
      </w:hyperlink>
      <w:r>
        <w:t xml:space="preserve"> - Zugegriffen: 04.02.2024. </w:t>
      </w:r>
    </w:p>
  </w:footnote>
  <w:footnote w:id="2204">
    <w:p w14:paraId="6970A2BF" w14:textId="77777777" w:rsidR="002C057C" w:rsidRDefault="002C057C" w:rsidP="002C057C">
      <w:pPr>
        <w:pStyle w:val="Funotentext"/>
      </w:pPr>
      <w:r>
        <w:rPr>
          <w:rStyle w:val="Funotenzeichen"/>
        </w:rPr>
        <w:footnoteRef/>
      </w:r>
      <w:r>
        <w:t xml:space="preserve"> DOE Solar 2022: 17.</w:t>
      </w:r>
    </w:p>
  </w:footnote>
  <w:footnote w:id="2205">
    <w:p w14:paraId="0D4E288A" w14:textId="77777777" w:rsidR="001F20CB" w:rsidRPr="00820A97" w:rsidRDefault="001F20CB" w:rsidP="001F20CB">
      <w:pPr>
        <w:pStyle w:val="Funotentext"/>
      </w:pPr>
      <w:r>
        <w:rPr>
          <w:rStyle w:val="Funotenzeichen"/>
        </w:rPr>
        <w:footnoteRef/>
      </w:r>
      <w:r>
        <w:t xml:space="preserve"> Im Idealfall ist das so, faktisch gibt es auch Reaktionen auf Antidumpingzölle und auch direkte Vergeltungszölle gegen Schutzklauseln. </w:t>
      </w:r>
      <w:r w:rsidRPr="00820A97">
        <w:t xml:space="preserve">Hermanns 2008: 947, 999-1000. </w:t>
      </w:r>
    </w:p>
  </w:footnote>
  <w:footnote w:id="2206">
    <w:p w14:paraId="099C706E" w14:textId="02635B97" w:rsidR="007601D9" w:rsidRPr="007601D9" w:rsidRDefault="007601D9">
      <w:pPr>
        <w:pStyle w:val="Funotentext"/>
      </w:pPr>
      <w:r>
        <w:rPr>
          <w:rStyle w:val="Funotenzeichen"/>
        </w:rPr>
        <w:footnoteRef/>
      </w:r>
      <w:r w:rsidRPr="007601D9">
        <w:t xml:space="preserve"> Siehe: </w:t>
      </w:r>
      <w:hyperlink r:id="rId1641" w:history="1">
        <w:r w:rsidRPr="00C14A4B">
          <w:rPr>
            <w:rStyle w:val="Hyperlink"/>
          </w:rPr>
          <w:t>https://wtoplurilaterals.info/plural_initiative/the-mpia/</w:t>
        </w:r>
      </w:hyperlink>
      <w:r>
        <w:t xml:space="preserve"> - Zugegriffen: 15.06.2025. </w:t>
      </w:r>
    </w:p>
  </w:footnote>
  <w:footnote w:id="2207">
    <w:p w14:paraId="258D3068" w14:textId="73B9833D" w:rsidR="007601D9" w:rsidRPr="00820A97" w:rsidRDefault="007601D9">
      <w:pPr>
        <w:pStyle w:val="Funotentext"/>
      </w:pPr>
      <w:r>
        <w:rPr>
          <w:rStyle w:val="Funotenzeichen"/>
        </w:rPr>
        <w:footnoteRef/>
      </w:r>
      <w:r w:rsidRPr="00820A97">
        <w:t xml:space="preserve"> Hermanns 2008: 11. </w:t>
      </w:r>
    </w:p>
  </w:footnote>
  <w:footnote w:id="2208">
    <w:p w14:paraId="370A0661" w14:textId="1732053F" w:rsidR="007601D9" w:rsidRPr="007601D9" w:rsidRDefault="007601D9">
      <w:pPr>
        <w:pStyle w:val="Funotentext"/>
      </w:pPr>
      <w:r>
        <w:rPr>
          <w:rStyle w:val="Funotenzeichen"/>
        </w:rPr>
        <w:footnoteRef/>
      </w:r>
      <w:r w:rsidRPr="007601D9">
        <w:t xml:space="preserve"> Siehe: </w:t>
      </w:r>
      <w:hyperlink r:id="rId1642" w:history="1">
        <w:r w:rsidRPr="00C14A4B">
          <w:rPr>
            <w:rStyle w:val="Hyperlink"/>
          </w:rPr>
          <w:t>https://eur-lex.europa.eu/legal-content/EN/TXT/?uri=CELEX:02023R2675-20231207</w:t>
        </w:r>
      </w:hyperlink>
      <w:r>
        <w:t xml:space="preserve"> – Zugegriffen: 15.06.2025. </w:t>
      </w:r>
    </w:p>
  </w:footnote>
  <w:footnote w:id="2209">
    <w:p w14:paraId="6D1264A6" w14:textId="22CC9245" w:rsidR="0003769A" w:rsidRPr="0003769A" w:rsidRDefault="0003769A">
      <w:pPr>
        <w:pStyle w:val="Funotentext"/>
        <w:rPr>
          <w:lang w:val="en-GB"/>
        </w:rPr>
      </w:pPr>
      <w:r>
        <w:rPr>
          <w:rStyle w:val="Funotenzeichen"/>
        </w:rPr>
        <w:footnoteRef/>
      </w:r>
      <w:r w:rsidRPr="0003769A">
        <w:t xml:space="preserve"> Gabriel Felbermayr, Christoph Herrmann. </w:t>
      </w:r>
      <w:r w:rsidRPr="008E326A">
        <w:t xml:space="preserve">Wirtschaftspolitik als Waffe. </w:t>
      </w:r>
      <w:r>
        <w:rPr>
          <w:lang w:val="en-GB"/>
        </w:rPr>
        <w:t xml:space="preserve">FAZ, 12.03.2024. </w:t>
      </w:r>
    </w:p>
  </w:footnote>
  <w:footnote w:id="2210">
    <w:p w14:paraId="70F74A71" w14:textId="4033A278" w:rsidR="0003769A" w:rsidRPr="0003769A" w:rsidRDefault="0003769A">
      <w:pPr>
        <w:pStyle w:val="Funotentext"/>
        <w:rPr>
          <w:lang w:val="en-GB"/>
        </w:rPr>
      </w:pPr>
      <w:r>
        <w:rPr>
          <w:rStyle w:val="Funotenzeichen"/>
        </w:rPr>
        <w:footnoteRef/>
      </w:r>
      <w:r w:rsidRPr="008E326A">
        <w:rPr>
          <w:lang w:val="en-GB"/>
        </w:rPr>
        <w:t xml:space="preserve"> Gabriel Felbermayr, Christoph Herrmann. </w:t>
      </w:r>
      <w:proofErr w:type="spellStart"/>
      <w:r w:rsidRPr="008E326A">
        <w:rPr>
          <w:lang w:val="en-GB"/>
        </w:rPr>
        <w:t>Wirtschaftspolitik</w:t>
      </w:r>
      <w:proofErr w:type="spellEnd"/>
      <w:r w:rsidRPr="008E326A">
        <w:rPr>
          <w:lang w:val="en-GB"/>
        </w:rPr>
        <w:t xml:space="preserve"> </w:t>
      </w:r>
      <w:proofErr w:type="spellStart"/>
      <w:r w:rsidRPr="008E326A">
        <w:rPr>
          <w:lang w:val="en-GB"/>
        </w:rPr>
        <w:t>als</w:t>
      </w:r>
      <w:proofErr w:type="spellEnd"/>
      <w:r w:rsidRPr="008E326A">
        <w:rPr>
          <w:lang w:val="en-GB"/>
        </w:rPr>
        <w:t xml:space="preserve"> </w:t>
      </w:r>
      <w:proofErr w:type="spellStart"/>
      <w:r w:rsidRPr="008E326A">
        <w:rPr>
          <w:lang w:val="en-GB"/>
        </w:rPr>
        <w:t>Waffe</w:t>
      </w:r>
      <w:proofErr w:type="spellEnd"/>
      <w:r w:rsidRPr="008E326A">
        <w:rPr>
          <w:lang w:val="en-GB"/>
        </w:rPr>
        <w:t xml:space="preserve">. </w:t>
      </w:r>
      <w:r>
        <w:rPr>
          <w:lang w:val="en-GB"/>
        </w:rPr>
        <w:t>FAZ, 12.03.2024.</w:t>
      </w:r>
    </w:p>
  </w:footnote>
  <w:footnote w:id="2211">
    <w:p w14:paraId="4E77E0A9" w14:textId="38811562" w:rsidR="00812750" w:rsidRPr="00CC2A4D" w:rsidRDefault="00812750">
      <w:pPr>
        <w:pStyle w:val="Funotentext"/>
      </w:pPr>
      <w:r>
        <w:rPr>
          <w:rStyle w:val="Funotenzeichen"/>
        </w:rPr>
        <w:footnoteRef/>
      </w:r>
      <w:r w:rsidRPr="00812750">
        <w:rPr>
          <w:lang w:val="en-GB"/>
        </w:rPr>
        <w:t xml:space="preserve"> AB Art. 8.1 </w:t>
      </w:r>
      <w:r>
        <w:rPr>
          <w:lang w:val="en-GB"/>
        </w:rPr>
        <w:t>(</w:t>
      </w:r>
      <w:proofErr w:type="spellStart"/>
      <w:r>
        <w:rPr>
          <w:lang w:val="en-GB"/>
        </w:rPr>
        <w:t>meine</w:t>
      </w:r>
      <w:proofErr w:type="spellEnd"/>
      <w:r>
        <w:rPr>
          <w:lang w:val="en-GB"/>
        </w:rPr>
        <w:t xml:space="preserve"> </w:t>
      </w:r>
      <w:proofErr w:type="spellStart"/>
      <w:r>
        <w:rPr>
          <w:lang w:val="en-GB"/>
        </w:rPr>
        <w:t>Hervorhebung</w:t>
      </w:r>
      <w:proofErr w:type="spellEnd"/>
      <w:r>
        <w:rPr>
          <w:lang w:val="en-GB"/>
        </w:rPr>
        <w:t xml:space="preserve">) </w:t>
      </w:r>
      <w:r w:rsidRPr="00812750">
        <w:rPr>
          <w:lang w:val="en-GB"/>
        </w:rPr>
        <w:t xml:space="preserve">„Proceedings may be suspended or terminated without the imposition of provisional measures or anti-dumping duties upon receipt of satisfactory voluntary undertakings from any exporter to </w:t>
      </w:r>
      <w:r w:rsidRPr="00812750">
        <w:rPr>
          <w:u w:val="single"/>
          <w:lang w:val="en-GB"/>
        </w:rPr>
        <w:t>revise its prices or to cease exports</w:t>
      </w:r>
      <w:r w:rsidRPr="00812750">
        <w:rPr>
          <w:lang w:val="en-GB"/>
        </w:rPr>
        <w:t xml:space="preserve"> to the area in question at dumped prices so that the authorities are satisfied that the injurious effect of the dumping is eliminated. Price increases under such undertakings shall not be higher than necessary to eliminate the margin of dumping. It is desirable that the price increases be less than the margin of dumping if such increases would be adequate to remove the injury to the domestic industry.</w:t>
      </w:r>
      <w:r>
        <w:rPr>
          <w:lang w:val="en-GB"/>
        </w:rPr>
        <w:t>”</w:t>
      </w:r>
      <w:r w:rsidR="00CC2A4D">
        <w:rPr>
          <w:lang w:val="en-GB"/>
        </w:rPr>
        <w:t xml:space="preserve"> </w:t>
      </w:r>
      <w:r w:rsidR="00CC2A4D" w:rsidRPr="00CC2A4D">
        <w:t xml:space="preserve">Siehe: </w:t>
      </w:r>
      <w:hyperlink r:id="rId1643" w:history="1">
        <w:r w:rsidR="00CC2A4D" w:rsidRPr="00357FAC">
          <w:rPr>
            <w:rStyle w:val="Hyperlink"/>
          </w:rPr>
          <w:t>https://www.wto.org/english/docs_e/legal_e/adp_e.htm</w:t>
        </w:r>
      </w:hyperlink>
      <w:r w:rsidR="00CC2A4D">
        <w:t xml:space="preserve"> - Zugegriffen: 29.05.2025. </w:t>
      </w:r>
    </w:p>
  </w:footnote>
  <w:footnote w:id="2212">
    <w:p w14:paraId="385539AC" w14:textId="439F7CE4" w:rsidR="00812750" w:rsidRDefault="00812750" w:rsidP="00812750">
      <w:pPr>
        <w:pStyle w:val="Funotentext"/>
      </w:pPr>
      <w:r>
        <w:rPr>
          <w:rStyle w:val="Funotenzeichen"/>
        </w:rPr>
        <w:footnoteRef/>
      </w:r>
      <w:r>
        <w:t xml:space="preserve"> In AD Art. 8 sind Preisvereinbarung</w:t>
      </w:r>
      <w:r w:rsidR="00CC2A4D">
        <w:t>en</w:t>
      </w:r>
      <w:r>
        <w:t xml:space="preserve"> - anstelle - von Antidumpingzöllen explizit erlaubt, möglichst so hoch, dass die Dumpingspanne gegenbalanciert wird, nicht höher, ebenso steht dort, dass eine Abmachung, dass Exporte unterbleiben </w:t>
      </w:r>
      <w:r w:rsidR="00CC2A4D">
        <w:t xml:space="preserve">sollen </w:t>
      </w:r>
      <w:r>
        <w:t>möglich sind („</w:t>
      </w:r>
      <w:proofErr w:type="spellStart"/>
      <w:r>
        <w:t>or</w:t>
      </w:r>
      <w:proofErr w:type="spellEnd"/>
      <w:r>
        <w:t xml:space="preserve"> </w:t>
      </w:r>
      <w:proofErr w:type="spellStart"/>
      <w:r>
        <w:t>to</w:t>
      </w:r>
      <w:proofErr w:type="spellEnd"/>
      <w:r>
        <w:t xml:space="preserve"> </w:t>
      </w:r>
      <w:proofErr w:type="spellStart"/>
      <w:r>
        <w:t>cease</w:t>
      </w:r>
      <w:proofErr w:type="spellEnd"/>
      <w:r>
        <w:t xml:space="preserve"> </w:t>
      </w:r>
      <w:proofErr w:type="spellStart"/>
      <w:r>
        <w:t>exports</w:t>
      </w:r>
      <w:proofErr w:type="spellEnd"/>
      <w:r>
        <w:t xml:space="preserve">“). Diese Erlaubnis hat </w:t>
      </w:r>
      <w:proofErr w:type="gramStart"/>
      <w:r>
        <w:t>mit den anderen Bereich</w:t>
      </w:r>
      <w:proofErr w:type="gramEnd"/>
      <w:r>
        <w:t xml:space="preserve"> des GATT bzw. der WTO rechtlich nichts zu tun. Dort sind mengenmäßige Beschränkungen nach GATT Art. XI verboten, erlaubt sind aber Zollkontingente </w:t>
      </w:r>
      <w:proofErr w:type="gramStart"/>
      <w:r>
        <w:t>mit einer mengenbeschränkenden Komponenten</w:t>
      </w:r>
      <w:proofErr w:type="gramEnd"/>
      <w:r>
        <w:t xml:space="preserve">, dies unterlegt GATT Art. XIII. Im </w:t>
      </w:r>
      <w:proofErr w:type="spellStart"/>
      <w:r>
        <w:t>Schutzklauselabkommen</w:t>
      </w:r>
      <w:proofErr w:type="spellEnd"/>
      <w:r>
        <w:t xml:space="preserve"> sind freiwillige Selbstbeschränkungsabkommen, sog. VER, verboten, in SG Art. 11.1 (a) und (b).</w:t>
      </w:r>
      <w:r w:rsidR="00553281">
        <w:t xml:space="preserve"> </w:t>
      </w:r>
      <w:r>
        <w:t>Die ‚</w:t>
      </w:r>
      <w:proofErr w:type="spellStart"/>
      <w:r>
        <w:t>undertakings</w:t>
      </w:r>
      <w:proofErr w:type="spellEnd"/>
      <w:r>
        <w:t xml:space="preserve">‘ bleiben dennoch in einer Grauzone, es ist unklar, ob eine komplexe Marktordnung AD Art. 8 kompatibel ist. </w:t>
      </w:r>
      <w:r w:rsidR="00553281">
        <w:t>Jedenfalls können ‚</w:t>
      </w:r>
      <w:proofErr w:type="spellStart"/>
      <w:r w:rsidR="00553281">
        <w:t>untertakings</w:t>
      </w:r>
      <w:proofErr w:type="spellEnd"/>
      <w:r w:rsidR="00553281">
        <w:t>‘ nicht gegen Art. I und III verstoßen, denn der Ausgangspunkt ist die Feststellung von Dumping ‚gegen‘ einen Staat und damit dürfen auch die Güter aus diesem Staat besonders behandelt werden. Mit ‚</w:t>
      </w:r>
      <w:proofErr w:type="spellStart"/>
      <w:r w:rsidR="00553281">
        <w:t>undertakings</w:t>
      </w:r>
      <w:proofErr w:type="spellEnd"/>
      <w:r w:rsidR="00553281">
        <w:t xml:space="preserve">‘ dürfen </w:t>
      </w:r>
      <w:proofErr w:type="gramStart"/>
      <w:r w:rsidR="00553281">
        <w:t>die betroffene Staat</w:t>
      </w:r>
      <w:proofErr w:type="gramEnd"/>
      <w:r w:rsidR="00553281">
        <w:t xml:space="preserve"> aber eigentlich auch nicht bevorzugt werden, z.B. mit ihrer eigenen Import GW Quote gegenüber weiteren Staaten, die ganz normal importieren wollen. Ein ‚</w:t>
      </w:r>
      <w:proofErr w:type="spellStart"/>
      <w:r w:rsidR="00553281">
        <w:t>undertaking</w:t>
      </w:r>
      <w:proofErr w:type="spellEnd"/>
      <w:r w:rsidR="00553281">
        <w:t xml:space="preserve">‘ funktioniert offenbar besonders dann gut, wenn die Güter nur aus wenigen Staaten kommen und alle anderen Länder diese Güter gar nicht herstellen. </w:t>
      </w:r>
      <w:r>
        <w:t xml:space="preserve">In der Streitbeilegung gab es bisher nur zwei ganz oberflächliche Erwähnungen von AD Art. 8, siehe dazu WTO Analytical Index, AD Art. 8, siehe: </w:t>
      </w:r>
      <w:hyperlink r:id="rId1644" w:history="1">
        <w:r w:rsidRPr="00034843">
          <w:rPr>
            <w:rStyle w:val="Hyperlink"/>
          </w:rPr>
          <w:t>https://www.wto.org/english/res_e/publications_e/ai17_e/anti_dumping_art8_jur.pdf</w:t>
        </w:r>
      </w:hyperlink>
      <w:r>
        <w:t xml:space="preserve"> - Zugegriffen: 23.05.2025. Siehe auch: Hermanns 2008: 664, 1186. </w:t>
      </w:r>
    </w:p>
  </w:footnote>
  <w:footnote w:id="2213">
    <w:p w14:paraId="37E7295E" w14:textId="2089E963" w:rsidR="0005554D" w:rsidRPr="00765A97" w:rsidRDefault="0005554D" w:rsidP="0005554D">
      <w:pPr>
        <w:pStyle w:val="Funotentext"/>
      </w:pPr>
      <w:r>
        <w:rPr>
          <w:rStyle w:val="Funotenzeichen"/>
        </w:rPr>
        <w:footnoteRef/>
      </w:r>
      <w:r w:rsidRPr="00765A97">
        <w:t xml:space="preserve"> </w:t>
      </w:r>
      <w:r w:rsidR="007002AC">
        <w:t xml:space="preserve">Ein </w:t>
      </w:r>
      <w:r w:rsidRPr="00765A97">
        <w:t xml:space="preserve">Unterschied war, dass </w:t>
      </w:r>
      <w:proofErr w:type="gramStart"/>
      <w:r w:rsidRPr="00765A97">
        <w:t>in der USA</w:t>
      </w:r>
      <w:proofErr w:type="gramEnd"/>
      <w:r w:rsidRPr="00765A97">
        <w:t xml:space="preserve"> die Firmen </w:t>
      </w:r>
      <w:r>
        <w:t>dem ‚</w:t>
      </w:r>
      <w:proofErr w:type="spellStart"/>
      <w:r>
        <w:t>undertaking</w:t>
      </w:r>
      <w:proofErr w:type="spellEnd"/>
      <w:r>
        <w:t xml:space="preserve">‘ zustimmen müssen, in der EU kann dies die Kommission allein bestimmen. </w:t>
      </w:r>
      <w:r w:rsidRPr="00765A97">
        <w:t>Hermanns 2008: 742.</w:t>
      </w:r>
    </w:p>
  </w:footnote>
  <w:footnote w:id="2214">
    <w:p w14:paraId="1FDDD522" w14:textId="4E49FBE6" w:rsidR="00383C23" w:rsidRPr="00383C23" w:rsidRDefault="00383C23">
      <w:pPr>
        <w:pStyle w:val="Funotentext"/>
      </w:pPr>
      <w:r>
        <w:rPr>
          <w:rStyle w:val="Funotenzeichen"/>
        </w:rPr>
        <w:footnoteRef/>
      </w:r>
      <w:r>
        <w:t xml:space="preserve"> 33 Unternehmen, die für 90 % der chinesischen Produktion von Solarmodulen aufkommen haben sich darauf geeinigt. Es sollen die Kapazitäten herausgefunden werden und keine weiteren Kapazitäten hinzugebaut werden, auch um die Preise zu stabilisieren. JA Solar hatte etwa seine Modullieferungen um die Hälfte gesteigert, der Umsatz ist aber um 1/10 gefallen und statt 1 Mrd. Gewinn wie zuvor, machte der Konzern einen Verlust von 60 Mill. </w:t>
      </w:r>
      <w:r w:rsidRPr="00383C23">
        <w:t>Euro. 1 Watt kostet 8 Eurocent, statt letztes Jahr 22 Eurocent. Gustav</w:t>
      </w:r>
      <w:r>
        <w:t xml:space="preserve"> Theiel. China plant eine ‚</w:t>
      </w:r>
      <w:proofErr w:type="spellStart"/>
      <w:r>
        <w:t>Opec</w:t>
      </w:r>
      <w:proofErr w:type="spellEnd"/>
      <w:r>
        <w:t>‘ für Solarmodule. FAZ, 11.12.2024.</w:t>
      </w:r>
    </w:p>
  </w:footnote>
  <w:footnote w:id="2215">
    <w:p w14:paraId="2EA424B0" w14:textId="75EF7381" w:rsidR="005E44EA" w:rsidRPr="00383C23" w:rsidRDefault="005E44EA">
      <w:pPr>
        <w:pStyle w:val="Funotentext"/>
      </w:pPr>
      <w:r>
        <w:rPr>
          <w:rStyle w:val="Funotenzeichen"/>
        </w:rPr>
        <w:footnoteRef/>
      </w:r>
      <w:r w:rsidRPr="00383C23">
        <w:t xml:space="preserve"> Siehe: </w:t>
      </w:r>
      <w:hyperlink r:id="rId1645" w:history="1">
        <w:r w:rsidRPr="00383C23">
          <w:rPr>
            <w:rStyle w:val="Hyperlink"/>
          </w:rPr>
          <w:t>https://www.claudiakemfert.de/</w:t>
        </w:r>
      </w:hyperlink>
      <w:r w:rsidRPr="00383C23">
        <w:t xml:space="preserve"> </w:t>
      </w:r>
    </w:p>
  </w:footnote>
  <w:footnote w:id="2216">
    <w:p w14:paraId="42968E33" w14:textId="696FA585" w:rsidR="00E77433" w:rsidRDefault="00E77433">
      <w:pPr>
        <w:pStyle w:val="Funotentext"/>
      </w:pPr>
      <w:r>
        <w:rPr>
          <w:rStyle w:val="Funotenzeichen"/>
        </w:rPr>
        <w:footnoteRef/>
      </w:r>
      <w:r>
        <w:t xml:space="preserve"> Siehe: </w:t>
      </w:r>
      <w:hyperlink r:id="rId1646" w:history="1">
        <w:r w:rsidRPr="00143633">
          <w:rPr>
            <w:rStyle w:val="Hyperlink"/>
          </w:rPr>
          <w:t>https://www.mdr.de/nachrichten/deutschland/wirtschaft/kemfert-solar-meyer-burger-100.html</w:t>
        </w:r>
      </w:hyperlink>
      <w:r>
        <w:t xml:space="preserve"> - Zugegriffen: 01.06.2025. </w:t>
      </w:r>
    </w:p>
  </w:footnote>
  <w:footnote w:id="2217">
    <w:p w14:paraId="68EA9EC8" w14:textId="79AE0579" w:rsidR="00D538EC" w:rsidRDefault="00D538EC">
      <w:pPr>
        <w:pStyle w:val="Funotentext"/>
      </w:pPr>
      <w:r>
        <w:rPr>
          <w:rStyle w:val="Funotenzeichen"/>
        </w:rPr>
        <w:footnoteRef/>
      </w:r>
      <w:r>
        <w:t xml:space="preserve"> Kein Bonus für die Solarbranche. FAZ, 28.03.2024. </w:t>
      </w:r>
    </w:p>
  </w:footnote>
  <w:footnote w:id="2218">
    <w:p w14:paraId="17A30134" w14:textId="1C8E7105" w:rsidR="007F59BC" w:rsidRDefault="007F59BC">
      <w:pPr>
        <w:pStyle w:val="Funotentext"/>
      </w:pPr>
      <w:r>
        <w:rPr>
          <w:rStyle w:val="Funotenzeichen"/>
        </w:rPr>
        <w:footnoteRef/>
      </w:r>
      <w:r>
        <w:t xml:space="preserve"> Christian Geinitz. Doppelschlag fürs Klima. FAZ, 27.04.2024.</w:t>
      </w:r>
    </w:p>
  </w:footnote>
  <w:footnote w:id="2219">
    <w:p w14:paraId="71D7B636" w14:textId="77777777" w:rsidR="002C057C" w:rsidRDefault="002C057C" w:rsidP="002C057C">
      <w:pPr>
        <w:pStyle w:val="Funotentext"/>
      </w:pPr>
      <w:r>
        <w:rPr>
          <w:rStyle w:val="Funotenzeichen"/>
        </w:rPr>
        <w:footnoteRef/>
      </w:r>
      <w:r>
        <w:t xml:space="preserve"> Siehe Durchführungsverordnung (EU) 2019/1379, vom 28. August 2019, siehe ab Erwägungsgrund (323): </w:t>
      </w:r>
      <w:hyperlink r:id="rId1647" w:history="1">
        <w:r w:rsidRPr="00932F3C">
          <w:rPr>
            <w:rStyle w:val="Hyperlink"/>
          </w:rPr>
          <w:t>https://eur-lex.europa.eu/legal-content/DE/TXT/PDF/?uri=CELEX:32019R1379</w:t>
        </w:r>
      </w:hyperlink>
      <w:r>
        <w:t xml:space="preserve"> – Zugegriffen: 09.04.2025. </w:t>
      </w:r>
    </w:p>
  </w:footnote>
  <w:footnote w:id="2220">
    <w:p w14:paraId="7B762CE6" w14:textId="77777777" w:rsidR="002C057C" w:rsidRDefault="002C057C" w:rsidP="002C057C">
      <w:pPr>
        <w:pStyle w:val="Funotentext"/>
      </w:pPr>
      <w:r>
        <w:rPr>
          <w:rStyle w:val="Funotenzeichen"/>
        </w:rPr>
        <w:footnoteRef/>
      </w:r>
      <w:r>
        <w:t xml:space="preserve"> Siehe auch zur Debatte um Art. XX im Sinne </w:t>
      </w:r>
      <w:proofErr w:type="gramStart"/>
      <w:r>
        <w:t>solcher industriepolitischer Ausnahmen</w:t>
      </w:r>
      <w:proofErr w:type="gramEnd"/>
      <w:r>
        <w:t xml:space="preserve">: </w:t>
      </w:r>
      <w:hyperlink r:id="rId1648" w:history="1">
        <w:r w:rsidRPr="009B1266">
          <w:rPr>
            <w:rStyle w:val="Hyperlink"/>
          </w:rPr>
          <w:t>https://www.bundestag.de/resource/blob/1041550/2689022673fd766d0cc2a7738df04724/WD-2-066-24-pdf.pdf</w:t>
        </w:r>
      </w:hyperlink>
      <w:r>
        <w:t xml:space="preserve"> - Zugegriffen: 05.04.2025. </w:t>
      </w:r>
    </w:p>
  </w:footnote>
  <w:footnote w:id="2221">
    <w:p w14:paraId="7FA57A59" w14:textId="77777777" w:rsidR="002C057C" w:rsidRPr="00B33D84" w:rsidRDefault="002C057C" w:rsidP="002C057C">
      <w:pPr>
        <w:pStyle w:val="Funotentext"/>
      </w:pPr>
      <w:r>
        <w:rPr>
          <w:rStyle w:val="Funotenzeichen"/>
        </w:rPr>
        <w:footnoteRef/>
      </w:r>
      <w:r w:rsidRPr="00B33D84">
        <w:t xml:space="preserve"> Global Wind Report 2024: 51-56.</w:t>
      </w:r>
    </w:p>
  </w:footnote>
  <w:footnote w:id="2222">
    <w:p w14:paraId="60F89E68" w14:textId="6BF394F9" w:rsidR="000A39CF" w:rsidRDefault="000A39CF">
      <w:pPr>
        <w:pStyle w:val="Funotentext"/>
      </w:pPr>
      <w:r>
        <w:rPr>
          <w:rStyle w:val="Funotenzeichen"/>
        </w:rPr>
        <w:footnoteRef/>
      </w:r>
      <w:r>
        <w:t xml:space="preserve"> Siehe </w:t>
      </w:r>
      <w:hyperlink r:id="rId1649" w:history="1">
        <w:r w:rsidRPr="00357FAC">
          <w:rPr>
            <w:rStyle w:val="Hyperlink"/>
          </w:rPr>
          <w:t>https://de.wikipedia.org/wiki/Siemens_Gamesa</w:t>
        </w:r>
      </w:hyperlink>
      <w:r>
        <w:t xml:space="preserve">, siehe auch: </w:t>
      </w:r>
      <w:hyperlink r:id="rId1650" w:history="1">
        <w:r w:rsidRPr="00357FAC">
          <w:rPr>
            <w:rStyle w:val="Hyperlink"/>
          </w:rPr>
          <w:t>https://www.windkraft-journal.de/2022/03/30/siemens-gamesa-startet-neues-werk-in-le-havre-frankreich-fuer-offshore-windturbinen/173542</w:t>
        </w:r>
      </w:hyperlink>
      <w:r>
        <w:t xml:space="preserve"> - Zugegriffen: 29.05.2025. </w:t>
      </w:r>
    </w:p>
  </w:footnote>
  <w:footnote w:id="2223">
    <w:p w14:paraId="589D9992" w14:textId="2322F5C7" w:rsidR="00735C26" w:rsidRDefault="00735C26">
      <w:pPr>
        <w:pStyle w:val="Funotentext"/>
      </w:pPr>
      <w:r>
        <w:rPr>
          <w:rStyle w:val="Funotenzeichen"/>
        </w:rPr>
        <w:footnoteRef/>
      </w:r>
      <w:r>
        <w:t xml:space="preserve"> Siehe: </w:t>
      </w:r>
      <w:hyperlink r:id="rId1651" w:history="1">
        <w:r w:rsidRPr="00357FAC">
          <w:rPr>
            <w:rStyle w:val="Hyperlink"/>
          </w:rPr>
          <w:t>https://de.wikipedia.org/wiki/Enercon</w:t>
        </w:r>
      </w:hyperlink>
      <w:r>
        <w:t xml:space="preserve"> - Zugegriffen: 29.05.2025. </w:t>
      </w:r>
    </w:p>
  </w:footnote>
  <w:footnote w:id="2224">
    <w:p w14:paraId="021BD273" w14:textId="197E12A5" w:rsidR="000A39CF" w:rsidRDefault="000A39CF">
      <w:pPr>
        <w:pStyle w:val="Funotentext"/>
      </w:pPr>
      <w:r>
        <w:rPr>
          <w:rStyle w:val="Funotenzeichen"/>
        </w:rPr>
        <w:footnoteRef/>
      </w:r>
      <w:r>
        <w:t xml:space="preserve"> Siehe: </w:t>
      </w:r>
      <w:hyperlink r:id="rId1652" w:history="1">
        <w:r w:rsidRPr="00357FAC">
          <w:rPr>
            <w:rStyle w:val="Hyperlink"/>
          </w:rPr>
          <w:t>https://de.wikipedia.org/wiki/GE_Wind_Energy</w:t>
        </w:r>
      </w:hyperlink>
      <w:r>
        <w:t xml:space="preserve"> - Zugegriffen: 29.05.2025. </w:t>
      </w:r>
    </w:p>
  </w:footnote>
  <w:footnote w:id="2225">
    <w:p w14:paraId="5CE38079" w14:textId="536A22BE" w:rsidR="002E36A8" w:rsidRDefault="002E36A8">
      <w:pPr>
        <w:pStyle w:val="Funotentext"/>
      </w:pPr>
      <w:r>
        <w:rPr>
          <w:rStyle w:val="Funotenzeichen"/>
        </w:rPr>
        <w:footnoteRef/>
      </w:r>
      <w:r>
        <w:t xml:space="preserve"> Siehe: </w:t>
      </w:r>
      <w:hyperlink r:id="rId1653" w:history="1">
        <w:r w:rsidRPr="009555F3">
          <w:rPr>
            <w:rStyle w:val="Hyperlink"/>
          </w:rPr>
          <w:t>https://www.windkraft-journal.de/2021/07/08/lm-wind-power-von-ge-renewable-energy-produziert-bereits-das-44-444-rotorblatt-in-indien/164225</w:t>
        </w:r>
      </w:hyperlink>
      <w:r>
        <w:t xml:space="preserve"> - Zugegriffen: 22.06.2025. </w:t>
      </w:r>
    </w:p>
  </w:footnote>
  <w:footnote w:id="2226">
    <w:p w14:paraId="4959BB58" w14:textId="656349CD" w:rsidR="0032496B" w:rsidRDefault="0032496B">
      <w:pPr>
        <w:pStyle w:val="Funotentext"/>
      </w:pPr>
      <w:r>
        <w:rPr>
          <w:rStyle w:val="Funotenzeichen"/>
        </w:rPr>
        <w:footnoteRef/>
      </w:r>
      <w:r>
        <w:t xml:space="preserve"> Siehe: </w:t>
      </w:r>
      <w:hyperlink r:id="rId1654" w:history="1">
        <w:r w:rsidRPr="00357FAC">
          <w:rPr>
            <w:rStyle w:val="Hyperlink"/>
          </w:rPr>
          <w:t>https://de.wikipedia.org/wiki/Vestas_Wind_Systems</w:t>
        </w:r>
      </w:hyperlink>
      <w:r>
        <w:t xml:space="preserve"> - Zugegriffen: 29.05.2025.</w:t>
      </w:r>
    </w:p>
  </w:footnote>
  <w:footnote w:id="2227">
    <w:p w14:paraId="3DE36C58" w14:textId="08BE148B" w:rsidR="002E36A8" w:rsidRDefault="002E36A8">
      <w:pPr>
        <w:pStyle w:val="Funotentext"/>
      </w:pPr>
      <w:r>
        <w:rPr>
          <w:rStyle w:val="Funotenzeichen"/>
        </w:rPr>
        <w:footnoteRef/>
      </w:r>
      <w:r>
        <w:t xml:space="preserve"> Siehe: </w:t>
      </w:r>
      <w:hyperlink r:id="rId1655" w:history="1">
        <w:r w:rsidRPr="009555F3">
          <w:rPr>
            <w:rStyle w:val="Hyperlink"/>
          </w:rPr>
          <w:t>https://www.windbranche.de/news/ticker/vestas-staerkt-produktionspraesenz-in-europa-vestas-kauft-polnische-rotorblatt-fabrik-von-ge-tochter-lm-wind-power-artikel7487</w:t>
        </w:r>
      </w:hyperlink>
      <w:r>
        <w:t xml:space="preserve"> - Zugegriffen: 22.06.2025. </w:t>
      </w:r>
    </w:p>
  </w:footnote>
  <w:footnote w:id="2228">
    <w:p w14:paraId="62D94CF7" w14:textId="7878EFA7" w:rsidR="002B788E" w:rsidRPr="00131C6F" w:rsidRDefault="002B788E">
      <w:pPr>
        <w:pStyle w:val="Funotentext"/>
      </w:pPr>
      <w:r>
        <w:rPr>
          <w:rStyle w:val="Funotenzeichen"/>
        </w:rPr>
        <w:footnoteRef/>
      </w:r>
      <w:r w:rsidRPr="002B7140">
        <w:t xml:space="preserve"> </w:t>
      </w:r>
      <w:r w:rsidR="00131C6F" w:rsidRPr="002B7140">
        <w:t xml:space="preserve">Siehe: Christiane Kühl. </w:t>
      </w:r>
      <w:r w:rsidR="00131C6F" w:rsidRPr="00131C6F">
        <w:t>China entdeckt die europäische W</w:t>
      </w:r>
      <w:r w:rsidR="00131C6F">
        <w:t xml:space="preserve">indindustrie, 15.08.2023. Siehe: </w:t>
      </w:r>
      <w:hyperlink r:id="rId1656" w:history="1">
        <w:r w:rsidR="00131C6F" w:rsidRPr="00357FAC">
          <w:rPr>
            <w:rStyle w:val="Hyperlink"/>
          </w:rPr>
          <w:t>https://www.capital.de/wirtschaft-politik/china-entdeckt-die-europaeische-windindustrie-33737100.html</w:t>
        </w:r>
      </w:hyperlink>
      <w:r w:rsidR="00131C6F" w:rsidRPr="00131C6F">
        <w:t xml:space="preserve"> - Zugegriffen: 09.02.2024.</w:t>
      </w:r>
      <w:r w:rsidR="00131C6F">
        <w:t xml:space="preserve"> </w:t>
      </w:r>
    </w:p>
  </w:footnote>
  <w:footnote w:id="2229">
    <w:p w14:paraId="44097688" w14:textId="77777777" w:rsidR="00BC3223" w:rsidRPr="005A55C1" w:rsidRDefault="00BC3223" w:rsidP="00BC3223">
      <w:pPr>
        <w:pStyle w:val="Funotentext"/>
      </w:pPr>
      <w:r>
        <w:rPr>
          <w:rStyle w:val="Funotenzeichen"/>
        </w:rPr>
        <w:footnoteRef/>
      </w:r>
      <w:r w:rsidRPr="005A55C1">
        <w:t xml:space="preserve"> Kapert China jetzt das Of</w:t>
      </w:r>
      <w:r>
        <w:t xml:space="preserve">fshore-Geschäft. FAZ, 17.10.2024. </w:t>
      </w:r>
    </w:p>
  </w:footnote>
  <w:footnote w:id="2230">
    <w:p w14:paraId="4A0D72AA" w14:textId="77777777" w:rsidR="00744078" w:rsidRPr="00744078" w:rsidRDefault="00744078" w:rsidP="00744078">
      <w:pPr>
        <w:pStyle w:val="Funotentext"/>
      </w:pPr>
      <w:r>
        <w:rPr>
          <w:rStyle w:val="Funotenzeichen"/>
        </w:rPr>
        <w:footnoteRef/>
      </w:r>
      <w:r w:rsidRPr="00744078">
        <w:t xml:space="preserve"> Siehe: </w:t>
      </w:r>
      <w:hyperlink r:id="rId1657" w:history="1">
        <w:r w:rsidRPr="004C622C">
          <w:rPr>
            <w:rStyle w:val="Hyperlink"/>
          </w:rPr>
          <w:t>https://www.iwr.de/news/offshore-kurswechsel-bei-luxcara-siemens-gamesa-ersetzt-ming-yang-sicherheitsbedenken-ausgeschlossen-news39295</w:t>
        </w:r>
      </w:hyperlink>
      <w:r>
        <w:t xml:space="preserve"> - Zugegriffen: 27.09.2025. </w:t>
      </w:r>
    </w:p>
  </w:footnote>
  <w:footnote w:id="2231">
    <w:p w14:paraId="2AE6FDF7" w14:textId="1606E42C" w:rsidR="002B788E" w:rsidRPr="00131C6F" w:rsidRDefault="002B788E">
      <w:pPr>
        <w:pStyle w:val="Funotentext"/>
      </w:pPr>
      <w:r>
        <w:rPr>
          <w:rStyle w:val="Funotenzeichen"/>
        </w:rPr>
        <w:footnoteRef/>
      </w:r>
      <w:r w:rsidRPr="00131C6F">
        <w:t xml:space="preserve"> </w:t>
      </w:r>
      <w:r w:rsidR="00131C6F" w:rsidRPr="00131C6F">
        <w:t>Siehe: Christiane Kühl. China entdeckt die europäische W</w:t>
      </w:r>
      <w:r w:rsidR="00131C6F">
        <w:t xml:space="preserve">indindustrie, 15.08.2023. Siehe: </w:t>
      </w:r>
      <w:hyperlink r:id="rId1658" w:history="1">
        <w:r w:rsidR="00131C6F" w:rsidRPr="00357FAC">
          <w:rPr>
            <w:rStyle w:val="Hyperlink"/>
          </w:rPr>
          <w:t>https://www.capital.de/wirtschaft-politik/china-entdeckt-die-europaeische-windindustrie-33737100.html</w:t>
        </w:r>
      </w:hyperlink>
      <w:r w:rsidR="00131C6F" w:rsidRPr="00131C6F">
        <w:t xml:space="preserve"> - Zugegriffen: 09.02.2024.</w:t>
      </w:r>
    </w:p>
  </w:footnote>
  <w:footnote w:id="2232">
    <w:p w14:paraId="1EEBD1F1" w14:textId="216C3258" w:rsidR="00131C6F" w:rsidRDefault="00131C6F">
      <w:pPr>
        <w:pStyle w:val="Funotentext"/>
      </w:pPr>
      <w:r>
        <w:rPr>
          <w:rStyle w:val="Funotenzeichen"/>
        </w:rPr>
        <w:footnoteRef/>
      </w:r>
      <w:r>
        <w:t xml:space="preserve"> </w:t>
      </w:r>
      <w:r w:rsidRPr="00131C6F">
        <w:t>Siehe: Christiane Kühl. China entdeckt die europäische W</w:t>
      </w:r>
      <w:r>
        <w:t xml:space="preserve">indindustrie, 15.08.2023. Siehe: </w:t>
      </w:r>
      <w:hyperlink r:id="rId1659" w:history="1">
        <w:r w:rsidRPr="00357FAC">
          <w:rPr>
            <w:rStyle w:val="Hyperlink"/>
          </w:rPr>
          <w:t>https://www.capital.de/wirtschaft-politik/china-entdeckt-die-europaeische-windindustrie-33737100.html</w:t>
        </w:r>
      </w:hyperlink>
      <w:r w:rsidRPr="00131C6F">
        <w:t xml:space="preserve"> - Zugegriffen: 09.02.2024.</w:t>
      </w:r>
    </w:p>
  </w:footnote>
  <w:footnote w:id="2233">
    <w:p w14:paraId="6B54EE00" w14:textId="697F3784" w:rsidR="00626B90" w:rsidRDefault="00626B90">
      <w:pPr>
        <w:pStyle w:val="Funotentext"/>
      </w:pPr>
      <w:r>
        <w:rPr>
          <w:rStyle w:val="Funotenzeichen"/>
        </w:rPr>
        <w:footnoteRef/>
      </w:r>
      <w:r>
        <w:t xml:space="preserve"> Dena </w:t>
      </w:r>
      <w:proofErr w:type="spellStart"/>
      <w:r>
        <w:t>StiPE</w:t>
      </w:r>
      <w:proofErr w:type="spellEnd"/>
      <w:r>
        <w:t xml:space="preserve"> </w:t>
      </w:r>
      <w:r w:rsidR="000D2AA3">
        <w:t xml:space="preserve">Bericht </w:t>
      </w:r>
      <w:r>
        <w:t>2022: 35.</w:t>
      </w:r>
    </w:p>
  </w:footnote>
  <w:footnote w:id="2234">
    <w:p w14:paraId="3990F727" w14:textId="62F107D5" w:rsidR="007D6A7F" w:rsidRDefault="007D6A7F">
      <w:pPr>
        <w:pStyle w:val="Funotentext"/>
      </w:pPr>
      <w:r>
        <w:rPr>
          <w:rStyle w:val="Funotenzeichen"/>
        </w:rPr>
        <w:footnoteRef/>
      </w:r>
      <w:r>
        <w:t xml:space="preserve"> Dena </w:t>
      </w:r>
      <w:proofErr w:type="spellStart"/>
      <w:r>
        <w:t>StiPE</w:t>
      </w:r>
      <w:proofErr w:type="spellEnd"/>
      <w:r>
        <w:t xml:space="preserve"> </w:t>
      </w:r>
      <w:r w:rsidR="000D2AA3">
        <w:t xml:space="preserve">Bericht </w:t>
      </w:r>
      <w:r>
        <w:t>2022: 37</w:t>
      </w:r>
      <w:r w:rsidR="000D2AA3">
        <w:t>.</w:t>
      </w:r>
    </w:p>
  </w:footnote>
  <w:footnote w:id="2235">
    <w:p w14:paraId="0A539FD9" w14:textId="77777777" w:rsidR="002C057C" w:rsidRDefault="002C057C" w:rsidP="002C057C">
      <w:pPr>
        <w:pStyle w:val="Funotentext"/>
      </w:pPr>
      <w:r>
        <w:rPr>
          <w:rStyle w:val="Funotenzeichen"/>
        </w:rPr>
        <w:footnoteRef/>
      </w:r>
      <w:r>
        <w:t xml:space="preserve"> Siehe: </w:t>
      </w:r>
      <w:hyperlink r:id="rId1660" w:history="1">
        <w:r w:rsidRPr="00A2553B">
          <w:rPr>
            <w:rStyle w:val="Hyperlink"/>
          </w:rPr>
          <w:t>https://eur-lex.europa.eu/legal-content/EN/TXT/?uri=CELEX:52023DC0669</w:t>
        </w:r>
      </w:hyperlink>
      <w:r>
        <w:t xml:space="preserve"> – Zugegriffen: 30.04.2025. </w:t>
      </w:r>
    </w:p>
  </w:footnote>
  <w:footnote w:id="2236">
    <w:p w14:paraId="4527F085" w14:textId="77777777" w:rsidR="002C057C" w:rsidRDefault="002C057C" w:rsidP="002C057C">
      <w:pPr>
        <w:pStyle w:val="Funotentext"/>
      </w:pPr>
      <w:r>
        <w:rPr>
          <w:rStyle w:val="Funotenzeichen"/>
        </w:rPr>
        <w:footnoteRef/>
      </w:r>
      <w:r>
        <w:t xml:space="preserve"> Auch sollen Auktionspreise indexiert werden, da Projekte dauern und ein Jahr später z.B. die Kosten für Projekte steigen können und dann die Auktionspreise als überteuert erscheinen. Siehe für einen Überblick des Wind Power Action Plan hier: </w:t>
      </w:r>
      <w:hyperlink r:id="rId1661" w:history="1">
        <w:r w:rsidRPr="00A2553B">
          <w:rPr>
            <w:rStyle w:val="Hyperlink"/>
          </w:rPr>
          <w:t>https://windeurope.org/newsroom/press-releases/wind-power-package-game-changer-for-europes-energy-security/</w:t>
        </w:r>
      </w:hyperlink>
      <w:r>
        <w:t xml:space="preserve"> - Zugegriffen: 30.04.2025. </w:t>
      </w:r>
    </w:p>
  </w:footnote>
  <w:footnote w:id="2237">
    <w:p w14:paraId="2842E9FF" w14:textId="77777777" w:rsidR="002C057C" w:rsidRDefault="002C057C" w:rsidP="002C057C">
      <w:pPr>
        <w:pStyle w:val="Funotentext"/>
      </w:pPr>
      <w:r>
        <w:rPr>
          <w:rStyle w:val="Funotenzeichen"/>
        </w:rPr>
        <w:footnoteRef/>
      </w:r>
      <w:r>
        <w:t xml:space="preserve"> Siehe: </w:t>
      </w:r>
      <w:hyperlink r:id="rId1662" w:history="1">
        <w:r w:rsidRPr="00A2553B">
          <w:rPr>
            <w:rStyle w:val="Hyperlink"/>
          </w:rPr>
          <w:t>https://www.europarl.europa.eu/RegData/etudes/BRIE/2024/757628/EPRS_BRI(2024)757628_EN.pdf</w:t>
        </w:r>
      </w:hyperlink>
      <w:r>
        <w:t xml:space="preserve"> – Zugegriffen: 30.04.2025. </w:t>
      </w:r>
    </w:p>
  </w:footnote>
  <w:footnote w:id="2238">
    <w:p w14:paraId="16CD7AC8" w14:textId="185ED493" w:rsidR="007D6A7F" w:rsidRDefault="007D6A7F">
      <w:pPr>
        <w:pStyle w:val="Funotentext"/>
      </w:pPr>
      <w:r>
        <w:rPr>
          <w:rStyle w:val="Funotenzeichen"/>
        </w:rPr>
        <w:footnoteRef/>
      </w:r>
      <w:r>
        <w:t xml:space="preserve"> Dena </w:t>
      </w:r>
      <w:proofErr w:type="spellStart"/>
      <w:r>
        <w:t>StiPE</w:t>
      </w:r>
      <w:proofErr w:type="spellEnd"/>
      <w:r>
        <w:t xml:space="preserve"> </w:t>
      </w:r>
      <w:r w:rsidR="000D2AA3">
        <w:t xml:space="preserve">Bericht </w:t>
      </w:r>
      <w:r>
        <w:t>2022: 39.</w:t>
      </w:r>
    </w:p>
  </w:footnote>
  <w:footnote w:id="2239">
    <w:p w14:paraId="4ECEFE8A" w14:textId="264FE75B" w:rsidR="007D6A7F" w:rsidRDefault="007D6A7F">
      <w:pPr>
        <w:pStyle w:val="Funotentext"/>
      </w:pPr>
      <w:r>
        <w:rPr>
          <w:rStyle w:val="Funotenzeichen"/>
        </w:rPr>
        <w:footnoteRef/>
      </w:r>
      <w:r>
        <w:t xml:space="preserve"> Dena </w:t>
      </w:r>
      <w:proofErr w:type="spellStart"/>
      <w:r>
        <w:t>StiPE</w:t>
      </w:r>
      <w:proofErr w:type="spellEnd"/>
      <w:r>
        <w:t xml:space="preserve"> </w:t>
      </w:r>
      <w:r w:rsidR="000D2AA3">
        <w:t xml:space="preserve">Bericht </w:t>
      </w:r>
      <w:r>
        <w:t>2022: 39.</w:t>
      </w:r>
    </w:p>
  </w:footnote>
  <w:footnote w:id="2240">
    <w:p w14:paraId="2A17A0A6" w14:textId="77777777" w:rsidR="002C057C" w:rsidRDefault="002C057C" w:rsidP="002C057C">
      <w:pPr>
        <w:pStyle w:val="Funotentext"/>
      </w:pPr>
      <w:r>
        <w:rPr>
          <w:rStyle w:val="Funotenzeichen"/>
        </w:rPr>
        <w:footnoteRef/>
      </w:r>
      <w:r>
        <w:t xml:space="preserve"> Siehe: </w:t>
      </w:r>
      <w:hyperlink r:id="rId1663" w:history="1">
        <w:r w:rsidRPr="00A2553B">
          <w:rPr>
            <w:rStyle w:val="Hyperlink"/>
          </w:rPr>
          <w:t>https://windeurope.org/newsroom/press-releases/eu-starts-investigation-into-chinese-wind-turbines-under-new-foreign-subsidies-regulation/</w:t>
        </w:r>
      </w:hyperlink>
      <w:r>
        <w:t xml:space="preserve"> - Zugegriffen: 30.04.2025. </w:t>
      </w:r>
    </w:p>
  </w:footnote>
  <w:footnote w:id="2241">
    <w:p w14:paraId="33110D1D" w14:textId="04D36744" w:rsidR="00C314E6" w:rsidRDefault="00C314E6">
      <w:pPr>
        <w:pStyle w:val="Funotentext"/>
      </w:pPr>
      <w:r>
        <w:rPr>
          <w:rStyle w:val="Funotenzeichen"/>
        </w:rPr>
        <w:footnoteRef/>
      </w:r>
      <w:r>
        <w:t xml:space="preserve"> Siehe: </w:t>
      </w:r>
      <w:hyperlink r:id="rId1664" w:history="1">
        <w:r w:rsidRPr="00C14A4B">
          <w:rPr>
            <w:rStyle w:val="Hyperlink"/>
          </w:rPr>
          <w:t>https://competition-policy.ec.europa.eu/foreign-subsidies-regulation/legislation_en</w:t>
        </w:r>
      </w:hyperlink>
      <w:r>
        <w:t xml:space="preserve"> - Zugegriffen: 15.06.2025. </w:t>
      </w:r>
    </w:p>
  </w:footnote>
  <w:footnote w:id="2242">
    <w:p w14:paraId="677ABEF1" w14:textId="77777777" w:rsidR="002C057C" w:rsidRPr="00D476E2" w:rsidRDefault="002C057C" w:rsidP="002C057C">
      <w:pPr>
        <w:pStyle w:val="Funotentext"/>
      </w:pPr>
      <w:r>
        <w:rPr>
          <w:rStyle w:val="Funotenzeichen"/>
        </w:rPr>
        <w:footnoteRef/>
      </w:r>
      <w:r>
        <w:t xml:space="preserve"> EU-Verfahren gegen China. </w:t>
      </w:r>
      <w:r w:rsidRPr="00D476E2">
        <w:t xml:space="preserve">FAZ, 11.04.2024. </w:t>
      </w:r>
      <w:r>
        <w:t xml:space="preserve">Siehe: </w:t>
      </w:r>
      <w:hyperlink r:id="rId1665" w:history="1">
        <w:r w:rsidRPr="00A2553B">
          <w:rPr>
            <w:rStyle w:val="Hyperlink"/>
          </w:rPr>
          <w:t>https://www.faz.net/aktuell/wirtschaft/eu-leitete-verfahren-ein-19644364.html</w:t>
        </w:r>
      </w:hyperlink>
      <w:r>
        <w:t xml:space="preserve"> - Zugegriffen: 30.04.2025. </w:t>
      </w:r>
    </w:p>
  </w:footnote>
  <w:footnote w:id="2243">
    <w:p w14:paraId="6AFC1E0E" w14:textId="77777777" w:rsidR="002C057C" w:rsidRDefault="002C057C" w:rsidP="002C057C">
      <w:pPr>
        <w:pStyle w:val="Funotentext"/>
      </w:pPr>
      <w:r>
        <w:rPr>
          <w:rStyle w:val="Funotenzeichen"/>
        </w:rPr>
        <w:footnoteRef/>
      </w:r>
      <w:r>
        <w:t xml:space="preserve"> Siehe: </w:t>
      </w:r>
      <w:hyperlink r:id="rId1666" w:history="1">
        <w:r w:rsidRPr="00A2553B">
          <w:rPr>
            <w:rStyle w:val="Hyperlink"/>
          </w:rPr>
          <w:t>https://windeurope.org/newsroom/press-releases/eu-starts-investigation-into-chinese-wind-turbines-under-new-foreign-subsidies-regulation/</w:t>
        </w:r>
      </w:hyperlink>
      <w:r>
        <w:t xml:space="preserve"> - Zugegriffen: 30.04.2025. </w:t>
      </w:r>
    </w:p>
  </w:footnote>
  <w:footnote w:id="2244">
    <w:p w14:paraId="6519FE9D" w14:textId="77777777" w:rsidR="002C057C" w:rsidRDefault="002C057C" w:rsidP="002C057C">
      <w:pPr>
        <w:pStyle w:val="Funotentext"/>
      </w:pPr>
      <w:r>
        <w:rPr>
          <w:rStyle w:val="Funotenzeichen"/>
        </w:rPr>
        <w:footnoteRef/>
      </w:r>
      <w:r>
        <w:t xml:space="preserve"> Siehe: </w:t>
      </w:r>
      <w:hyperlink r:id="rId1667" w:history="1">
        <w:r w:rsidRPr="00A2553B">
          <w:rPr>
            <w:rStyle w:val="Hyperlink"/>
          </w:rPr>
          <w:t>https://competition-policy.ec.europa.eu/foreign-subsidies-regulation_en</w:t>
        </w:r>
      </w:hyperlink>
      <w:r>
        <w:t xml:space="preserve"> </w:t>
      </w:r>
    </w:p>
  </w:footnote>
  <w:footnote w:id="2245">
    <w:p w14:paraId="4791D47B" w14:textId="3D44767F" w:rsidR="00C314E6" w:rsidRDefault="00C314E6">
      <w:pPr>
        <w:pStyle w:val="Funotentext"/>
      </w:pPr>
      <w:r>
        <w:rPr>
          <w:rStyle w:val="Funotenzeichen"/>
        </w:rPr>
        <w:footnoteRef/>
      </w:r>
      <w:r>
        <w:t xml:space="preserve"> Siehe: </w:t>
      </w:r>
      <w:hyperlink r:id="rId1668" w:history="1">
        <w:r w:rsidRPr="00C14A4B">
          <w:rPr>
            <w:rStyle w:val="Hyperlink"/>
          </w:rPr>
          <w:t>https://competition-policy.ec.europa.eu/foreign-subsidies-regulation/legislation_en</w:t>
        </w:r>
      </w:hyperlink>
      <w:r>
        <w:t xml:space="preserve"> - Zugegriffen: 15.06.2025. </w:t>
      </w:r>
    </w:p>
  </w:footnote>
  <w:footnote w:id="2246">
    <w:p w14:paraId="3149ACDF" w14:textId="77777777" w:rsidR="002C057C" w:rsidRDefault="002C057C" w:rsidP="002C057C">
      <w:pPr>
        <w:pStyle w:val="Funotentext"/>
      </w:pPr>
      <w:r>
        <w:rPr>
          <w:rStyle w:val="Funotenzeichen"/>
        </w:rPr>
        <w:footnoteRef/>
      </w:r>
      <w:r>
        <w:t xml:space="preserve"> Siehe: </w:t>
      </w:r>
      <w:hyperlink r:id="rId1669" w:history="1">
        <w:r w:rsidRPr="00A2553B">
          <w:rPr>
            <w:rStyle w:val="Hyperlink"/>
          </w:rPr>
          <w:t>https://policy.trade.ec.europa.eu/enforcement-and-protection/investment-screening_en</w:t>
        </w:r>
      </w:hyperlink>
      <w:r>
        <w:t xml:space="preserve"> - Zugegriffen: 01.05.2025. </w:t>
      </w:r>
    </w:p>
  </w:footnote>
  <w:footnote w:id="2247">
    <w:p w14:paraId="7279A6B3" w14:textId="77777777" w:rsidR="002C057C" w:rsidRPr="00110BC5" w:rsidRDefault="002C057C" w:rsidP="002C057C">
      <w:pPr>
        <w:pStyle w:val="Funotentext"/>
      </w:pPr>
      <w:r>
        <w:rPr>
          <w:rStyle w:val="Funotenzeichen"/>
        </w:rPr>
        <w:footnoteRef/>
      </w:r>
      <w:r w:rsidRPr="00110BC5">
        <w:t xml:space="preserve"> Si</w:t>
      </w:r>
      <w:r>
        <w:t xml:space="preserve">ehe: </w:t>
      </w:r>
      <w:hyperlink r:id="rId1670" w:history="1">
        <w:r w:rsidRPr="00A14441">
          <w:rPr>
            <w:rStyle w:val="Hyperlink"/>
          </w:rPr>
          <w:t>https://www.owlaw.de/zollrecht/antidumpingzoll/antidumpingzoll-windkrafttuerme-aus-china/</w:t>
        </w:r>
      </w:hyperlink>
      <w:r>
        <w:t xml:space="preserve"> - Zugegriffen: 06.04.2025.</w:t>
      </w:r>
    </w:p>
  </w:footnote>
  <w:footnote w:id="2248">
    <w:p w14:paraId="3FFD0A01" w14:textId="77777777" w:rsidR="002C057C" w:rsidRPr="00A6097C" w:rsidRDefault="002C057C" w:rsidP="002C057C">
      <w:pPr>
        <w:pStyle w:val="Funotentext"/>
      </w:pPr>
      <w:r>
        <w:rPr>
          <w:rStyle w:val="Funotenzeichen"/>
        </w:rPr>
        <w:footnoteRef/>
      </w:r>
      <w:r w:rsidRPr="00BF7945">
        <w:t xml:space="preserve"> </w:t>
      </w:r>
      <w:proofErr w:type="gramStart"/>
      <w:r w:rsidRPr="00BF7945">
        <w:t>DOE Magnete</w:t>
      </w:r>
      <w:proofErr w:type="gramEnd"/>
      <w:r w:rsidRPr="00BF7945">
        <w:t xml:space="preserve"> 2022: ix. </w:t>
      </w:r>
      <w:r>
        <w:t xml:space="preserve">Hier der Link: </w:t>
      </w:r>
      <w:hyperlink r:id="rId1671" w:history="1">
        <w:r w:rsidRPr="009B1266">
          <w:rPr>
            <w:rStyle w:val="Hyperlink"/>
          </w:rPr>
          <w:t>https://www.energy.gov/sites/default/files/2024-12/Neodymium%2520Magnets%2520Supply%2520Chain%2520Report%2520-%2520Final%5B1%5D.pdf</w:t>
        </w:r>
      </w:hyperlink>
      <w:r>
        <w:t xml:space="preserve"> – Zugegriffen: 05.04.2025. </w:t>
      </w:r>
      <w:r w:rsidRPr="00A6097C">
        <w:t>Empfehlenswert</w:t>
      </w:r>
      <w:r>
        <w:t xml:space="preserve"> </w:t>
      </w:r>
      <w:r w:rsidRPr="00A6097C">
        <w:t>ist a</w:t>
      </w:r>
      <w:r>
        <w:t xml:space="preserve">uch die sehr gute Studie von Gielen/Lyons (2022), siehe hier: </w:t>
      </w:r>
      <w:hyperlink r:id="rId1672" w:history="1">
        <w:r w:rsidRPr="009B1266">
          <w:rPr>
            <w:rStyle w:val="Hyperlink"/>
          </w:rPr>
          <w:t>https://www.irena.org/-/media/Irena/Files/Technical-papers/IRENA_Rare_Earth_Elements_2022.pdf</w:t>
        </w:r>
      </w:hyperlink>
      <w:r>
        <w:t xml:space="preserve"> - Zugegriffen: 05.04.2025.</w:t>
      </w:r>
    </w:p>
  </w:footnote>
  <w:footnote w:id="2249">
    <w:p w14:paraId="69758E45" w14:textId="77777777" w:rsidR="002C057C" w:rsidRPr="00D1683B" w:rsidRDefault="002C057C" w:rsidP="002C057C">
      <w:pPr>
        <w:pStyle w:val="Funotentext"/>
      </w:pPr>
      <w:r>
        <w:rPr>
          <w:rStyle w:val="Funotenzeichen"/>
        </w:rPr>
        <w:footnoteRef/>
      </w:r>
      <w:r w:rsidRPr="00D1683B">
        <w:t xml:space="preserve"> ChatGPT, Gibt es Neodym i</w:t>
      </w:r>
      <w:r>
        <w:t>n Europa?</w:t>
      </w:r>
    </w:p>
  </w:footnote>
  <w:footnote w:id="2250">
    <w:p w14:paraId="5DDFD8F6" w14:textId="77777777" w:rsidR="002C057C" w:rsidRPr="00D1683B" w:rsidRDefault="002C057C" w:rsidP="002C057C">
      <w:pPr>
        <w:pStyle w:val="Funotentext"/>
      </w:pPr>
      <w:r>
        <w:rPr>
          <w:rStyle w:val="Funotenzeichen"/>
        </w:rPr>
        <w:footnoteRef/>
      </w:r>
      <w:r w:rsidRPr="00D1683B">
        <w:t xml:space="preserve"> Si</w:t>
      </w:r>
      <w:r>
        <w:t xml:space="preserve">ehe </w:t>
      </w:r>
      <w:proofErr w:type="gramStart"/>
      <w:r>
        <w:t>LKAB Webseite</w:t>
      </w:r>
      <w:proofErr w:type="gramEnd"/>
      <w:r>
        <w:t xml:space="preserve">, Infos auch aus ChatGPT: </w:t>
      </w:r>
      <w:hyperlink r:id="rId1673" w:history="1">
        <w:r w:rsidRPr="009B1266">
          <w:rPr>
            <w:rStyle w:val="Hyperlink"/>
          </w:rPr>
          <w:t>https://lkab.com/en/press/europes-largest-deposit-of-rare-earth-metals-is-located-in-the-kiruna-area/</w:t>
        </w:r>
      </w:hyperlink>
      <w:r>
        <w:t xml:space="preserve"> - Zugegriffen: 05.04.2025. </w:t>
      </w:r>
    </w:p>
  </w:footnote>
  <w:footnote w:id="2251">
    <w:p w14:paraId="6F9344C8" w14:textId="77777777" w:rsidR="002C057C" w:rsidRPr="00814013" w:rsidRDefault="002C057C" w:rsidP="002C057C">
      <w:pPr>
        <w:pStyle w:val="Funotentext"/>
      </w:pPr>
      <w:r>
        <w:rPr>
          <w:rStyle w:val="Funotenzeichen"/>
        </w:rPr>
        <w:footnoteRef/>
      </w:r>
      <w:r w:rsidRPr="00814013">
        <w:t xml:space="preserve"> Siehe: </w:t>
      </w:r>
      <w:hyperlink r:id="rId1674" w:history="1">
        <w:r w:rsidRPr="00814013">
          <w:rPr>
            <w:rStyle w:val="Hyperlink"/>
          </w:rPr>
          <w:t>https://vacuumschmelze.de/produkte/dauermagnete</w:t>
        </w:r>
      </w:hyperlink>
      <w:r w:rsidRPr="00814013">
        <w:t xml:space="preserve"> </w:t>
      </w:r>
      <w:r>
        <w:t>- Zugegriffen: 05.04.2025.</w:t>
      </w:r>
    </w:p>
  </w:footnote>
  <w:footnote w:id="2252">
    <w:p w14:paraId="7FC2B0AD" w14:textId="77777777" w:rsidR="002C057C" w:rsidRPr="00617C43" w:rsidRDefault="002C057C" w:rsidP="002C057C">
      <w:pPr>
        <w:pStyle w:val="Funotentext"/>
        <w:rPr>
          <w:lang w:val="nl-NL"/>
        </w:rPr>
      </w:pPr>
      <w:r>
        <w:rPr>
          <w:rStyle w:val="Funotenzeichen"/>
        </w:rPr>
        <w:footnoteRef/>
      </w:r>
      <w:r w:rsidRPr="00617C43">
        <w:rPr>
          <w:lang w:val="nl-NL"/>
        </w:rPr>
        <w:t xml:space="preserve"> DOE Magnete 2022: 41</w:t>
      </w:r>
      <w:r>
        <w:rPr>
          <w:lang w:val="nl-NL"/>
        </w:rPr>
        <w:t>, 46</w:t>
      </w:r>
      <w:r w:rsidRPr="00617C43">
        <w:rPr>
          <w:lang w:val="nl-NL"/>
        </w:rPr>
        <w:t>.</w:t>
      </w:r>
    </w:p>
  </w:footnote>
  <w:footnote w:id="2253">
    <w:p w14:paraId="6B00DF25" w14:textId="77777777" w:rsidR="002C057C" w:rsidRPr="0099494D" w:rsidRDefault="002C057C" w:rsidP="002C057C">
      <w:pPr>
        <w:pStyle w:val="Funotentext"/>
        <w:rPr>
          <w:lang w:val="nl-NL"/>
        </w:rPr>
      </w:pPr>
      <w:r>
        <w:rPr>
          <w:rStyle w:val="Funotenzeichen"/>
        </w:rPr>
        <w:footnoteRef/>
      </w:r>
      <w:r w:rsidRPr="0099494D">
        <w:rPr>
          <w:lang w:val="nl-NL"/>
        </w:rPr>
        <w:t xml:space="preserve"> G</w:t>
      </w:r>
      <w:r>
        <w:rPr>
          <w:lang w:val="nl-NL"/>
        </w:rPr>
        <w:t>ielen/Lyons 2022: 37.</w:t>
      </w:r>
    </w:p>
  </w:footnote>
  <w:footnote w:id="2254">
    <w:p w14:paraId="1B7D89DA" w14:textId="77777777" w:rsidR="002C057C" w:rsidRPr="004A4580" w:rsidRDefault="002C057C" w:rsidP="002C057C">
      <w:pPr>
        <w:pStyle w:val="Funotentext"/>
        <w:rPr>
          <w:lang w:val="nl-NL"/>
        </w:rPr>
      </w:pPr>
      <w:r>
        <w:rPr>
          <w:rStyle w:val="Funotenzeichen"/>
        </w:rPr>
        <w:footnoteRef/>
      </w:r>
      <w:r w:rsidRPr="004A4580">
        <w:rPr>
          <w:lang w:val="nl-NL"/>
        </w:rPr>
        <w:t xml:space="preserve"> DOE Mag</w:t>
      </w:r>
      <w:r>
        <w:rPr>
          <w:lang w:val="nl-NL"/>
        </w:rPr>
        <w:t>nets 2022: 1.</w:t>
      </w:r>
    </w:p>
  </w:footnote>
  <w:footnote w:id="2255">
    <w:p w14:paraId="3A1E29F7" w14:textId="77777777" w:rsidR="002C057C" w:rsidRPr="00FD6E4C" w:rsidRDefault="002C057C" w:rsidP="002C057C">
      <w:pPr>
        <w:pStyle w:val="Funotentext"/>
      </w:pPr>
      <w:r>
        <w:rPr>
          <w:rStyle w:val="Funotenzeichen"/>
        </w:rPr>
        <w:footnoteRef/>
      </w:r>
      <w:r w:rsidRPr="00FD6E4C">
        <w:t xml:space="preserve"> </w:t>
      </w:r>
      <w:proofErr w:type="gramStart"/>
      <w:r w:rsidRPr="00FD6E4C">
        <w:t>DOE Magnets</w:t>
      </w:r>
      <w:proofErr w:type="gramEnd"/>
      <w:r w:rsidRPr="00FD6E4C">
        <w:t xml:space="preserve"> 2022: viii, 1.</w:t>
      </w:r>
    </w:p>
  </w:footnote>
  <w:footnote w:id="2256">
    <w:p w14:paraId="323CC44B" w14:textId="77777777" w:rsidR="002C057C" w:rsidRPr="00FD6E4C" w:rsidRDefault="002C057C" w:rsidP="002C057C">
      <w:pPr>
        <w:pStyle w:val="Funotentext"/>
        <w:rPr>
          <w:lang w:val="nl-NL"/>
        </w:rPr>
      </w:pPr>
      <w:r>
        <w:rPr>
          <w:rStyle w:val="Funotenzeichen"/>
        </w:rPr>
        <w:footnoteRef/>
      </w:r>
      <w:r w:rsidRPr="004A4580">
        <w:t xml:space="preserve"> Siehe: </w:t>
      </w:r>
      <w:hyperlink r:id="rId1675" w:history="1">
        <w:r w:rsidRPr="007927EA">
          <w:rPr>
            <w:rStyle w:val="Hyperlink"/>
          </w:rPr>
          <w:t>https://www.whitehouse.gov/ostp/ostps-teams/nstc/</w:t>
        </w:r>
      </w:hyperlink>
      <w:r>
        <w:t xml:space="preserve"> - Zugegriffen: 08.08.2024. </w:t>
      </w:r>
      <w:r w:rsidRPr="00FD6E4C">
        <w:rPr>
          <w:lang w:val="nl-NL"/>
        </w:rPr>
        <w:t xml:space="preserve">Siehe DOE Magnets 2022: 1. </w:t>
      </w:r>
    </w:p>
  </w:footnote>
  <w:footnote w:id="2257">
    <w:p w14:paraId="604349BC" w14:textId="77777777" w:rsidR="002C057C" w:rsidRPr="00FD6E4C" w:rsidRDefault="002C057C" w:rsidP="002C057C">
      <w:pPr>
        <w:pStyle w:val="Funotentext"/>
        <w:rPr>
          <w:lang w:val="nl-NL"/>
        </w:rPr>
      </w:pPr>
      <w:r>
        <w:rPr>
          <w:rStyle w:val="Funotenzeichen"/>
        </w:rPr>
        <w:footnoteRef/>
      </w:r>
      <w:r w:rsidRPr="00FD6E4C">
        <w:rPr>
          <w:lang w:val="nl-NL"/>
        </w:rPr>
        <w:t xml:space="preserve"> DOE Magnets 2022: 1. </w:t>
      </w:r>
    </w:p>
  </w:footnote>
  <w:footnote w:id="2258">
    <w:p w14:paraId="10709EFF" w14:textId="77777777" w:rsidR="002C057C" w:rsidRPr="002D4D3B" w:rsidRDefault="002C057C" w:rsidP="002C057C">
      <w:pPr>
        <w:pStyle w:val="Funotentext"/>
        <w:rPr>
          <w:lang w:val="nl-NL"/>
        </w:rPr>
      </w:pPr>
      <w:r>
        <w:rPr>
          <w:rStyle w:val="Funotenzeichen"/>
        </w:rPr>
        <w:footnoteRef/>
      </w:r>
      <w:r w:rsidRPr="002D4D3B">
        <w:rPr>
          <w:lang w:val="nl-NL"/>
        </w:rPr>
        <w:t xml:space="preserve"> Gielen/Lyons 2022: 36.</w:t>
      </w:r>
    </w:p>
  </w:footnote>
  <w:footnote w:id="2259">
    <w:p w14:paraId="4B904D1D" w14:textId="77777777" w:rsidR="002C057C" w:rsidRPr="007E2B0A" w:rsidRDefault="002C057C" w:rsidP="002C057C">
      <w:pPr>
        <w:pStyle w:val="Funotentext"/>
        <w:rPr>
          <w:lang w:val="nl-NL"/>
        </w:rPr>
      </w:pPr>
      <w:r>
        <w:rPr>
          <w:rStyle w:val="Funotenzeichen"/>
        </w:rPr>
        <w:footnoteRef/>
      </w:r>
      <w:r w:rsidRPr="007E2B0A">
        <w:rPr>
          <w:lang w:val="nl-NL"/>
        </w:rPr>
        <w:t xml:space="preserve"> Gielen/Lyons 2022: 39.</w:t>
      </w:r>
    </w:p>
  </w:footnote>
  <w:footnote w:id="2260">
    <w:p w14:paraId="79EB3F60" w14:textId="77777777" w:rsidR="002C057C" w:rsidRPr="007E2B0A" w:rsidRDefault="002C057C" w:rsidP="002C057C">
      <w:pPr>
        <w:pStyle w:val="Funotentext"/>
        <w:rPr>
          <w:lang w:val="nl-NL"/>
        </w:rPr>
      </w:pPr>
      <w:r>
        <w:rPr>
          <w:rStyle w:val="Funotenzeichen"/>
        </w:rPr>
        <w:footnoteRef/>
      </w:r>
      <w:r w:rsidRPr="007E2B0A">
        <w:rPr>
          <w:lang w:val="nl-NL"/>
        </w:rPr>
        <w:t xml:space="preserve"> Gielen/Lyons 2022: 39.</w:t>
      </w:r>
    </w:p>
  </w:footnote>
  <w:footnote w:id="2261">
    <w:p w14:paraId="5F3AE126" w14:textId="77777777" w:rsidR="00766E70" w:rsidRDefault="00766E70" w:rsidP="00766E70">
      <w:pPr>
        <w:pStyle w:val="Funotentext"/>
      </w:pPr>
      <w:r>
        <w:rPr>
          <w:rStyle w:val="Funotenzeichen"/>
        </w:rPr>
        <w:footnoteRef/>
      </w:r>
      <w:r>
        <w:t xml:space="preserve"> Siehe: </w:t>
      </w:r>
      <w:hyperlink r:id="rId1676" w:history="1">
        <w:r w:rsidRPr="005D3896">
          <w:rPr>
            <w:rStyle w:val="Hyperlink"/>
          </w:rPr>
          <w:t>https://en.wikipedia.org/wiki/Enercon</w:t>
        </w:r>
      </w:hyperlink>
      <w:r>
        <w:t xml:space="preserve"> - Zugegriffen: 22.05.2025. </w:t>
      </w:r>
    </w:p>
  </w:footnote>
  <w:footnote w:id="2262">
    <w:p w14:paraId="50EB5104" w14:textId="77777777" w:rsidR="002C057C" w:rsidRPr="00BD3D37" w:rsidRDefault="002C057C" w:rsidP="002C057C">
      <w:pPr>
        <w:pStyle w:val="Funotentext"/>
      </w:pPr>
      <w:r>
        <w:rPr>
          <w:rStyle w:val="Funotenzeichen"/>
        </w:rPr>
        <w:footnoteRef/>
      </w:r>
      <w:r w:rsidRPr="00BD3D37">
        <w:t xml:space="preserve"> Bickenbach, Frank et al. </w:t>
      </w:r>
      <w:r w:rsidRPr="00D4283A">
        <w:t xml:space="preserve">Foulspiel? </w:t>
      </w:r>
      <w:r w:rsidRPr="00BD3D37">
        <w:t>Zu Höhe und Umfang der Industriesubventione</w:t>
      </w:r>
      <w:r>
        <w:t xml:space="preserve">n in China. </w:t>
      </w:r>
      <w:r w:rsidRPr="00BD3D37">
        <w:t>Kiel Policy Brief, Nr. 173, April 2024. S. 15</w:t>
      </w:r>
      <w:r>
        <w:t>-</w:t>
      </w:r>
      <w:r w:rsidRPr="00BD3D37">
        <w:t>16.</w:t>
      </w:r>
      <w:r>
        <w:t xml:space="preserve"> Siehe: </w:t>
      </w:r>
      <w:hyperlink r:id="rId1677" w:history="1">
        <w:r w:rsidRPr="002639A0">
          <w:rPr>
            <w:rStyle w:val="Hyperlink"/>
          </w:rPr>
          <w:t>https://www.ifw-kiel.de/de/publikationen/foulspiel-zu-hoehe-und-umfang-der-industriesubventionen-in-china-32739/</w:t>
        </w:r>
      </w:hyperlink>
      <w:r>
        <w:t xml:space="preserve"> - Zugegriffen: 25.06.2024. </w:t>
      </w:r>
    </w:p>
  </w:footnote>
  <w:footnote w:id="2263">
    <w:p w14:paraId="6E8FEC21" w14:textId="77777777" w:rsidR="002C057C" w:rsidRDefault="002C057C" w:rsidP="002C057C">
      <w:pPr>
        <w:pStyle w:val="Funotentext"/>
      </w:pPr>
      <w:r>
        <w:rPr>
          <w:rStyle w:val="Funotenzeichen"/>
        </w:rPr>
        <w:footnoteRef/>
      </w:r>
      <w:r>
        <w:t xml:space="preserve"> Siehe: </w:t>
      </w:r>
      <w:hyperlink r:id="rId1678" w:history="1">
        <w:r w:rsidRPr="001B0D55">
          <w:rPr>
            <w:rStyle w:val="Hyperlink"/>
          </w:rPr>
          <w:t>https://tron.trade.ec.europa.eu/investigations/case-history?caseId=2684</w:t>
        </w:r>
      </w:hyperlink>
      <w:r>
        <w:t xml:space="preserve"> – Zugegriffen: 13.04.2025.</w:t>
      </w:r>
    </w:p>
  </w:footnote>
  <w:footnote w:id="2264">
    <w:p w14:paraId="22629A7D" w14:textId="77777777" w:rsidR="002C057C" w:rsidRDefault="002C057C" w:rsidP="002C057C">
      <w:pPr>
        <w:pStyle w:val="Funotentext"/>
      </w:pPr>
      <w:r>
        <w:rPr>
          <w:rStyle w:val="Funotenzeichen"/>
        </w:rPr>
        <w:footnoteRef/>
      </w:r>
      <w:r>
        <w:t xml:space="preserve"> S. 228-229, siehe: </w:t>
      </w:r>
      <w:hyperlink r:id="rId1679" w:history="1">
        <w:r w:rsidRPr="001B0D55">
          <w:rPr>
            <w:rStyle w:val="Hyperlink"/>
          </w:rPr>
          <w:t>https://eur-lex.europa.eu/legal-content/EN/TXT/PDF/?uri=OJ:L_202402754</w:t>
        </w:r>
      </w:hyperlink>
      <w:r>
        <w:t xml:space="preserve"> – Zugegriffen: 13.04.2025. </w:t>
      </w:r>
    </w:p>
  </w:footnote>
  <w:footnote w:id="2265">
    <w:p w14:paraId="3BCD617C" w14:textId="77777777" w:rsidR="002C057C" w:rsidRDefault="002C057C" w:rsidP="002C057C">
      <w:pPr>
        <w:pStyle w:val="Funotentext"/>
      </w:pPr>
      <w:r>
        <w:rPr>
          <w:rStyle w:val="Funotenzeichen"/>
        </w:rPr>
        <w:footnoteRef/>
      </w:r>
      <w:r>
        <w:t xml:space="preserve"> Siehe Spiegel Online, 11.04.2025: </w:t>
      </w:r>
      <w:hyperlink r:id="rId1680" w:history="1">
        <w:r w:rsidRPr="001B0D55">
          <w:rPr>
            <w:rStyle w:val="Hyperlink"/>
          </w:rPr>
          <w:t>https://www.spiegel.de/wirtschaft/china-eu-und-peking-erwaegen-mindestpreis-fuer-elektroautos-aus-der-volksrepublik-a-622c5aee-4020-40bb-b9dc-85377af26ee1</w:t>
        </w:r>
      </w:hyperlink>
      <w:r>
        <w:t xml:space="preserve"> - Zugegriffen: 11.04.2025. </w:t>
      </w:r>
    </w:p>
  </w:footnote>
  <w:footnote w:id="2266">
    <w:p w14:paraId="14B56C52" w14:textId="7532B95E" w:rsidR="00FB6AB3" w:rsidRDefault="00FB6AB3">
      <w:pPr>
        <w:pStyle w:val="Funotentext"/>
      </w:pPr>
      <w:r>
        <w:rPr>
          <w:rStyle w:val="Funotenzeichen"/>
        </w:rPr>
        <w:footnoteRef/>
      </w:r>
      <w:r>
        <w:t xml:space="preserve"> BYD hat keine Angst vor EU-Untersuchungen. FAZ, 28.02.2024. </w:t>
      </w:r>
    </w:p>
  </w:footnote>
  <w:footnote w:id="2267">
    <w:p w14:paraId="03D19B16" w14:textId="5765429C" w:rsidR="00FB6AB3" w:rsidRDefault="00FB6AB3">
      <w:pPr>
        <w:pStyle w:val="Funotentext"/>
      </w:pPr>
      <w:r>
        <w:rPr>
          <w:rStyle w:val="Funotenzeichen"/>
        </w:rPr>
        <w:footnoteRef/>
      </w:r>
      <w:r>
        <w:t xml:space="preserve"> Siehe: </w:t>
      </w:r>
      <w:hyperlink r:id="rId1681" w:history="1">
        <w:r w:rsidRPr="00E66575">
          <w:rPr>
            <w:rStyle w:val="Hyperlink"/>
          </w:rPr>
          <w:t>https://www.tagesschau.de/wirtschaft/unternehmen/byd-tesla-europa-100.html</w:t>
        </w:r>
      </w:hyperlink>
      <w:r>
        <w:t xml:space="preserve"> - Zugegriffen: 06.07.2025. </w:t>
      </w:r>
    </w:p>
  </w:footnote>
  <w:footnote w:id="2268">
    <w:p w14:paraId="55AF68D0" w14:textId="77777777" w:rsidR="009E317F" w:rsidRDefault="009E317F" w:rsidP="009E317F">
      <w:pPr>
        <w:pStyle w:val="Funotentext"/>
      </w:pPr>
      <w:r>
        <w:rPr>
          <w:rStyle w:val="Funotenzeichen"/>
        </w:rPr>
        <w:footnoteRef/>
      </w:r>
      <w:r>
        <w:t xml:space="preserve"> Siehe: Geladen </w:t>
      </w:r>
      <w:proofErr w:type="spellStart"/>
      <w:r>
        <w:t>Battteriepodcast</w:t>
      </w:r>
      <w:proofErr w:type="spellEnd"/>
      <w:r>
        <w:t>, 29.06.2025. D</w:t>
      </w:r>
      <w:r w:rsidRPr="0081366C">
        <w:t>eutschlands Chance: Wasserstoff-Technik "Made in Germany" - Prof. Markus Hölzle &amp; Dr. David Wenger</w:t>
      </w:r>
      <w:r>
        <w:t xml:space="preserve">. Siehe: </w:t>
      </w:r>
      <w:hyperlink r:id="rId1682" w:history="1">
        <w:r w:rsidRPr="009C6F34">
          <w:rPr>
            <w:rStyle w:val="Hyperlink"/>
          </w:rPr>
          <w:t>https://www.youtube.com/watch?v=YGVlD7PAaIY</w:t>
        </w:r>
      </w:hyperlink>
      <w:r>
        <w:t xml:space="preserve"> – Zugegriffen: 29.06.2025.</w:t>
      </w:r>
    </w:p>
  </w:footnote>
  <w:footnote w:id="2269">
    <w:p w14:paraId="152D853C" w14:textId="77777777" w:rsidR="002C057C" w:rsidRDefault="002C057C" w:rsidP="002C057C">
      <w:pPr>
        <w:pStyle w:val="Funotentext"/>
      </w:pPr>
      <w:r>
        <w:rPr>
          <w:rStyle w:val="Funotenzeichen"/>
        </w:rPr>
        <w:footnoteRef/>
      </w:r>
      <w:r>
        <w:t xml:space="preserve"> Siehe: </w:t>
      </w:r>
      <w:hyperlink r:id="rId1683" w:history="1">
        <w:r w:rsidRPr="00C82A68">
          <w:rPr>
            <w:rStyle w:val="Hyperlink"/>
          </w:rPr>
          <w:t>https://sunfire.de/de/news/sunfire-vollzieht-markteintritt-in-spanien-mit-neuem-elektrolyse-projekt/</w:t>
        </w:r>
      </w:hyperlink>
      <w:r>
        <w:t xml:space="preserve"> - Zugegriffen: 30.04.2025. </w:t>
      </w:r>
    </w:p>
  </w:footnote>
  <w:footnote w:id="2270">
    <w:p w14:paraId="0E5CF9A9" w14:textId="77777777" w:rsidR="002C057C" w:rsidRDefault="002C057C" w:rsidP="002C057C">
      <w:pPr>
        <w:pStyle w:val="Funotentext"/>
      </w:pPr>
      <w:r>
        <w:rPr>
          <w:rStyle w:val="Funotenzeichen"/>
        </w:rPr>
        <w:footnoteRef/>
      </w:r>
      <w:r>
        <w:t xml:space="preserve"> Beteiligt sind die C</w:t>
      </w:r>
      <w:r w:rsidRPr="00942FCB">
        <w:t>ommerzbank</w:t>
      </w:r>
      <w:r>
        <w:t xml:space="preserve">, </w:t>
      </w:r>
      <w:r w:rsidRPr="00942FCB">
        <w:t>die Société Générale, die BNP Paribas, die LBBW und die Ostsächsische Sparkasse Dresden.</w:t>
      </w:r>
      <w:r>
        <w:t xml:space="preserve"> Siehe: </w:t>
      </w:r>
      <w:hyperlink r:id="rId1684" w:history="1">
        <w:r w:rsidRPr="00C82A68">
          <w:rPr>
            <w:rStyle w:val="Hyperlink"/>
          </w:rPr>
          <w:t>https://sunfire.de/de/news/sunfire-sichert-sich-avalfinanzierung-ueber-200-millionen-euro/</w:t>
        </w:r>
      </w:hyperlink>
      <w:r>
        <w:t xml:space="preserve"> - Zugegriffen: 30.04.2025. </w:t>
      </w:r>
    </w:p>
  </w:footnote>
  <w:footnote w:id="2271">
    <w:p w14:paraId="1FE277FA" w14:textId="77777777" w:rsidR="002C057C" w:rsidRDefault="002C057C" w:rsidP="002C057C">
      <w:pPr>
        <w:pStyle w:val="Funotentext"/>
      </w:pPr>
      <w:r>
        <w:rPr>
          <w:rStyle w:val="Funotenzeichen"/>
        </w:rPr>
        <w:footnoteRef/>
      </w:r>
      <w:r>
        <w:t xml:space="preserve"> Siehe den grafischen Plan in: </w:t>
      </w:r>
      <w:hyperlink r:id="rId1685" w:history="1">
        <w:r w:rsidRPr="000E5AD9">
          <w:rPr>
            <w:rStyle w:val="Hyperlink"/>
          </w:rPr>
          <w:t>https://www.basf.com/global/de/who-we-are/organization/locations/europe/german-sites/Schwarzheide/our-motivation/sustainability/chEErs</w:t>
        </w:r>
      </w:hyperlink>
      <w:r>
        <w:t xml:space="preserve"> - Zugegriffen: 01.01.2025.</w:t>
      </w:r>
    </w:p>
  </w:footnote>
  <w:footnote w:id="2272">
    <w:p w14:paraId="7A2243F5" w14:textId="46266C3C" w:rsidR="004D0B86" w:rsidRDefault="004D0B86" w:rsidP="004D0B86">
      <w:pPr>
        <w:pStyle w:val="Funotentext"/>
      </w:pPr>
      <w:r>
        <w:rPr>
          <w:rStyle w:val="Funotenzeichen"/>
        </w:rPr>
        <w:footnoteRef/>
      </w:r>
      <w:r>
        <w:t xml:space="preserve"> </w:t>
      </w:r>
      <w:r w:rsidRPr="00130912">
        <w:t xml:space="preserve">Am 17.03.2025 tut sich was, in Ludwigshafen wird ein 54 Megawatt Elektrolyseur in Betrieb genommen, Jahreskapazität bis zu 8000 Tonnen Wasserstoff. Es ist ein </w:t>
      </w:r>
      <w:proofErr w:type="gramStart"/>
      <w:r w:rsidRPr="00130912">
        <w:t>PEM Elektrolyseur</w:t>
      </w:r>
      <w:proofErr w:type="gramEnd"/>
      <w:r w:rsidRPr="00130912">
        <w:t xml:space="preserve"> von Siemens, mit 72 Stacks</w:t>
      </w:r>
      <w:r>
        <w:t xml:space="preserve">. Siehe: </w:t>
      </w:r>
      <w:hyperlink r:id="rId1686" w:history="1">
        <w:r w:rsidRPr="00011C1B">
          <w:rPr>
            <w:rStyle w:val="Hyperlink"/>
          </w:rPr>
          <w:t>https://www.basf.com/global/de/media/news-releases/2025/03/p-25-046</w:t>
        </w:r>
      </w:hyperlink>
      <w:r>
        <w:t xml:space="preserve"> - Zugegriffen: 15.05.2025. </w:t>
      </w:r>
      <w:r w:rsidR="00FA3867">
        <w:t xml:space="preserve">Siehe zu Schwarzheide z.B. hier: </w:t>
      </w:r>
      <w:hyperlink r:id="rId1687" w:history="1">
        <w:r w:rsidR="00FA3867" w:rsidRPr="00C14A4B">
          <w:rPr>
            <w:rStyle w:val="Hyperlink"/>
          </w:rPr>
          <w:t>https://www.basf.com/global/de/who-we-are/organization/locations/europe/german-sites/Schwarzheide/our-motivation/sustainability/chEErs</w:t>
        </w:r>
      </w:hyperlink>
      <w:r w:rsidR="00FA3867">
        <w:t xml:space="preserve"> - Zugegriffen: 15.06.2025. </w:t>
      </w:r>
    </w:p>
  </w:footnote>
  <w:footnote w:id="2273">
    <w:p w14:paraId="3D4847EB" w14:textId="28844918" w:rsidR="000533D3" w:rsidRPr="000533D3" w:rsidRDefault="000533D3">
      <w:pPr>
        <w:pStyle w:val="Funotentext"/>
      </w:pPr>
      <w:r>
        <w:rPr>
          <w:rStyle w:val="Funotenzeichen"/>
        </w:rPr>
        <w:footnoteRef/>
      </w:r>
      <w:r w:rsidRPr="000533D3">
        <w:t xml:space="preserve"> </w:t>
      </w:r>
      <w:r>
        <w:t xml:space="preserve">Siehe: </w:t>
      </w:r>
      <w:hyperlink r:id="rId1688" w:history="1">
        <w:r w:rsidRPr="003169D5">
          <w:rPr>
            <w:rStyle w:val="Hyperlink"/>
          </w:rPr>
          <w:t>https://www.stmwi.bayern.de/foerderungen/elektrolyseurinfrastruktur/</w:t>
        </w:r>
      </w:hyperlink>
      <w:r>
        <w:t xml:space="preserve"> - Zugegriffen: 04.07.2025. </w:t>
      </w:r>
    </w:p>
  </w:footnote>
  <w:footnote w:id="2274">
    <w:p w14:paraId="07B38E79" w14:textId="73B24E41" w:rsidR="000533D3" w:rsidRPr="000533D3" w:rsidRDefault="000533D3">
      <w:pPr>
        <w:pStyle w:val="Funotentext"/>
      </w:pPr>
      <w:r>
        <w:rPr>
          <w:rStyle w:val="Funotenzeichen"/>
        </w:rPr>
        <w:footnoteRef/>
      </w:r>
      <w:r w:rsidRPr="000533D3">
        <w:t xml:space="preserve"> Siehe: </w:t>
      </w:r>
      <w:hyperlink r:id="rId1689" w:history="1">
        <w:r w:rsidRPr="003169D5">
          <w:rPr>
            <w:rStyle w:val="Hyperlink"/>
          </w:rPr>
          <w:t>https://um.baden-wuerttemberg.de/de/presse-service/foerderprogramme/energie/foerderprogramm-elektrolyseure</w:t>
        </w:r>
      </w:hyperlink>
      <w:r>
        <w:t xml:space="preserve"> - Zugegriffen: 04.07.2025. </w:t>
      </w:r>
    </w:p>
  </w:footnote>
  <w:footnote w:id="2275">
    <w:p w14:paraId="4FF861D2" w14:textId="3B27513E" w:rsidR="00F55258" w:rsidRPr="00F55258" w:rsidRDefault="00F55258">
      <w:pPr>
        <w:pStyle w:val="Funotentext"/>
      </w:pPr>
      <w:r>
        <w:rPr>
          <w:rStyle w:val="Funotenzeichen"/>
        </w:rPr>
        <w:footnoteRef/>
      </w:r>
      <w:r w:rsidRPr="00F55258">
        <w:t xml:space="preserve"> Siehe: </w:t>
      </w:r>
      <w:hyperlink r:id="rId1690" w:history="1">
        <w:r w:rsidRPr="00F55258">
          <w:rPr>
            <w:rStyle w:val="Hyperlink"/>
          </w:rPr>
          <w:t>https://h2berlin.org/</w:t>
        </w:r>
      </w:hyperlink>
      <w:r w:rsidRPr="00F55258">
        <w:t xml:space="preserve"> - Z</w:t>
      </w:r>
      <w:r>
        <w:t xml:space="preserve">ugegriffen: 04.07.2025. </w:t>
      </w:r>
    </w:p>
  </w:footnote>
  <w:footnote w:id="2276">
    <w:p w14:paraId="3212EE3C" w14:textId="3974D247" w:rsidR="00F55258" w:rsidRPr="00F55258" w:rsidRDefault="00F55258">
      <w:pPr>
        <w:pStyle w:val="Funotentext"/>
      </w:pPr>
      <w:r>
        <w:rPr>
          <w:rStyle w:val="Funotenzeichen"/>
        </w:rPr>
        <w:footnoteRef/>
      </w:r>
      <w:r w:rsidRPr="00F55258">
        <w:t xml:space="preserve"> Siehe: </w:t>
      </w:r>
      <w:hyperlink r:id="rId1691" w:history="1">
        <w:r w:rsidRPr="003169D5">
          <w:rPr>
            <w:rStyle w:val="Hyperlink"/>
          </w:rPr>
          <w:t>https://www.foerderdatenbank.de/FDB/Content/DE/Foerderprogramm/Bund/BMVI/nip-ii-nachhaltige-mobilitaet.html</w:t>
        </w:r>
      </w:hyperlink>
      <w:r>
        <w:t xml:space="preserve"> - Zugegriffen: 04.07.2025. </w:t>
      </w:r>
    </w:p>
  </w:footnote>
  <w:footnote w:id="2277">
    <w:p w14:paraId="4E217268" w14:textId="77777777" w:rsidR="002C057C" w:rsidRDefault="002C057C" w:rsidP="002C057C">
      <w:pPr>
        <w:pStyle w:val="Funotentext"/>
      </w:pPr>
      <w:r>
        <w:rPr>
          <w:rStyle w:val="Funotenzeichen"/>
        </w:rPr>
        <w:footnoteRef/>
      </w:r>
      <w:r w:rsidRPr="00FA3867">
        <w:rPr>
          <w:lang w:val="en-GB"/>
        </w:rPr>
        <w:t xml:space="preserve"> NZIA Staff Working Document 2023, </w:t>
      </w:r>
      <w:proofErr w:type="spellStart"/>
      <w:r w:rsidRPr="00FA3867">
        <w:rPr>
          <w:lang w:val="en-GB"/>
        </w:rPr>
        <w:t>siehe</w:t>
      </w:r>
      <w:proofErr w:type="spellEnd"/>
      <w:r w:rsidRPr="00FA3867">
        <w:rPr>
          <w:lang w:val="en-GB"/>
        </w:rPr>
        <w:t xml:space="preserve">: SWD (2023) 68 final. </w:t>
      </w:r>
      <w:r w:rsidRPr="00292598">
        <w:t xml:space="preserve">Siehe: </w:t>
      </w:r>
      <w:hyperlink r:id="rId1692" w:history="1">
        <w:r w:rsidRPr="00292598">
          <w:rPr>
            <w:rStyle w:val="Hyperlink"/>
          </w:rPr>
          <w:t>https://single-market-economy.ec.europa.eu/system/files/2023-03/SWD_2023_68_F1_STAFF_WORKING_PAPER_EN_V4_P1_2629849.PDF</w:t>
        </w:r>
      </w:hyperlink>
      <w:r w:rsidRPr="00292598">
        <w:t xml:space="preserve"> - Zugegriffen: 29.12.2023.</w:t>
      </w:r>
    </w:p>
  </w:footnote>
  <w:footnote w:id="2278">
    <w:p w14:paraId="02A2502E" w14:textId="77777777" w:rsidR="004D0B86" w:rsidRPr="004D0B86" w:rsidRDefault="004D0B86" w:rsidP="004D0B86">
      <w:pPr>
        <w:pStyle w:val="Funotentext"/>
      </w:pPr>
      <w:r>
        <w:rPr>
          <w:rStyle w:val="Funotenzeichen"/>
        </w:rPr>
        <w:footnoteRef/>
      </w:r>
      <w:r w:rsidRPr="004D0B86">
        <w:t xml:space="preserve"> Gielen/Lyons 2022: 36.</w:t>
      </w:r>
    </w:p>
  </w:footnote>
  <w:footnote w:id="2279">
    <w:p w14:paraId="742EEFA5" w14:textId="77777777" w:rsidR="002C057C" w:rsidRPr="00EC491C" w:rsidRDefault="002C057C" w:rsidP="002C057C">
      <w:pPr>
        <w:pStyle w:val="Funotentext"/>
      </w:pPr>
      <w:r>
        <w:rPr>
          <w:rStyle w:val="Funotenzeichen"/>
        </w:rPr>
        <w:footnoteRef/>
      </w:r>
      <w:r w:rsidRPr="00EC491C">
        <w:t xml:space="preserve"> Siehe: </w:t>
      </w:r>
      <w:hyperlink r:id="rId1693" w:history="1">
        <w:r w:rsidRPr="00EC491C">
          <w:rPr>
            <w:rStyle w:val="Hyperlink"/>
          </w:rPr>
          <w:t>https://www.norsk-e-fuel.com/</w:t>
        </w:r>
      </w:hyperlink>
      <w:r w:rsidRPr="00EC491C">
        <w:t xml:space="preserve"> </w:t>
      </w:r>
    </w:p>
  </w:footnote>
  <w:footnote w:id="2280">
    <w:p w14:paraId="47AC9469" w14:textId="77777777" w:rsidR="002C057C" w:rsidRDefault="002C057C" w:rsidP="002C057C">
      <w:pPr>
        <w:pStyle w:val="Funotentext"/>
      </w:pPr>
      <w:r>
        <w:rPr>
          <w:rStyle w:val="Funotenzeichen"/>
        </w:rPr>
        <w:footnoteRef/>
      </w:r>
      <w:r>
        <w:t xml:space="preserve"> Siehe: </w:t>
      </w:r>
      <w:hyperlink r:id="rId1694" w:history="1">
        <w:r w:rsidRPr="001E3B31">
          <w:rPr>
            <w:rStyle w:val="Hyperlink"/>
          </w:rPr>
          <w:t>https://www.sms-group.com/de-de/insights/all-insights/from-iron-to-e-fuels-diversifying-into-the-hydrogen-industry</w:t>
        </w:r>
      </w:hyperlink>
      <w:r>
        <w:t xml:space="preserve"> - Zugegriffen: 09.09.2024. </w:t>
      </w:r>
    </w:p>
  </w:footnote>
  <w:footnote w:id="2281">
    <w:p w14:paraId="42C66992" w14:textId="77777777" w:rsidR="002C057C" w:rsidRPr="00387905" w:rsidRDefault="002C057C" w:rsidP="002C057C">
      <w:pPr>
        <w:pStyle w:val="Funotentext"/>
        <w:rPr>
          <w:lang w:val="en-GB"/>
        </w:rPr>
      </w:pPr>
      <w:r>
        <w:rPr>
          <w:rStyle w:val="Funotenzeichen"/>
        </w:rPr>
        <w:footnoteRef/>
      </w:r>
      <w:r w:rsidRPr="00387905">
        <w:rPr>
          <w:lang w:val="en-GB"/>
        </w:rPr>
        <w:t xml:space="preserve"> </w:t>
      </w:r>
      <w:proofErr w:type="spellStart"/>
      <w:r w:rsidRPr="00387905">
        <w:rPr>
          <w:lang w:val="en-GB"/>
        </w:rPr>
        <w:t>Siehe</w:t>
      </w:r>
      <w:proofErr w:type="spellEnd"/>
      <w:r w:rsidRPr="00387905">
        <w:rPr>
          <w:lang w:val="en-GB"/>
        </w:rPr>
        <w:t xml:space="preserve"> </w:t>
      </w:r>
      <w:proofErr w:type="spellStart"/>
      <w:r w:rsidRPr="00387905">
        <w:rPr>
          <w:lang w:val="en-GB"/>
        </w:rPr>
        <w:t>z.B.</w:t>
      </w:r>
      <w:proofErr w:type="spellEnd"/>
      <w:r w:rsidRPr="00387905">
        <w:rPr>
          <w:lang w:val="en-GB"/>
        </w:rPr>
        <w:t xml:space="preserve"> CATL </w:t>
      </w:r>
      <w:proofErr w:type="spellStart"/>
      <w:r w:rsidRPr="00387905">
        <w:rPr>
          <w:lang w:val="en-GB"/>
        </w:rPr>
        <w:t>Pressemitteilung</w:t>
      </w:r>
      <w:proofErr w:type="spellEnd"/>
      <w:r>
        <w:rPr>
          <w:lang w:val="en-GB"/>
        </w:rPr>
        <w:t>:</w:t>
      </w:r>
      <w:r w:rsidRPr="00387905">
        <w:rPr>
          <w:lang w:val="en-GB"/>
        </w:rPr>
        <w:t xml:space="preserve"> CATL becomes </w:t>
      </w:r>
      <w:proofErr w:type="gramStart"/>
      <w:r w:rsidRPr="00387905">
        <w:rPr>
          <w:lang w:val="en-GB"/>
        </w:rPr>
        <w:t>world's</w:t>
      </w:r>
      <w:proofErr w:type="gramEnd"/>
      <w:r w:rsidRPr="00387905">
        <w:rPr>
          <w:lang w:val="en-GB"/>
        </w:rPr>
        <w:t xml:space="preserve"> first battery manufacturer receiving certification from Volkswagen for module testing</w:t>
      </w:r>
      <w:r>
        <w:rPr>
          <w:lang w:val="en-GB"/>
        </w:rPr>
        <w:t>,</w:t>
      </w:r>
      <w:r w:rsidRPr="00387905">
        <w:rPr>
          <w:lang w:val="en-GB"/>
        </w:rPr>
        <w:t xml:space="preserve"> 11.04.2024: </w:t>
      </w:r>
      <w:hyperlink r:id="rId1695" w:history="1">
        <w:r w:rsidRPr="00387905">
          <w:rPr>
            <w:rStyle w:val="Hyperlink"/>
            <w:lang w:val="en-GB"/>
          </w:rPr>
          <w:t>https://www.catl.com/en/news/6237.html</w:t>
        </w:r>
      </w:hyperlink>
      <w:r w:rsidRPr="00387905">
        <w:rPr>
          <w:lang w:val="en-GB"/>
        </w:rPr>
        <w:t xml:space="preserve"> - </w:t>
      </w:r>
      <w:proofErr w:type="spellStart"/>
      <w:r w:rsidRPr="00387905">
        <w:rPr>
          <w:lang w:val="en-GB"/>
        </w:rPr>
        <w:t>Zugegriffen</w:t>
      </w:r>
      <w:proofErr w:type="spellEnd"/>
      <w:r w:rsidRPr="00387905">
        <w:rPr>
          <w:lang w:val="en-GB"/>
        </w:rPr>
        <w:t xml:space="preserve">: 09.04.2025. </w:t>
      </w:r>
    </w:p>
  </w:footnote>
  <w:footnote w:id="2282">
    <w:p w14:paraId="50CCCF51" w14:textId="77777777" w:rsidR="002C057C" w:rsidRPr="00387905" w:rsidRDefault="002C057C" w:rsidP="002C057C">
      <w:pPr>
        <w:pStyle w:val="Funotentext"/>
      </w:pPr>
      <w:r>
        <w:rPr>
          <w:rStyle w:val="Funotenzeichen"/>
        </w:rPr>
        <w:footnoteRef/>
      </w:r>
      <w:r w:rsidRPr="00387905">
        <w:t xml:space="preserve"> Siehe: </w:t>
      </w:r>
      <w:hyperlink r:id="rId1696" w:history="1">
        <w:r w:rsidRPr="00A77BA6">
          <w:rPr>
            <w:rStyle w:val="Hyperlink"/>
          </w:rPr>
          <w:t>https://www.automobilwoche.de/autohersteller/kooperation-vw-und-catl-wollen-gunstige-batterien-entwickeln</w:t>
        </w:r>
      </w:hyperlink>
      <w:r>
        <w:t xml:space="preserve"> - Zugegriffen: 09.04.2025. </w:t>
      </w:r>
    </w:p>
  </w:footnote>
  <w:footnote w:id="2283">
    <w:p w14:paraId="5C3A48FD" w14:textId="77777777" w:rsidR="002C057C" w:rsidRDefault="002C057C" w:rsidP="002C057C">
      <w:pPr>
        <w:pStyle w:val="Funotentext"/>
      </w:pPr>
      <w:r>
        <w:rPr>
          <w:rStyle w:val="Funotenzeichen"/>
        </w:rPr>
        <w:footnoteRef/>
      </w:r>
      <w:r>
        <w:t xml:space="preserve"> Siehe: </w:t>
      </w:r>
      <w:hyperlink r:id="rId1697" w:history="1">
        <w:r w:rsidRPr="00A77BA6">
          <w:rPr>
            <w:rStyle w:val="Hyperlink"/>
          </w:rPr>
          <w:t>https://www.volkswagen-newsroom.com/de/volkswagen-group-china-5897</w:t>
        </w:r>
      </w:hyperlink>
      <w:r>
        <w:t xml:space="preserve"> - Zugegriffen: 09.04.2025. </w:t>
      </w:r>
    </w:p>
  </w:footnote>
  <w:footnote w:id="2284">
    <w:p w14:paraId="430F07B3" w14:textId="77777777" w:rsidR="002C057C" w:rsidRDefault="002C057C" w:rsidP="002C057C">
      <w:pPr>
        <w:pStyle w:val="Funotentext"/>
      </w:pPr>
      <w:r>
        <w:rPr>
          <w:rStyle w:val="Funotenzeichen"/>
        </w:rPr>
        <w:footnoteRef/>
      </w:r>
      <w:r>
        <w:t xml:space="preserve"> Siehe: </w:t>
      </w:r>
      <w:hyperlink r:id="rId1698" w:history="1">
        <w:r w:rsidRPr="00A77BA6">
          <w:rPr>
            <w:rStyle w:val="Hyperlink"/>
          </w:rPr>
          <w:t>https://www.automobil-produktion.de/produktion/batteriestrategien-chinesischer-player-in-europa-104.html</w:t>
        </w:r>
      </w:hyperlink>
      <w:r>
        <w:t xml:space="preserve"> - Zugegriffen: 09.04.2025.</w:t>
      </w:r>
    </w:p>
  </w:footnote>
  <w:footnote w:id="2285">
    <w:p w14:paraId="32A7262F" w14:textId="77777777" w:rsidR="002C057C" w:rsidRDefault="002C057C" w:rsidP="002C057C">
      <w:pPr>
        <w:pStyle w:val="Funotentext"/>
      </w:pPr>
      <w:r>
        <w:rPr>
          <w:rStyle w:val="Funotenzeichen"/>
        </w:rPr>
        <w:footnoteRef/>
      </w:r>
      <w:r>
        <w:t xml:space="preserve"> Siehe: </w:t>
      </w:r>
      <w:hyperlink r:id="rId1699" w:history="1">
        <w:r w:rsidRPr="00A77BA6">
          <w:rPr>
            <w:rStyle w:val="Hyperlink"/>
          </w:rPr>
          <w:t>https://www.volkswagen-group.com/de/pressemitteilungen/volkswagen-konzern-und-gotion-high-tech-gehen-industrialisierung-von-batteriezellfertigung-in-deutschland-gemeinsam-an-16771</w:t>
        </w:r>
      </w:hyperlink>
      <w:r>
        <w:t xml:space="preserve"> - Zugegriffen: 09.04.2025. </w:t>
      </w:r>
    </w:p>
  </w:footnote>
  <w:footnote w:id="2286">
    <w:p w14:paraId="5170AFD7" w14:textId="77777777" w:rsidR="002C057C" w:rsidRDefault="002C057C" w:rsidP="002C057C">
      <w:pPr>
        <w:pStyle w:val="Funotentext"/>
      </w:pPr>
      <w:r>
        <w:rPr>
          <w:rStyle w:val="Funotenzeichen"/>
        </w:rPr>
        <w:footnoteRef/>
      </w:r>
      <w:r>
        <w:t xml:space="preserve"> Siehe: </w:t>
      </w:r>
      <w:hyperlink r:id="rId1700" w:history="1">
        <w:r w:rsidRPr="00A77BA6">
          <w:rPr>
            <w:rStyle w:val="Hyperlink"/>
          </w:rPr>
          <w:t>https://www.tagesschau.de/wirtschaft/unternehmen/northvolt-insolvenz-schweden-100.html</w:t>
        </w:r>
      </w:hyperlink>
      <w:r>
        <w:t xml:space="preserve"> - Zugegriffen: 09.04.2025. </w:t>
      </w:r>
    </w:p>
  </w:footnote>
  <w:footnote w:id="2287">
    <w:p w14:paraId="6B16B1FB" w14:textId="77777777" w:rsidR="002C057C" w:rsidRDefault="002C057C" w:rsidP="002C057C">
      <w:pPr>
        <w:pStyle w:val="Funotentext"/>
      </w:pPr>
      <w:r>
        <w:rPr>
          <w:rStyle w:val="Funotenzeichen"/>
        </w:rPr>
        <w:footnoteRef/>
      </w:r>
      <w:r>
        <w:t xml:space="preserve"> Siehe: </w:t>
      </w:r>
      <w:hyperlink r:id="rId1701" w:history="1">
        <w:r w:rsidRPr="00A77BA6">
          <w:rPr>
            <w:rStyle w:val="Hyperlink"/>
          </w:rPr>
          <w:t>https://technode.com/2023/09/18/chinese-battery-maker-gotion-begins-production-at-first-eu-factory/</w:t>
        </w:r>
      </w:hyperlink>
      <w:r>
        <w:t xml:space="preserve"> - Zugegriffen: 09.04.2025. </w:t>
      </w:r>
    </w:p>
  </w:footnote>
  <w:footnote w:id="2288">
    <w:p w14:paraId="60B6D315" w14:textId="77777777" w:rsidR="002C057C" w:rsidRDefault="002C057C" w:rsidP="002C057C">
      <w:pPr>
        <w:pStyle w:val="Funotentext"/>
      </w:pPr>
      <w:r>
        <w:rPr>
          <w:rStyle w:val="Funotenzeichen"/>
        </w:rPr>
        <w:footnoteRef/>
      </w:r>
      <w:r>
        <w:t xml:space="preserve"> Siehe: </w:t>
      </w:r>
      <w:hyperlink r:id="rId1702" w:history="1">
        <w:r w:rsidRPr="00A77BA6">
          <w:rPr>
            <w:rStyle w:val="Hyperlink"/>
          </w:rPr>
          <w:t>https://www.automobil-produktion.de/produktion/batteriestrategien-chinesischer-player-in-europa-104.html</w:t>
        </w:r>
      </w:hyperlink>
      <w:r>
        <w:t xml:space="preserve"> - Zugegriffen: 09.04.2025. </w:t>
      </w:r>
    </w:p>
  </w:footnote>
  <w:footnote w:id="2289">
    <w:p w14:paraId="60CCB1DB" w14:textId="77777777" w:rsidR="002C057C" w:rsidRDefault="002C057C" w:rsidP="002C057C">
      <w:pPr>
        <w:pStyle w:val="Funotentext"/>
      </w:pPr>
      <w:r>
        <w:rPr>
          <w:rStyle w:val="Funotenzeichen"/>
        </w:rPr>
        <w:footnoteRef/>
      </w:r>
      <w:r>
        <w:t xml:space="preserve"> Siehe: </w:t>
      </w:r>
      <w:hyperlink r:id="rId1703" w:history="1">
        <w:r w:rsidRPr="0067116F">
          <w:rPr>
            <w:rStyle w:val="Hyperlink"/>
          </w:rPr>
          <w:t>https://nelhydrogen.com/wp-content/uploads/2024/10/Q3-presentation-2024-for-publication.pdf</w:t>
        </w:r>
      </w:hyperlink>
      <w:r>
        <w:t xml:space="preserve"> - Zugegriffen: 07.01.2025. </w:t>
      </w:r>
    </w:p>
  </w:footnote>
  <w:footnote w:id="2290">
    <w:p w14:paraId="27D0079C" w14:textId="77777777" w:rsidR="002C057C" w:rsidRDefault="002C057C" w:rsidP="002C057C">
      <w:pPr>
        <w:pStyle w:val="Funotentext"/>
      </w:pPr>
      <w:r>
        <w:rPr>
          <w:rStyle w:val="Funotenzeichen"/>
        </w:rPr>
        <w:footnoteRef/>
      </w:r>
      <w:r>
        <w:t xml:space="preserve"> Siehe: </w:t>
      </w:r>
      <w:hyperlink r:id="rId1704" w:history="1">
        <w:r w:rsidRPr="00AF3F48">
          <w:rPr>
            <w:rStyle w:val="Hyperlink"/>
          </w:rPr>
          <w:t>https://handelskammer.blog/enova-investitionshilfen/</w:t>
        </w:r>
      </w:hyperlink>
      <w:r>
        <w:t xml:space="preserve"> - Zugegriffen: 23.03.2025.</w:t>
      </w:r>
    </w:p>
  </w:footnote>
  <w:footnote w:id="2291">
    <w:p w14:paraId="72C0B878" w14:textId="77777777" w:rsidR="002C057C" w:rsidRDefault="002C057C" w:rsidP="002C057C">
      <w:pPr>
        <w:pStyle w:val="Funotentext"/>
      </w:pPr>
      <w:r>
        <w:rPr>
          <w:rStyle w:val="Funotenzeichen"/>
        </w:rPr>
        <w:footnoteRef/>
      </w:r>
      <w:r>
        <w:t xml:space="preserve"> Siehe: </w:t>
      </w:r>
      <w:hyperlink r:id="rId1705" w:history="1">
        <w:r w:rsidRPr="0067116F">
          <w:rPr>
            <w:rStyle w:val="Hyperlink"/>
          </w:rPr>
          <w:t>https://nelhydrogen.com/wp-content/uploads/2024/10/Q3-presentation-2024-for-publication.pdf</w:t>
        </w:r>
      </w:hyperlink>
      <w:r>
        <w:t xml:space="preserve"> - Zugegriffen: 07.01.2025. </w:t>
      </w:r>
    </w:p>
  </w:footnote>
  <w:footnote w:id="2292">
    <w:p w14:paraId="6671DAC3" w14:textId="77777777" w:rsidR="002C057C" w:rsidRDefault="002C057C" w:rsidP="002C057C">
      <w:pPr>
        <w:pStyle w:val="Funotentext"/>
      </w:pPr>
      <w:r>
        <w:rPr>
          <w:rStyle w:val="Funotenzeichen"/>
        </w:rPr>
        <w:footnoteRef/>
      </w:r>
      <w:r>
        <w:t xml:space="preserve"> </w:t>
      </w:r>
      <w:proofErr w:type="gramStart"/>
      <w:r w:rsidRPr="0053611C">
        <w:t>BMWK Leitmärkte</w:t>
      </w:r>
      <w:proofErr w:type="gramEnd"/>
      <w:r w:rsidRPr="0053611C">
        <w:t xml:space="preserve"> für klimafreundliche Grundstoffe 2024: </w:t>
      </w:r>
      <w:proofErr w:type="gramStart"/>
      <w:r w:rsidRPr="0053611C">
        <w:t>BMWK Leitmärkte</w:t>
      </w:r>
      <w:proofErr w:type="gramEnd"/>
      <w:r w:rsidRPr="0053611C">
        <w:t xml:space="preserve"> für klimafreundliche Rohstoffe, BMWK Mai 2024, siehe: </w:t>
      </w:r>
      <w:hyperlink r:id="rId1706" w:history="1">
        <w:r w:rsidRPr="0053611C">
          <w:rPr>
            <w:rStyle w:val="Hyperlink"/>
          </w:rPr>
          <w:t>https://www.bmwk.de/Redaktion/DE/Publikationen/Klimaschutz/leitmaerkte-fuer-klimafreundliche-grundstoffe.html</w:t>
        </w:r>
      </w:hyperlink>
      <w:r w:rsidRPr="0053611C">
        <w:t xml:space="preserve"> - Zugegriffen: 30.04.2025</w:t>
      </w:r>
    </w:p>
  </w:footnote>
  <w:footnote w:id="2293">
    <w:p w14:paraId="38E25EC1" w14:textId="77777777" w:rsidR="002C057C" w:rsidRDefault="002C057C" w:rsidP="002C057C">
      <w:pPr>
        <w:pStyle w:val="Funotentext"/>
      </w:pPr>
      <w:r>
        <w:rPr>
          <w:rStyle w:val="Funotenzeichen"/>
        </w:rPr>
        <w:footnoteRef/>
      </w:r>
      <w:r>
        <w:t xml:space="preserve"> </w:t>
      </w:r>
      <w:proofErr w:type="gramStart"/>
      <w:r>
        <w:t>BMWK Leitmärkte</w:t>
      </w:r>
      <w:proofErr w:type="gramEnd"/>
      <w:r>
        <w:t xml:space="preserve"> für klimafreundliche Grundstoffe 2024: 37. </w:t>
      </w:r>
    </w:p>
  </w:footnote>
  <w:footnote w:id="2294">
    <w:p w14:paraId="3C4511FE" w14:textId="77777777" w:rsidR="0077087C" w:rsidRDefault="0077087C" w:rsidP="0077087C">
      <w:pPr>
        <w:pStyle w:val="Funotentext"/>
      </w:pPr>
      <w:r>
        <w:rPr>
          <w:rStyle w:val="Funotenzeichen"/>
        </w:rPr>
        <w:footnoteRef/>
      </w:r>
      <w:r>
        <w:t xml:space="preserve"> </w:t>
      </w:r>
      <w:proofErr w:type="gramStart"/>
      <w:r>
        <w:t>BMWK Leitmärkte</w:t>
      </w:r>
      <w:proofErr w:type="gramEnd"/>
      <w:r>
        <w:t xml:space="preserve"> für klimafreundliche Grundstoffe 2024: 15.</w:t>
      </w:r>
    </w:p>
  </w:footnote>
  <w:footnote w:id="2295">
    <w:p w14:paraId="40D0171D" w14:textId="77777777" w:rsidR="0077087C" w:rsidRDefault="0077087C" w:rsidP="0077087C">
      <w:pPr>
        <w:pStyle w:val="Funotentext"/>
      </w:pPr>
      <w:r>
        <w:rPr>
          <w:rStyle w:val="Funotenzeichen"/>
        </w:rPr>
        <w:footnoteRef/>
      </w:r>
      <w:r>
        <w:t xml:space="preserve"> Siehe: </w:t>
      </w:r>
      <w:hyperlink r:id="rId1707" w:history="1">
        <w:r w:rsidRPr="00B608C2">
          <w:rPr>
            <w:rStyle w:val="Hyperlink"/>
          </w:rPr>
          <w:t>https://lowemissionsteelstandard.org/</w:t>
        </w:r>
      </w:hyperlink>
      <w:r>
        <w:t xml:space="preserve"> </w:t>
      </w:r>
    </w:p>
  </w:footnote>
  <w:footnote w:id="2296">
    <w:p w14:paraId="0A138536" w14:textId="77777777" w:rsidR="0077087C" w:rsidRDefault="0077087C" w:rsidP="0077087C">
      <w:pPr>
        <w:pStyle w:val="Funotentext"/>
      </w:pPr>
      <w:r>
        <w:rPr>
          <w:rStyle w:val="Funotenzeichen"/>
        </w:rPr>
        <w:footnoteRef/>
      </w:r>
      <w:r>
        <w:t xml:space="preserve"> Siehe: </w:t>
      </w:r>
      <w:hyperlink r:id="rId1708" w:history="1">
        <w:r w:rsidRPr="00011C1B">
          <w:rPr>
            <w:rStyle w:val="Hyperlink"/>
          </w:rPr>
          <w:t>https://www.basf.com/global/de/media/news-releases/2025/05/p-25-099</w:t>
        </w:r>
      </w:hyperlink>
      <w:r>
        <w:t xml:space="preserve"> – basierende auf den </w:t>
      </w:r>
      <w:proofErr w:type="spellStart"/>
      <w:r>
        <w:t>TfS</w:t>
      </w:r>
      <w:proofErr w:type="spellEnd"/>
      <w:r>
        <w:t xml:space="preserve"> </w:t>
      </w:r>
      <w:proofErr w:type="spellStart"/>
      <w:r>
        <w:t>Product</w:t>
      </w:r>
      <w:proofErr w:type="spellEnd"/>
      <w:r>
        <w:t xml:space="preserve"> Carbon Footprint Guidelines: </w:t>
      </w:r>
      <w:hyperlink r:id="rId1709" w:history="1">
        <w:r w:rsidRPr="00011C1B">
          <w:rPr>
            <w:rStyle w:val="Hyperlink"/>
          </w:rPr>
          <w:t>https://www.tfs-initiative.com/pcf-guideline</w:t>
        </w:r>
      </w:hyperlink>
      <w:r>
        <w:t xml:space="preserve"> - Zugegriffen: 15.045.2025. </w:t>
      </w:r>
    </w:p>
  </w:footnote>
  <w:footnote w:id="2297">
    <w:p w14:paraId="5F59EBE0" w14:textId="77777777" w:rsidR="002C057C" w:rsidRPr="003B6CA3" w:rsidRDefault="002C057C" w:rsidP="002C057C">
      <w:pPr>
        <w:pStyle w:val="Funotentext"/>
      </w:pPr>
      <w:r>
        <w:rPr>
          <w:rStyle w:val="Funotenzeichen"/>
        </w:rPr>
        <w:footnoteRef/>
      </w:r>
      <w:r w:rsidRPr="003B6CA3">
        <w:t xml:space="preserve"> Siehe: </w:t>
      </w:r>
      <w:hyperlink r:id="rId1710" w:history="1">
        <w:r w:rsidRPr="00B16A30">
          <w:rPr>
            <w:rStyle w:val="Hyperlink"/>
          </w:rPr>
          <w:t>https://oecdgroups.oecd.org/Bodies/ShowBodyView.aspx?BodyID=7780&amp;BodyPID=15186&amp;Lang=en&amp;Book=False</w:t>
        </w:r>
      </w:hyperlink>
      <w:r>
        <w:t xml:space="preserve"> – Zugegriffen: 27.04.2025. </w:t>
      </w:r>
    </w:p>
  </w:footnote>
  <w:footnote w:id="2298">
    <w:p w14:paraId="17BAE172" w14:textId="77777777" w:rsidR="002C057C" w:rsidRDefault="002C057C" w:rsidP="002C057C">
      <w:pPr>
        <w:pStyle w:val="Funotentext"/>
      </w:pPr>
      <w:r>
        <w:rPr>
          <w:rStyle w:val="Funotenzeichen"/>
        </w:rPr>
        <w:footnoteRef/>
      </w:r>
      <w:r>
        <w:t xml:space="preserve"> Siehe: </w:t>
      </w:r>
      <w:hyperlink r:id="rId1711" w:history="1">
        <w:r w:rsidRPr="00B16A30">
          <w:rPr>
            <w:rStyle w:val="Hyperlink"/>
          </w:rPr>
          <w:t>https://www.iea.org/reports/definitions-for-near-zero-and-low-emissions-steel-and-cement-and-underlying-emissions-measurement-methodologies</w:t>
        </w:r>
      </w:hyperlink>
      <w:r>
        <w:t xml:space="preserve"> - Zugegriffen: 27.04.2025. </w:t>
      </w:r>
    </w:p>
  </w:footnote>
  <w:footnote w:id="2299">
    <w:p w14:paraId="7767898F" w14:textId="77777777" w:rsidR="002C057C" w:rsidRPr="003B6CA3" w:rsidRDefault="002C057C" w:rsidP="002C057C">
      <w:pPr>
        <w:pStyle w:val="Funotentext"/>
      </w:pPr>
      <w:r>
        <w:rPr>
          <w:rStyle w:val="Funotenzeichen"/>
        </w:rPr>
        <w:footnoteRef/>
      </w:r>
      <w:r w:rsidRPr="003B6CA3">
        <w:t xml:space="preserve"> Siehe: </w:t>
      </w:r>
      <w:hyperlink r:id="rId1712" w:history="1">
        <w:r w:rsidRPr="00B16A30">
          <w:rPr>
            <w:rStyle w:val="Hyperlink"/>
          </w:rPr>
          <w:t>https://climate-club.org/</w:t>
        </w:r>
      </w:hyperlink>
      <w:r>
        <w:t xml:space="preserve"> </w:t>
      </w:r>
    </w:p>
  </w:footnote>
  <w:footnote w:id="2300">
    <w:p w14:paraId="5A152729" w14:textId="77777777" w:rsidR="002C057C" w:rsidRPr="00522034" w:rsidRDefault="002C057C" w:rsidP="002C057C">
      <w:pPr>
        <w:pStyle w:val="Funotentext"/>
      </w:pPr>
      <w:r>
        <w:rPr>
          <w:rStyle w:val="Funotenzeichen"/>
        </w:rPr>
        <w:footnoteRef/>
      </w:r>
      <w:r w:rsidRPr="00522034">
        <w:t xml:space="preserve"> S. 12, Climate Club Work Programme 2025-2026, siehe: </w:t>
      </w:r>
      <w:hyperlink r:id="rId1713" w:history="1">
        <w:r w:rsidRPr="00522034">
          <w:rPr>
            <w:rStyle w:val="Hyperlink"/>
          </w:rPr>
          <w:t>https://climate-club.org/wp-content/uploads/2025/01/Climate_Club_Work_Programme-_2025-26-final-.pdf</w:t>
        </w:r>
      </w:hyperlink>
      <w:r w:rsidRPr="00522034">
        <w:t xml:space="preserve"> - Zug</w:t>
      </w:r>
      <w:r>
        <w:t xml:space="preserve">egriffen: 27.04.2025. </w:t>
      </w:r>
    </w:p>
  </w:footnote>
  <w:footnote w:id="2301">
    <w:p w14:paraId="788C459B" w14:textId="77777777" w:rsidR="002C057C" w:rsidRDefault="002C057C" w:rsidP="002C057C">
      <w:pPr>
        <w:pStyle w:val="Funotentext"/>
      </w:pPr>
      <w:r>
        <w:rPr>
          <w:rStyle w:val="Funotenzeichen"/>
        </w:rPr>
        <w:footnoteRef/>
      </w:r>
      <w:r>
        <w:t xml:space="preserve"> Mitglieder sind Kanada, Deutschland, Japan, </w:t>
      </w:r>
      <w:proofErr w:type="gramStart"/>
      <w:r>
        <w:t>Saudi Arabien</w:t>
      </w:r>
      <w:proofErr w:type="gramEnd"/>
      <w:r>
        <w:t xml:space="preserve">, Schweden, Vereinigte Arabische Emirate. Siehe: </w:t>
      </w:r>
      <w:hyperlink r:id="rId1714" w:history="1">
        <w:r w:rsidRPr="00A2553B">
          <w:rPr>
            <w:rStyle w:val="Hyperlink"/>
          </w:rPr>
          <w:t>https://www.cleanenergyministerial.org/initiatives-campaigns/industrial-deep-decarbonisation-initiative/</w:t>
        </w:r>
      </w:hyperlink>
      <w:r>
        <w:t xml:space="preserve"> - Zugegriffen: 30.04.2025. </w:t>
      </w:r>
    </w:p>
  </w:footnote>
  <w:footnote w:id="2302">
    <w:p w14:paraId="385732DC" w14:textId="77777777" w:rsidR="002C057C" w:rsidRDefault="002C057C" w:rsidP="002C057C">
      <w:pPr>
        <w:pStyle w:val="Funotentext"/>
      </w:pPr>
      <w:r>
        <w:rPr>
          <w:rStyle w:val="Funotenzeichen"/>
        </w:rPr>
        <w:footnoteRef/>
      </w:r>
      <w:r>
        <w:t xml:space="preserve"> </w:t>
      </w:r>
      <w:proofErr w:type="gramStart"/>
      <w:r>
        <w:t>BMWK Leitmärkte</w:t>
      </w:r>
      <w:proofErr w:type="gramEnd"/>
      <w:r>
        <w:t xml:space="preserve"> für klimafreundliche Grundstoffe 2024: 34. </w:t>
      </w:r>
    </w:p>
  </w:footnote>
  <w:footnote w:id="2303">
    <w:p w14:paraId="0446FCF7" w14:textId="77777777" w:rsidR="002C057C" w:rsidRDefault="002C057C" w:rsidP="002C057C">
      <w:pPr>
        <w:pStyle w:val="Funotentext"/>
      </w:pPr>
      <w:r>
        <w:rPr>
          <w:rStyle w:val="Funotenzeichen"/>
        </w:rPr>
        <w:footnoteRef/>
      </w:r>
      <w:r>
        <w:t xml:space="preserve"> </w:t>
      </w:r>
      <w:proofErr w:type="gramStart"/>
      <w:r>
        <w:t>BMWK Leitmärkte</w:t>
      </w:r>
      <w:proofErr w:type="gramEnd"/>
      <w:r>
        <w:t xml:space="preserve"> für klimafreundliche Grundstoffe 2024: 24.</w:t>
      </w:r>
    </w:p>
  </w:footnote>
  <w:footnote w:id="2304">
    <w:p w14:paraId="56950A33" w14:textId="77777777" w:rsidR="002C057C" w:rsidRDefault="002C057C" w:rsidP="002C057C">
      <w:pPr>
        <w:pStyle w:val="Funotentext"/>
      </w:pPr>
      <w:r>
        <w:rPr>
          <w:rStyle w:val="Funotenzeichen"/>
        </w:rPr>
        <w:footnoteRef/>
      </w:r>
      <w:r>
        <w:t xml:space="preserve"> </w:t>
      </w:r>
      <w:proofErr w:type="gramStart"/>
      <w:r>
        <w:t>BMWK Leitmärkte</w:t>
      </w:r>
      <w:proofErr w:type="gramEnd"/>
      <w:r>
        <w:t xml:space="preserve"> für klimafreundliche Grundstoffe 2024: 30.</w:t>
      </w:r>
    </w:p>
  </w:footnote>
  <w:footnote w:id="2305">
    <w:p w14:paraId="2EB52517" w14:textId="77777777" w:rsidR="002C057C" w:rsidRDefault="002C057C" w:rsidP="002C057C">
      <w:pPr>
        <w:pStyle w:val="Funotentext"/>
      </w:pPr>
      <w:r>
        <w:rPr>
          <w:rStyle w:val="Funotenzeichen"/>
        </w:rPr>
        <w:footnoteRef/>
      </w:r>
      <w:r>
        <w:t xml:space="preserve"> </w:t>
      </w:r>
      <w:proofErr w:type="gramStart"/>
      <w:r>
        <w:t>BMWK Leitmärkte</w:t>
      </w:r>
      <w:proofErr w:type="gramEnd"/>
      <w:r>
        <w:t xml:space="preserve"> für klimafreundliche Grundstoffe 2024: 31. </w:t>
      </w:r>
    </w:p>
  </w:footnote>
  <w:footnote w:id="2306">
    <w:p w14:paraId="765CAE0E" w14:textId="77777777" w:rsidR="002C057C" w:rsidRDefault="002C057C" w:rsidP="002C057C">
      <w:pPr>
        <w:pStyle w:val="Funotentext"/>
      </w:pPr>
      <w:r>
        <w:rPr>
          <w:rStyle w:val="Funotenzeichen"/>
        </w:rPr>
        <w:footnoteRef/>
      </w:r>
      <w:r>
        <w:t xml:space="preserve"> </w:t>
      </w:r>
      <w:proofErr w:type="gramStart"/>
      <w:r>
        <w:t>BMWK Leitmärkte</w:t>
      </w:r>
      <w:proofErr w:type="gramEnd"/>
      <w:r>
        <w:t xml:space="preserve"> für klimafreundliche Grundstoffe 2024: 31. </w:t>
      </w:r>
    </w:p>
  </w:footnote>
  <w:footnote w:id="2307">
    <w:p w14:paraId="5C8E52F5" w14:textId="77777777" w:rsidR="002C057C" w:rsidRDefault="002C057C" w:rsidP="002C057C">
      <w:pPr>
        <w:pStyle w:val="Funotentext"/>
      </w:pPr>
      <w:r>
        <w:rPr>
          <w:rStyle w:val="Funotenzeichen"/>
        </w:rPr>
        <w:footnoteRef/>
      </w:r>
      <w:r>
        <w:t xml:space="preserve"> Siehe die EU CPR Übersichtsseite: </w:t>
      </w:r>
      <w:hyperlink r:id="rId1715" w:history="1">
        <w:r w:rsidRPr="00C82A68">
          <w:rPr>
            <w:rStyle w:val="Hyperlink"/>
          </w:rPr>
          <w:t>https://single-market-economy.ec.europa.eu/sectors/construction/construction-products-regulation-cpr_en</w:t>
        </w:r>
      </w:hyperlink>
      <w:r>
        <w:t xml:space="preserve"> </w:t>
      </w:r>
    </w:p>
  </w:footnote>
  <w:footnote w:id="2308">
    <w:p w14:paraId="5B117537" w14:textId="77777777" w:rsidR="002C057C" w:rsidRDefault="002C057C" w:rsidP="002C057C">
      <w:pPr>
        <w:pStyle w:val="Funotentext"/>
      </w:pPr>
      <w:r>
        <w:rPr>
          <w:rStyle w:val="Funotenzeichen"/>
        </w:rPr>
        <w:footnoteRef/>
      </w:r>
      <w:r>
        <w:t xml:space="preserve"> </w:t>
      </w:r>
      <w:proofErr w:type="gramStart"/>
      <w:r>
        <w:t>BMWK Leitmärkte</w:t>
      </w:r>
      <w:proofErr w:type="gramEnd"/>
      <w:r>
        <w:t xml:space="preserve"> für klimafreundliche Grundstoffe 2024: 32. </w:t>
      </w:r>
    </w:p>
  </w:footnote>
  <w:footnote w:id="2309">
    <w:p w14:paraId="47CAB49E" w14:textId="77777777" w:rsidR="002C057C" w:rsidRDefault="002C057C" w:rsidP="002C057C">
      <w:pPr>
        <w:pStyle w:val="Funotentext"/>
      </w:pPr>
      <w:r>
        <w:rPr>
          <w:rStyle w:val="Funotenzeichen"/>
        </w:rPr>
        <w:footnoteRef/>
      </w:r>
      <w:r>
        <w:t xml:space="preserve"> </w:t>
      </w:r>
      <w:proofErr w:type="gramStart"/>
      <w:r>
        <w:t>BMWK Leitmärkte</w:t>
      </w:r>
      <w:proofErr w:type="gramEnd"/>
      <w:r>
        <w:t xml:space="preserve"> für klimafreundliche Grundstoffe 2024: 32. </w:t>
      </w:r>
    </w:p>
  </w:footnote>
  <w:footnote w:id="2310">
    <w:p w14:paraId="3F615A93" w14:textId="77777777" w:rsidR="00C159E6" w:rsidRDefault="00C159E6" w:rsidP="00C159E6">
      <w:pPr>
        <w:pStyle w:val="Funotentext"/>
      </w:pPr>
      <w:r>
        <w:rPr>
          <w:rStyle w:val="Funotenzeichen"/>
        </w:rPr>
        <w:footnoteRef/>
      </w:r>
      <w:r>
        <w:t xml:space="preserve"> Siehe hier: </w:t>
      </w:r>
      <w:hyperlink r:id="rId1716" w:history="1">
        <w:r w:rsidRPr="004D34B9">
          <w:rPr>
            <w:rStyle w:val="Hyperlink"/>
          </w:rPr>
          <w:t>https://commission.europa.eu/document/download/9db1c5c8-9e82-467b-ab6a-905feeb4b6b0_en?filename=Communication%20-%20Clean%20Industrial%20Deal_en.pdf&amp;prefLang=de</w:t>
        </w:r>
      </w:hyperlink>
      <w:r>
        <w:t xml:space="preserve"> – Zugegriffen: 15.05.2025. </w:t>
      </w:r>
    </w:p>
  </w:footnote>
  <w:footnote w:id="2311">
    <w:p w14:paraId="7F268D42" w14:textId="09AD3AFA" w:rsidR="00C159E6" w:rsidRDefault="00C159E6">
      <w:pPr>
        <w:pStyle w:val="Funotentext"/>
      </w:pPr>
      <w:r>
        <w:rPr>
          <w:rStyle w:val="Funotenzeichen"/>
        </w:rPr>
        <w:footnoteRef/>
      </w:r>
      <w:r>
        <w:t xml:space="preserve"> Siehe: </w:t>
      </w:r>
      <w:hyperlink r:id="rId1717" w:history="1">
        <w:r w:rsidRPr="009555F3">
          <w:rPr>
            <w:rStyle w:val="Hyperlink"/>
          </w:rPr>
          <w:t>https://eur-lex.europa.eu/DE/legal-content/summary/the-eu-s-international-procurement-instrument-ipi.html?fromSummary=24</w:t>
        </w:r>
      </w:hyperlink>
      <w:r>
        <w:t xml:space="preserve"> – Zugegriffen: 22.06.2025. </w:t>
      </w:r>
    </w:p>
  </w:footnote>
  <w:footnote w:id="2312">
    <w:p w14:paraId="26334108" w14:textId="2CADCD0A" w:rsidR="00C159E6" w:rsidRDefault="00C159E6">
      <w:pPr>
        <w:pStyle w:val="Funotentext"/>
      </w:pPr>
      <w:r>
        <w:rPr>
          <w:rStyle w:val="Funotenzeichen"/>
        </w:rPr>
        <w:footnoteRef/>
      </w:r>
      <w:r>
        <w:t xml:space="preserve"> Siehe: </w:t>
      </w:r>
      <w:hyperlink r:id="rId1718" w:history="1">
        <w:r w:rsidRPr="009555F3">
          <w:rPr>
            <w:rStyle w:val="Hyperlink"/>
          </w:rPr>
          <w:t>https://single-market-economy.ec.europa.eu/single-market/public-procurement/international-public-procurement_en</w:t>
        </w:r>
      </w:hyperlink>
      <w:r>
        <w:t xml:space="preserve"> - Zugegriffen: 22.06.2025. </w:t>
      </w:r>
    </w:p>
  </w:footnote>
  <w:footnote w:id="2313">
    <w:p w14:paraId="23DC9E86" w14:textId="77777777" w:rsidR="00C159E6" w:rsidRDefault="00C159E6" w:rsidP="00C159E6">
      <w:pPr>
        <w:pStyle w:val="Funotentext"/>
      </w:pPr>
      <w:r>
        <w:rPr>
          <w:rStyle w:val="Funotenzeichen"/>
        </w:rPr>
        <w:footnoteRef/>
      </w:r>
      <w:r>
        <w:t xml:space="preserve"> Siehe: </w:t>
      </w:r>
      <w:hyperlink r:id="rId1719" w:history="1">
        <w:r w:rsidRPr="009555F3">
          <w:rPr>
            <w:rStyle w:val="Hyperlink"/>
          </w:rPr>
          <w:t>https://single-market-economy.ec.europa.eu/single-market/public-procurement/international-public-procurement_en</w:t>
        </w:r>
      </w:hyperlink>
      <w:r>
        <w:t xml:space="preserve"> - Zugegriffen: 22.06.2025. </w:t>
      </w:r>
    </w:p>
  </w:footnote>
  <w:footnote w:id="2314">
    <w:p w14:paraId="042316A2" w14:textId="77F49D4F" w:rsidR="002E36A8" w:rsidRDefault="002E36A8">
      <w:pPr>
        <w:pStyle w:val="Funotentext"/>
      </w:pPr>
      <w:r>
        <w:rPr>
          <w:rStyle w:val="Funotenzeichen"/>
        </w:rPr>
        <w:footnoteRef/>
      </w:r>
      <w:r>
        <w:t xml:space="preserve"> EU schließt China von öffentlichen Aufträgen aus. FAZ, 21.06.2025. </w:t>
      </w:r>
    </w:p>
  </w:footnote>
  <w:footnote w:id="2315">
    <w:p w14:paraId="467FF1FB" w14:textId="77777777" w:rsidR="002C057C" w:rsidRDefault="002C057C" w:rsidP="002C057C">
      <w:pPr>
        <w:pStyle w:val="Funotentext"/>
      </w:pPr>
      <w:r>
        <w:rPr>
          <w:rStyle w:val="Funotenzeichen"/>
        </w:rPr>
        <w:footnoteRef/>
      </w:r>
      <w:r>
        <w:t xml:space="preserve"> Siehe die EU ESPR Übersichtsseite: </w:t>
      </w:r>
      <w:hyperlink r:id="rId1720" w:history="1">
        <w:r w:rsidRPr="00C82A68">
          <w:rPr>
            <w:rStyle w:val="Hyperlink"/>
          </w:rPr>
          <w:t>https://commission.europa.eu/energy-climate-change-environment/standards-tools-and-labels/products-labelling-rules-and-requirements/ecodesign-sustainable-products-regulation_en</w:t>
        </w:r>
      </w:hyperlink>
    </w:p>
  </w:footnote>
  <w:footnote w:id="2316">
    <w:p w14:paraId="35730932" w14:textId="77777777" w:rsidR="002C057C" w:rsidRDefault="002C057C" w:rsidP="002C057C">
      <w:pPr>
        <w:pStyle w:val="Funotentext"/>
      </w:pPr>
      <w:r>
        <w:rPr>
          <w:rStyle w:val="Funotenzeichen"/>
        </w:rPr>
        <w:footnoteRef/>
      </w:r>
      <w:r>
        <w:t xml:space="preserve"> Siehe Erwägungsgrund 19 ESPR: </w:t>
      </w:r>
      <w:hyperlink r:id="rId1721" w:history="1">
        <w:r w:rsidRPr="00C82A68">
          <w:rPr>
            <w:rStyle w:val="Hyperlink"/>
          </w:rPr>
          <w:t>https://eur-lex.europa.eu/legal-content/EN/TXT/?uri=CELEX:32024R1781</w:t>
        </w:r>
      </w:hyperlink>
      <w:r>
        <w:t xml:space="preserve"> – Zugegriffen: 30.04.2025. </w:t>
      </w:r>
    </w:p>
  </w:footnote>
  <w:footnote w:id="2317">
    <w:p w14:paraId="193482EE" w14:textId="77777777" w:rsidR="002C057C" w:rsidRDefault="002C057C" w:rsidP="002C057C">
      <w:pPr>
        <w:pStyle w:val="Funotentext"/>
      </w:pPr>
      <w:r>
        <w:rPr>
          <w:rStyle w:val="Funotenzeichen"/>
        </w:rPr>
        <w:footnoteRef/>
      </w:r>
      <w:r>
        <w:t xml:space="preserve"> </w:t>
      </w:r>
      <w:proofErr w:type="gramStart"/>
      <w:r>
        <w:t>BMWK Leitmärkte</w:t>
      </w:r>
      <w:proofErr w:type="gramEnd"/>
      <w:r>
        <w:t xml:space="preserve"> für klimafreundliche Grundstoffe 2024: 35. </w:t>
      </w:r>
    </w:p>
  </w:footnote>
  <w:footnote w:id="2318">
    <w:p w14:paraId="0E8FAE0B" w14:textId="77777777" w:rsidR="002C057C" w:rsidRDefault="002C057C" w:rsidP="002C057C">
      <w:pPr>
        <w:pStyle w:val="Funotentext"/>
      </w:pPr>
      <w:r>
        <w:rPr>
          <w:rStyle w:val="Funotenzeichen"/>
        </w:rPr>
        <w:footnoteRef/>
      </w:r>
      <w:r>
        <w:t xml:space="preserve"> Siehe die EU ESPR Übersichtsseite: </w:t>
      </w:r>
      <w:hyperlink r:id="rId1722" w:history="1">
        <w:r w:rsidRPr="00C82A68">
          <w:rPr>
            <w:rStyle w:val="Hyperlink"/>
          </w:rPr>
          <w:t>https://commission.europa.eu/energy-climate-change-environment/standards-tools-and-labels/products-labelling-rules-and-requirements/ecodesign-sustainable-products-regulation_en</w:t>
        </w:r>
      </w:hyperlink>
      <w:r>
        <w:t xml:space="preserve"> – Zugegriffen: 30.04.2025. </w:t>
      </w:r>
    </w:p>
  </w:footnote>
  <w:footnote w:id="2319">
    <w:p w14:paraId="39149DB5" w14:textId="77777777" w:rsidR="002C057C" w:rsidRDefault="002C057C" w:rsidP="002C057C">
      <w:pPr>
        <w:pStyle w:val="Funotentext"/>
      </w:pPr>
      <w:r>
        <w:rPr>
          <w:rStyle w:val="Funotenzeichen"/>
        </w:rPr>
        <w:footnoteRef/>
      </w:r>
      <w:r>
        <w:t xml:space="preserve"> Siehe Erwägungsgründe 61 und 63, und Art. 3 in ESPR: </w:t>
      </w:r>
      <w:hyperlink r:id="rId1723" w:history="1">
        <w:r w:rsidRPr="00C82A68">
          <w:rPr>
            <w:rStyle w:val="Hyperlink"/>
          </w:rPr>
          <w:t>https://eur-lex.europa.eu/legal-content/EN/TXT/?uri=CELEX:32024R1781</w:t>
        </w:r>
      </w:hyperlink>
      <w:r>
        <w:t xml:space="preserve"> – Zugegriffen: 30.04.2025. </w:t>
      </w:r>
    </w:p>
  </w:footnote>
  <w:footnote w:id="2320">
    <w:p w14:paraId="66F30E0E" w14:textId="2CDF31A8" w:rsidR="002C057C" w:rsidRDefault="002C057C" w:rsidP="002C057C">
      <w:pPr>
        <w:pStyle w:val="Funotentext"/>
      </w:pPr>
      <w:r>
        <w:rPr>
          <w:rStyle w:val="Funotenzeichen"/>
        </w:rPr>
        <w:footnoteRef/>
      </w:r>
      <w:r>
        <w:t xml:space="preserve"> </w:t>
      </w:r>
      <w:r w:rsidR="00912E2C">
        <w:t xml:space="preserve">Siehe: </w:t>
      </w:r>
      <w:hyperlink r:id="rId1724" w:history="1">
        <w:r w:rsidR="00912E2C" w:rsidRPr="005D3896">
          <w:rPr>
            <w:rStyle w:val="Hyperlink"/>
          </w:rPr>
          <w:t>https://eprel.ec.europa.eu/screen/home</w:t>
        </w:r>
      </w:hyperlink>
      <w:r w:rsidR="00912E2C">
        <w:t xml:space="preserve"> </w:t>
      </w:r>
    </w:p>
  </w:footnote>
  <w:footnote w:id="2321">
    <w:p w14:paraId="156F1F1B" w14:textId="77777777" w:rsidR="002C057C" w:rsidRDefault="002C057C" w:rsidP="002C057C">
      <w:pPr>
        <w:pStyle w:val="Funotentext"/>
      </w:pPr>
      <w:r>
        <w:rPr>
          <w:rStyle w:val="Funotenzeichen"/>
        </w:rPr>
        <w:footnoteRef/>
      </w:r>
      <w:r>
        <w:t xml:space="preserve"> </w:t>
      </w:r>
      <w:proofErr w:type="gramStart"/>
      <w:r>
        <w:t>BMWK Leitmärkte</w:t>
      </w:r>
      <w:proofErr w:type="gramEnd"/>
      <w:r>
        <w:t xml:space="preserve"> für klimafreundliche Grundstoffe 2024: 38. </w:t>
      </w:r>
    </w:p>
  </w:footnote>
  <w:footnote w:id="2322">
    <w:p w14:paraId="6309177D" w14:textId="77777777" w:rsidR="002C057C" w:rsidRDefault="002C057C" w:rsidP="002C057C">
      <w:pPr>
        <w:pStyle w:val="Funotentext"/>
      </w:pPr>
      <w:r>
        <w:rPr>
          <w:rStyle w:val="Funotenzeichen"/>
        </w:rPr>
        <w:footnoteRef/>
      </w:r>
      <w:r>
        <w:t xml:space="preserve"> </w:t>
      </w:r>
      <w:proofErr w:type="gramStart"/>
      <w:r>
        <w:t>BMWK Leitmärkte</w:t>
      </w:r>
      <w:proofErr w:type="gramEnd"/>
      <w:r>
        <w:t xml:space="preserve"> für klimafreundliche Grundstoffe 2024: 39. </w:t>
      </w:r>
    </w:p>
  </w:footnote>
  <w:footnote w:id="2323">
    <w:p w14:paraId="09CF9A65" w14:textId="09E1E7BC" w:rsidR="005330F1" w:rsidRDefault="005330F1">
      <w:pPr>
        <w:pStyle w:val="Funotentext"/>
      </w:pPr>
      <w:r>
        <w:rPr>
          <w:rStyle w:val="Funotenzeichen"/>
        </w:rPr>
        <w:footnoteRef/>
      </w:r>
      <w:r>
        <w:t xml:space="preserve"> Einigung beim Auto-Recycling. FAZ, 18.06.2025.</w:t>
      </w:r>
    </w:p>
  </w:footnote>
  <w:footnote w:id="2324">
    <w:p w14:paraId="28AB7A6B" w14:textId="5F3AA629" w:rsidR="00A26E63" w:rsidRDefault="00A26E63">
      <w:pPr>
        <w:pStyle w:val="Funotentext"/>
      </w:pPr>
      <w:r>
        <w:rPr>
          <w:rStyle w:val="Funotenzeichen"/>
        </w:rPr>
        <w:footnoteRef/>
      </w:r>
      <w:r>
        <w:t xml:space="preserve"> Siehe Nikolaus J. </w:t>
      </w:r>
      <w:proofErr w:type="spellStart"/>
      <w:r>
        <w:t>Kurmayer</w:t>
      </w:r>
      <w:proofErr w:type="spellEnd"/>
      <w:r>
        <w:t xml:space="preserve">, </w:t>
      </w:r>
      <w:proofErr w:type="spellStart"/>
      <w:r>
        <w:t>Euraktiv</w:t>
      </w:r>
      <w:proofErr w:type="spellEnd"/>
      <w:r>
        <w:t xml:space="preserve">, 02.12.2024: </w:t>
      </w:r>
      <w:hyperlink r:id="rId1725" w:history="1">
        <w:r w:rsidRPr="0050727D">
          <w:rPr>
            <w:rStyle w:val="Hyperlink"/>
          </w:rPr>
          <w:t>https://www.euractiv.de/section/energie-und-umwelt/news/stahlindustrie-draengt-auf-eu-quoten-fuer-gruenen-stahl-im-automobilsektor/</w:t>
        </w:r>
      </w:hyperlink>
      <w:r>
        <w:t xml:space="preserve"> - Zugegriffen: 09.06.2025. </w:t>
      </w:r>
    </w:p>
  </w:footnote>
  <w:footnote w:id="2325">
    <w:p w14:paraId="13BC3BDA" w14:textId="77777777" w:rsidR="00300DB8" w:rsidRDefault="00300DB8" w:rsidP="00300DB8">
      <w:pPr>
        <w:pStyle w:val="Funotentext"/>
      </w:pPr>
      <w:r>
        <w:rPr>
          <w:rStyle w:val="Funotenzeichen"/>
        </w:rPr>
        <w:footnoteRef/>
      </w:r>
      <w:r>
        <w:t xml:space="preserve"> Siehe: </w:t>
      </w:r>
      <w:hyperlink r:id="rId1726" w:history="1">
        <w:r w:rsidRPr="002E7D44">
          <w:rPr>
            <w:rStyle w:val="Hyperlink"/>
          </w:rPr>
          <w:t>https://www.consilium.europa.eu/en/press/press-releases/2023/10/09/refueleu-aviation-initiative-council-adopts-new-law-to-decarbonise-the-aviation-sector/</w:t>
        </w:r>
      </w:hyperlink>
      <w:r>
        <w:t xml:space="preserve"> - Zugegriffen: 26.11.2024. </w:t>
      </w:r>
    </w:p>
  </w:footnote>
  <w:footnote w:id="2326">
    <w:p w14:paraId="3750C98D" w14:textId="77777777" w:rsidR="00300DB8" w:rsidRDefault="00300DB8" w:rsidP="00300DB8">
      <w:pPr>
        <w:pStyle w:val="Funotentext"/>
      </w:pPr>
      <w:r>
        <w:rPr>
          <w:rStyle w:val="Funotenzeichen"/>
        </w:rPr>
        <w:footnoteRef/>
      </w:r>
      <w:r>
        <w:t xml:space="preserve"> Siehe die Äußerungen von </w:t>
      </w:r>
      <w:r w:rsidRPr="00B17AA0">
        <w:t>Kerstin Jorna, Generaldirektorin der EU-Binnenmarktabteilung (GD GROW)</w:t>
      </w:r>
      <w:r>
        <w:t xml:space="preserve"> in: </w:t>
      </w:r>
      <w:proofErr w:type="spellStart"/>
      <w:r>
        <w:t>Euraktiv</w:t>
      </w:r>
      <w:proofErr w:type="spellEnd"/>
      <w:r>
        <w:t xml:space="preserve">, 20.09.2024, Clean Industrial Act: EU steuert auf „große Finanzierungsdebatte“ zu: </w:t>
      </w:r>
      <w:hyperlink r:id="rId1727" w:history="1">
        <w:r w:rsidRPr="00B65263">
          <w:rPr>
            <w:rStyle w:val="Hyperlink"/>
          </w:rPr>
          <w:t>https://www.euractiv.de/section/finanzen-und-wirtschaft/news/clean-industrial-deal-eu-steuert-auf-grosse-finanzierungsdebatte-zu/</w:t>
        </w:r>
      </w:hyperlink>
      <w:r>
        <w:t xml:space="preserve"> - Zugegriffen: 26.11.2024. </w:t>
      </w:r>
    </w:p>
  </w:footnote>
  <w:footnote w:id="2327">
    <w:p w14:paraId="7A77887A" w14:textId="09C55AA2" w:rsidR="001F4723" w:rsidRDefault="001F4723">
      <w:pPr>
        <w:pStyle w:val="Funotentext"/>
      </w:pPr>
      <w:r>
        <w:rPr>
          <w:rStyle w:val="Funotenzeichen"/>
        </w:rPr>
        <w:footnoteRef/>
      </w:r>
      <w:r>
        <w:t xml:space="preserve"> Solar 100.000 Terawattstunden: das sind /2 Terawattstunden = </w:t>
      </w:r>
      <w:proofErr w:type="gramStart"/>
      <w:r>
        <w:t>50.000 mal</w:t>
      </w:r>
      <w:proofErr w:type="gramEnd"/>
      <w:r>
        <w:t xml:space="preserve"> der Solarpark </w:t>
      </w:r>
      <w:proofErr w:type="spellStart"/>
      <w:r>
        <w:t>Benban</w:t>
      </w:r>
      <w:proofErr w:type="spellEnd"/>
      <w:r>
        <w:t xml:space="preserve">, </w:t>
      </w:r>
      <w:proofErr w:type="gramStart"/>
      <w:r>
        <w:t>mit der jährliche Leistung</w:t>
      </w:r>
      <w:proofErr w:type="gramEnd"/>
      <w:r>
        <w:t xml:space="preserve"> von 2 Terawattstunden. Oder: </w:t>
      </w:r>
      <w:proofErr w:type="gramStart"/>
      <w:r>
        <w:t>1.666.666 mal</w:t>
      </w:r>
      <w:proofErr w:type="gramEnd"/>
      <w:r>
        <w:t xml:space="preserve"> den Solarpark Barth, einfacher 1.600.000 bzw. 1,6 Mill. mal. Landwind 40.000 Terawattstunden: das sind / 0,6 Terawattstunden = </w:t>
      </w:r>
      <w:proofErr w:type="gramStart"/>
      <w:r>
        <w:t>66.666 mal</w:t>
      </w:r>
      <w:proofErr w:type="gramEnd"/>
      <w:r>
        <w:t xml:space="preserve"> der Landwindpark </w:t>
      </w:r>
      <w:proofErr w:type="spellStart"/>
      <w:r>
        <w:t>Tarfaya</w:t>
      </w:r>
      <w:proofErr w:type="spellEnd"/>
      <w:r>
        <w:t xml:space="preserve"> mit 131 kleineren Windkraftanlagen Siemens Energy 2,3 </w:t>
      </w:r>
      <w:proofErr w:type="gramStart"/>
      <w:r>
        <w:t>MW ,</w:t>
      </w:r>
      <w:proofErr w:type="gramEnd"/>
      <w:r>
        <w:t xml:space="preserve"> das sind 8.733.248 Landwindkraftanlagen: 66.666 * 131. Oder </w:t>
      </w:r>
      <w:proofErr w:type="gramStart"/>
      <w:r>
        <w:t>133.333 mal</w:t>
      </w:r>
      <w:proofErr w:type="gramEnd"/>
      <w:r>
        <w:t xml:space="preserve"> den Landwindpark Werder/</w:t>
      </w:r>
      <w:proofErr w:type="spellStart"/>
      <w:r>
        <w:t>Kessin</w:t>
      </w:r>
      <w:proofErr w:type="spellEnd"/>
      <w:r>
        <w:t xml:space="preserve">, mit 28 Windräder (Mix zwischen 15 7,5 MW und 13 2,3 MW), das sind 3.733.324 Windräder. Seewind 10.000 Terawattstunden: in Offshore sind dies </w:t>
      </w:r>
      <w:proofErr w:type="gramStart"/>
      <w:r>
        <w:t>4000 mal</w:t>
      </w:r>
      <w:proofErr w:type="gramEnd"/>
      <w:r>
        <w:t xml:space="preserve"> Hohe See / Albatros mit 87 Windkraftanlagen Siemens Gamesa 7,35 MW, das sind 348.000 Off</w:t>
      </w:r>
      <w:r w:rsidR="005B380E">
        <w:t>s</w:t>
      </w:r>
      <w:r>
        <w:t>hore-Windkraftanlagen: 4000 * 87.</w:t>
      </w:r>
    </w:p>
  </w:footnote>
  <w:footnote w:id="2328">
    <w:p w14:paraId="6700A902" w14:textId="77777777" w:rsidR="00BF20D7" w:rsidRDefault="00BF20D7" w:rsidP="00BF20D7">
      <w:pPr>
        <w:pStyle w:val="Funotentext"/>
      </w:pPr>
      <w:r>
        <w:rPr>
          <w:rStyle w:val="Funotenzeichen"/>
        </w:rPr>
        <w:footnoteRef/>
      </w:r>
      <w:r>
        <w:t xml:space="preserve"> Der Kapazitätsfaktor wird hier weltweit für Solar angegeben. Global Wind Report 2024: </w:t>
      </w:r>
      <w:proofErr w:type="gramStart"/>
      <w:r>
        <w:t>54..</w:t>
      </w:r>
      <w:proofErr w:type="gramEnd"/>
    </w:p>
  </w:footnote>
  <w:footnote w:id="2329">
    <w:p w14:paraId="1F60AC03" w14:textId="77777777" w:rsidR="00BF20D7" w:rsidRDefault="00BF20D7" w:rsidP="00BF20D7">
      <w:pPr>
        <w:pStyle w:val="Funotentext"/>
      </w:pPr>
      <w:r>
        <w:rPr>
          <w:rStyle w:val="Funotenzeichen"/>
        </w:rPr>
        <w:footnoteRef/>
      </w:r>
      <w:r>
        <w:t xml:space="preserve"> China bringt der Welt Licht und Schatten. FAZ, 05.07.2024. </w:t>
      </w:r>
    </w:p>
  </w:footnote>
  <w:footnote w:id="2330">
    <w:p w14:paraId="5AB3B359" w14:textId="77777777" w:rsidR="00BF20D7" w:rsidRDefault="00BF20D7" w:rsidP="00BF20D7">
      <w:pPr>
        <w:pStyle w:val="Funotentext"/>
      </w:pPr>
      <w:r>
        <w:rPr>
          <w:rStyle w:val="Funotenzeichen"/>
        </w:rPr>
        <w:footnoteRef/>
      </w:r>
      <w:r>
        <w:t xml:space="preserve"> BMWK Monitoringbericht 2024: 8.</w:t>
      </w:r>
    </w:p>
  </w:footnote>
  <w:footnote w:id="2331">
    <w:p w14:paraId="3AF44961" w14:textId="77777777" w:rsidR="00BF20D7" w:rsidRPr="00B33D84" w:rsidRDefault="00BF20D7" w:rsidP="00BF20D7">
      <w:pPr>
        <w:pStyle w:val="Funotentext"/>
      </w:pPr>
      <w:r>
        <w:rPr>
          <w:rStyle w:val="Funotenzeichen"/>
        </w:rPr>
        <w:footnoteRef/>
      </w:r>
      <w:r>
        <w:t xml:space="preserve"> China bringt der Welt Licht und Schatten. </w:t>
      </w:r>
      <w:r w:rsidRPr="00B33D84">
        <w:t xml:space="preserve">FAZ, 05.07.2024. </w:t>
      </w:r>
    </w:p>
  </w:footnote>
  <w:footnote w:id="2332">
    <w:p w14:paraId="03EBCFD7" w14:textId="77777777" w:rsidR="00BF20D7" w:rsidRPr="00B33D84" w:rsidRDefault="00BF20D7" w:rsidP="00BF20D7">
      <w:pPr>
        <w:pStyle w:val="Funotentext"/>
      </w:pPr>
      <w:r>
        <w:rPr>
          <w:rStyle w:val="Funotenzeichen"/>
        </w:rPr>
        <w:footnoteRef/>
      </w:r>
      <w:r w:rsidRPr="00B33D84">
        <w:t xml:space="preserve"> Global Wind Report 2024: 54.</w:t>
      </w:r>
    </w:p>
  </w:footnote>
  <w:footnote w:id="2333">
    <w:p w14:paraId="7906D0B6" w14:textId="77777777" w:rsidR="00200C92" w:rsidRDefault="00200C92" w:rsidP="00200C92">
      <w:pPr>
        <w:pStyle w:val="Funotentext"/>
      </w:pPr>
      <w:r>
        <w:rPr>
          <w:rStyle w:val="Funotenzeichen"/>
        </w:rPr>
        <w:footnoteRef/>
      </w:r>
      <w:r>
        <w:t xml:space="preserve"> Siehe Umweltbundeamt:</w:t>
      </w:r>
      <w:r w:rsidRPr="00C53AB9">
        <w:t xml:space="preserve"> </w:t>
      </w:r>
      <w:hyperlink r:id="rId1728" w:history="1">
        <w:r w:rsidRPr="00253A43">
          <w:rPr>
            <w:rStyle w:val="Hyperlink"/>
          </w:rPr>
          <w:t>https://www.umweltbundesamt.de/daten/energie/stromverbrauch</w:t>
        </w:r>
      </w:hyperlink>
      <w:r>
        <w:t xml:space="preserve"> – Zugegriffen: 04.08.2024. Diese Daten scheinen aktualisiert worden zu sein, ich gehe von 549 Terawattstunden aus, dies war der Wert für 2022 beim Zugriff auf dieselbe Seite am 14.10.2023.   </w:t>
      </w:r>
    </w:p>
  </w:footnote>
  <w:footnote w:id="2334">
    <w:p w14:paraId="55A54A94" w14:textId="77777777" w:rsidR="002C18D7" w:rsidRDefault="002C18D7" w:rsidP="002C18D7">
      <w:pPr>
        <w:pStyle w:val="Funotentext"/>
      </w:pPr>
      <w:r>
        <w:rPr>
          <w:rStyle w:val="Funotenzeichen"/>
        </w:rPr>
        <w:footnoteRef/>
      </w:r>
      <w:r>
        <w:t xml:space="preserve"> Siehe EEG 2023 als .</w:t>
      </w:r>
      <w:proofErr w:type="spellStart"/>
      <w:r>
        <w:t>pdf</w:t>
      </w:r>
      <w:proofErr w:type="spellEnd"/>
      <w:r>
        <w:t xml:space="preserve">-Datei: </w:t>
      </w:r>
      <w:hyperlink r:id="rId1729" w:history="1">
        <w:r w:rsidRPr="000E5AD9">
          <w:rPr>
            <w:rStyle w:val="Hyperlink"/>
          </w:rPr>
          <w:t>https://www.gesetze-im-internet.de/eeg_2014/EEG_2023.pdf</w:t>
        </w:r>
      </w:hyperlink>
      <w:r>
        <w:t xml:space="preserve"> - Zugegriffen: 04.01.2025.</w:t>
      </w:r>
    </w:p>
  </w:footnote>
  <w:footnote w:id="2335">
    <w:p w14:paraId="2A47F688" w14:textId="54323031" w:rsidR="00CB38BD" w:rsidRDefault="00CB38BD">
      <w:pPr>
        <w:pStyle w:val="Funotentext"/>
      </w:pPr>
      <w:r>
        <w:rPr>
          <w:rStyle w:val="Funotenzeichen"/>
        </w:rPr>
        <w:footnoteRef/>
      </w:r>
      <w:r>
        <w:t xml:space="preserve"> </w:t>
      </w:r>
      <w:r w:rsidR="00F87092">
        <w:t xml:space="preserve">S. 47, siehe: </w:t>
      </w:r>
      <w:hyperlink r:id="rId1730" w:history="1">
        <w:r w:rsidR="00F87092" w:rsidRPr="00935F25">
          <w:rPr>
            <w:rStyle w:val="Hyperlink"/>
          </w:rPr>
          <w:t>https://www.bundesnetzagentur.de/DE/Fachthemen/ElektrizitaetundGas/NEP/DL_Szenariorahmen/Genehm_SR_2025Strom.pdf?__blob=publicationFile&amp;v=2</w:t>
        </w:r>
      </w:hyperlink>
      <w:r w:rsidR="00F87092">
        <w:t xml:space="preserve"> </w:t>
      </w:r>
      <w:r w:rsidR="00F61E70">
        <w:t>– Zugegriffen: 20.06.2025.</w:t>
      </w:r>
    </w:p>
  </w:footnote>
  <w:footnote w:id="2336">
    <w:p w14:paraId="27AC34A2" w14:textId="77777777" w:rsidR="00084063" w:rsidRDefault="00084063" w:rsidP="00084063">
      <w:pPr>
        <w:pStyle w:val="Funotentext"/>
      </w:pPr>
      <w:r>
        <w:rPr>
          <w:rStyle w:val="Funotenzeichen"/>
        </w:rPr>
        <w:footnoteRef/>
      </w:r>
      <w:r>
        <w:t xml:space="preserve"> Marcus Theurer. Zu viel Strom für die Energiewende. FAZ, 18.01.2025.</w:t>
      </w:r>
    </w:p>
  </w:footnote>
  <w:footnote w:id="2337">
    <w:p w14:paraId="7E0211D7" w14:textId="4DFA7A3B" w:rsidR="006F3BD3" w:rsidRDefault="006F3BD3">
      <w:pPr>
        <w:pStyle w:val="Funotentext"/>
      </w:pPr>
      <w:r>
        <w:rPr>
          <w:rStyle w:val="Funotenzeichen"/>
        </w:rPr>
        <w:footnoteRef/>
      </w:r>
      <w:r>
        <w:t xml:space="preserve"> </w:t>
      </w:r>
      <w:r w:rsidRPr="006F3BD3">
        <w:t>Interview in der Frankfurter Allgemeinen Sonntagszeitung am 16.03.2025</w:t>
      </w:r>
      <w:r>
        <w:t xml:space="preserve">. </w:t>
      </w:r>
    </w:p>
  </w:footnote>
  <w:footnote w:id="2338">
    <w:p w14:paraId="65C823C4" w14:textId="2587BF6C" w:rsidR="006F3BD3" w:rsidRDefault="006F3BD3">
      <w:pPr>
        <w:pStyle w:val="Funotentext"/>
      </w:pPr>
      <w:r>
        <w:rPr>
          <w:rStyle w:val="Funotenzeichen"/>
        </w:rPr>
        <w:footnoteRef/>
      </w:r>
      <w:r>
        <w:t xml:space="preserve"> </w:t>
      </w:r>
      <w:r w:rsidRPr="006F3BD3">
        <w:t>Hanna Decker. So wird die Energiewende 700 Milliarden Euro günstiger. FAZ, 02.04.2025.</w:t>
      </w:r>
    </w:p>
  </w:footnote>
  <w:footnote w:id="2339">
    <w:p w14:paraId="116F442E" w14:textId="06929391" w:rsidR="007759CA" w:rsidRDefault="007759CA">
      <w:pPr>
        <w:pStyle w:val="Funotentext"/>
      </w:pPr>
      <w:r>
        <w:rPr>
          <w:rStyle w:val="Funotenzeichen"/>
        </w:rPr>
        <w:footnoteRef/>
      </w:r>
      <w:r>
        <w:t xml:space="preserve"> Siehe: </w:t>
      </w:r>
      <w:hyperlink r:id="rId1731" w:history="1">
        <w:r w:rsidRPr="003E7CA8">
          <w:rPr>
            <w:rStyle w:val="Hyperlink"/>
          </w:rPr>
          <w:t>https://bdi.eu/artikel/news/transformationspfade-studie-energiewende-auf-kurs-bringen</w:t>
        </w:r>
      </w:hyperlink>
      <w:r>
        <w:t xml:space="preserve"> - Zugegriffen: 28.06.2025. </w:t>
      </w:r>
    </w:p>
  </w:footnote>
  <w:footnote w:id="2340">
    <w:p w14:paraId="2243C5FF" w14:textId="3EC85B31" w:rsidR="00084063" w:rsidRDefault="00084063">
      <w:pPr>
        <w:pStyle w:val="Funotentext"/>
      </w:pPr>
      <w:r>
        <w:rPr>
          <w:rStyle w:val="Funotenzeichen"/>
        </w:rPr>
        <w:footnoteRef/>
      </w:r>
      <w:r>
        <w:t xml:space="preserve"> Marcus Theurer. Zu viel Strom für die Energiewende. FAZ, 18.01.2025.</w:t>
      </w:r>
    </w:p>
  </w:footnote>
  <w:footnote w:id="2341">
    <w:p w14:paraId="1217A514" w14:textId="77777777" w:rsidR="009E7E6A" w:rsidRDefault="009E7E6A" w:rsidP="009E7E6A">
      <w:pPr>
        <w:pStyle w:val="Funotentext"/>
      </w:pPr>
      <w:r>
        <w:rPr>
          <w:rStyle w:val="Funotenzeichen"/>
        </w:rPr>
        <w:footnoteRef/>
      </w:r>
      <w:r>
        <w:t xml:space="preserve"> Marcus Theurer. Zu viel Strom für die Energiewende. FAZ, 18.01.2025.</w:t>
      </w:r>
    </w:p>
  </w:footnote>
  <w:footnote w:id="2342">
    <w:p w14:paraId="0C4412D2" w14:textId="48071201" w:rsidR="000D7ABA" w:rsidRDefault="000D7ABA">
      <w:pPr>
        <w:pStyle w:val="Funotentext"/>
      </w:pPr>
      <w:r>
        <w:rPr>
          <w:rStyle w:val="Funotenzeichen"/>
        </w:rPr>
        <w:footnoteRef/>
      </w:r>
      <w:r>
        <w:t xml:space="preserve"> Etwa, dass der Primärenergieverbrauch in Deutschland bis 2030 um mindestens 30 % sinkt, in den Fraunhofer Langfriststudien sind es 43 %</w:t>
      </w:r>
      <w:r w:rsidR="004411FC">
        <w:t xml:space="preserve">, siehe S. 3. </w:t>
      </w:r>
      <w:r w:rsidRPr="000D7ABA">
        <w:t xml:space="preserve">Meyer et al. 2023: Meyer, Jörg, Madsen, Marius, </w:t>
      </w:r>
      <w:proofErr w:type="spellStart"/>
      <w:r w:rsidRPr="000D7ABA">
        <w:t>Saars</w:t>
      </w:r>
      <w:proofErr w:type="spellEnd"/>
      <w:r w:rsidRPr="000D7ABA">
        <w:t xml:space="preserve">, Lukas. Kurzstudie Energieeffizienzmaßnahmen in der Industrie. März 2023. Hochschule Niederrhein. URL: </w:t>
      </w:r>
      <w:hyperlink r:id="rId1732" w:history="1">
        <w:r w:rsidRPr="000D7ABA">
          <w:rPr>
            <w:rStyle w:val="Hyperlink"/>
          </w:rPr>
          <w:t>https://deneff.org/wp-content/uploads/2023/04/HSNR-Kurzstudie-EnEffPotentiale-Industrie-2023-03-31.pdf</w:t>
        </w:r>
      </w:hyperlink>
      <w:r w:rsidRPr="000D7ABA">
        <w:t xml:space="preserve"> - Zugegriffen: 28.11.2023.</w:t>
      </w:r>
    </w:p>
  </w:footnote>
  <w:footnote w:id="2343">
    <w:p w14:paraId="091A9CA8" w14:textId="77777777" w:rsidR="009E7E6A" w:rsidRDefault="009E7E6A" w:rsidP="009E7E6A">
      <w:pPr>
        <w:pStyle w:val="Funotentext"/>
      </w:pPr>
      <w:r>
        <w:rPr>
          <w:rStyle w:val="Funotenzeichen"/>
        </w:rPr>
        <w:footnoteRef/>
      </w:r>
      <w:r>
        <w:t xml:space="preserve"> Marcus Theurer. Zu viel Strom für die Energiewende. FAZ, 18.01.2025.</w:t>
      </w:r>
    </w:p>
  </w:footnote>
  <w:footnote w:id="2344">
    <w:p w14:paraId="28B49168" w14:textId="49A99BD9" w:rsidR="001E4008" w:rsidRDefault="001E4008" w:rsidP="001E4008">
      <w:pPr>
        <w:pStyle w:val="Funotentext"/>
      </w:pPr>
      <w:r>
        <w:rPr>
          <w:rStyle w:val="Funotenzeichen"/>
        </w:rPr>
        <w:footnoteRef/>
      </w:r>
      <w:r>
        <w:t xml:space="preserve"> Siehe: </w:t>
      </w:r>
      <w:hyperlink r:id="rId1733" w:history="1">
        <w:r w:rsidRPr="003E7CA8">
          <w:rPr>
            <w:rStyle w:val="Hyperlink"/>
          </w:rPr>
          <w:t>https://www.rwe.com/presse/interviews/wir-koennten-bei-der-energiewende-richtig-viel-geld-einsparen/</w:t>
        </w:r>
      </w:hyperlink>
      <w:r>
        <w:t xml:space="preserve"> - Zugegriffen: 28.06.2025.  </w:t>
      </w:r>
    </w:p>
  </w:footnote>
  <w:footnote w:id="2345">
    <w:p w14:paraId="6322CB8F" w14:textId="40FA2A4E" w:rsidR="001E4008" w:rsidRDefault="001E4008" w:rsidP="001E4008">
      <w:pPr>
        <w:pStyle w:val="Funotentext"/>
      </w:pPr>
      <w:r>
        <w:rPr>
          <w:rStyle w:val="Funotenzeichen"/>
        </w:rPr>
        <w:footnoteRef/>
      </w:r>
      <w:r>
        <w:t xml:space="preserve"> S. 47, siehe: </w:t>
      </w:r>
      <w:hyperlink r:id="rId1734" w:history="1">
        <w:r w:rsidRPr="00935F25">
          <w:rPr>
            <w:rStyle w:val="Hyperlink"/>
          </w:rPr>
          <w:t>https://www.bundesnetzagentur.de/DE/Fachthemen/ElektrizitaetundGas/NEP/DL_Szenariorahmen/Genehm_SR_2025Strom.pdf?__blob=publicationFile&amp;v=2</w:t>
        </w:r>
      </w:hyperlink>
      <w:r>
        <w:t xml:space="preserve"> </w:t>
      </w:r>
      <w:r w:rsidR="00564116">
        <w:t xml:space="preserve">– Zugegriffen: 20.06.2025. </w:t>
      </w:r>
    </w:p>
  </w:footnote>
  <w:footnote w:id="2346">
    <w:p w14:paraId="1D29AF2C" w14:textId="0A614FEF" w:rsidR="00AE29F0" w:rsidRDefault="00AE29F0" w:rsidP="00AE29F0">
      <w:pPr>
        <w:pStyle w:val="Funotentext"/>
      </w:pPr>
      <w:r>
        <w:rPr>
          <w:rStyle w:val="Funotenzeichen"/>
        </w:rPr>
        <w:footnoteRef/>
      </w:r>
      <w:r>
        <w:t xml:space="preserve"> Nationaler Wasserstoffrat 2024: 10.</w:t>
      </w:r>
    </w:p>
  </w:footnote>
  <w:footnote w:id="2347">
    <w:p w14:paraId="4DA87372" w14:textId="7F4549F1" w:rsidR="0045222A" w:rsidRDefault="0045222A">
      <w:pPr>
        <w:pStyle w:val="Funotentext"/>
      </w:pPr>
      <w:r>
        <w:rPr>
          <w:rStyle w:val="Funotenzeichen"/>
        </w:rPr>
        <w:footnoteRef/>
      </w:r>
      <w:r>
        <w:t xml:space="preserve"> A</w:t>
      </w:r>
      <w:r w:rsidRPr="0045222A">
        <w:t xml:space="preserve">ber einfach mal gerechnet: 1 kg Wasserstoff hat 33 kWh, 1 Tonne hat 33.333 kWh: bei 30 TWh: 30.000.000.000 / 33333 = 900.000 Tonnen Wasserstoff, bei 200 TWh: 200.000.000.000 / 33333 = 6.000.000 Tonnen Wasserstoff, also 6 Mill. Tonnen, hier kann man in Teil 1 auf der Tabelle nachsehen. Ich rechne aus Faulheit nun nicht mehr 6 Mill. Tonnen aus, sondern nehme </w:t>
      </w:r>
      <w:proofErr w:type="gramStart"/>
      <w:r w:rsidRPr="0045222A">
        <w:t>die Wert</w:t>
      </w:r>
      <w:proofErr w:type="gramEnd"/>
      <w:r w:rsidRPr="0045222A">
        <w:t xml:space="preserve"> für 10 Mill. Tonnen Wasserstoff: 10.000.000 Tonnen Wasserstoff: braucht 800 TWh Strom, 8330 Solarpark Barth, </w:t>
      </w:r>
      <w:proofErr w:type="gramStart"/>
      <w:r w:rsidRPr="0045222A">
        <w:t>240 mal</w:t>
      </w:r>
      <w:proofErr w:type="gramEnd"/>
      <w:r w:rsidRPr="0045222A">
        <w:t xml:space="preserve"> Landwind Werder Kessin und </w:t>
      </w:r>
      <w:proofErr w:type="gramStart"/>
      <w:r w:rsidRPr="0045222A">
        <w:t>40 mal</w:t>
      </w:r>
      <w:proofErr w:type="gramEnd"/>
      <w:r w:rsidRPr="0045222A">
        <w:t xml:space="preserve"> Offshore Hohe See Albatros und die Elektrolyseure sind: 1000 mal 100 MW oder 200 mal 500 MW Elektrolyseure. Oder 80 TWh für 1.000.000 Tonnen Wasserstoff und ein dementsprechender Ausbau erneuerbarer Energien, bei 80 TWh / 0,3 = 266 Landwindparks Werder </w:t>
      </w:r>
      <w:proofErr w:type="spellStart"/>
      <w:r w:rsidRPr="0045222A">
        <w:t>Kessin</w:t>
      </w:r>
      <w:proofErr w:type="spellEnd"/>
      <w:r w:rsidRPr="0045222A">
        <w:t>. Bei 800 TWh sind das 2666 Landwindparks (diese kosten dann 548 Mrd. Euro, die 1000 Elektrolyseure a 100 MW könnten 50 Mill. kosten, also 50 Mrd. Euro). Teuer, viel, aber selbst einen Strombedarf von 800 TWh kann man mit erneuerbaren Energien schaffen.</w:t>
      </w:r>
    </w:p>
  </w:footnote>
  <w:footnote w:id="2348">
    <w:p w14:paraId="33FF4579" w14:textId="5BB211F6" w:rsidR="004458DB" w:rsidRDefault="004458DB">
      <w:pPr>
        <w:pStyle w:val="Funotentext"/>
      </w:pPr>
      <w:r>
        <w:rPr>
          <w:rStyle w:val="Funotenzeichen"/>
        </w:rPr>
        <w:footnoteRef/>
      </w:r>
      <w:r>
        <w:t xml:space="preserve"> </w:t>
      </w:r>
      <w:r w:rsidR="002105A7" w:rsidRPr="002105A7">
        <w:t xml:space="preserve">EU-Verfahren gegen China. FAZ, 11.04.2024. </w:t>
      </w:r>
    </w:p>
  </w:footnote>
  <w:footnote w:id="2349">
    <w:p w14:paraId="4BD4EC6E" w14:textId="24C52E48" w:rsidR="004458DB" w:rsidRDefault="004458DB">
      <w:pPr>
        <w:pStyle w:val="Funotentext"/>
      </w:pPr>
      <w:r>
        <w:rPr>
          <w:rStyle w:val="Funotenzeichen"/>
        </w:rPr>
        <w:footnoteRef/>
      </w:r>
      <w:r>
        <w:t xml:space="preserve"> </w:t>
      </w:r>
      <w:r w:rsidR="002105A7" w:rsidRPr="002105A7">
        <w:t xml:space="preserve">Siehe: </w:t>
      </w:r>
      <w:hyperlink r:id="rId1735" w:history="1">
        <w:r w:rsidR="002105A7" w:rsidRPr="002105A7">
          <w:rPr>
            <w:rStyle w:val="Hyperlink"/>
          </w:rPr>
          <w:t>https://windeurope.org/newsroom/press-releases/eu-starts-investigation-into-chinese-wind-turbines-under-new-foreign-subsidies-regulation/</w:t>
        </w:r>
      </w:hyperlink>
      <w:r w:rsidR="002105A7" w:rsidRPr="002105A7">
        <w:t xml:space="preserve"> - Zugegriffen: 30.04.2025.</w:t>
      </w:r>
    </w:p>
  </w:footnote>
  <w:footnote w:id="2350">
    <w:p w14:paraId="60F198C1" w14:textId="28441EBB" w:rsidR="0033754D" w:rsidRDefault="0033754D">
      <w:pPr>
        <w:pStyle w:val="Funotentext"/>
      </w:pPr>
      <w:r>
        <w:rPr>
          <w:rStyle w:val="Funotenzeichen"/>
        </w:rPr>
        <w:footnoteRef/>
      </w:r>
      <w:r>
        <w:t xml:space="preserve"> S. 32-40, siehe </w:t>
      </w:r>
      <w:r w:rsidRPr="0033754D">
        <w:t xml:space="preserve">DENA </w:t>
      </w:r>
      <w:proofErr w:type="spellStart"/>
      <w:r w:rsidRPr="0033754D">
        <w:t>StiPE</w:t>
      </w:r>
      <w:proofErr w:type="spellEnd"/>
      <w:r w:rsidRPr="0033754D">
        <w:t xml:space="preserve"> Berich</w:t>
      </w:r>
      <w:r>
        <w:t>t</w:t>
      </w:r>
      <w:r w:rsidRPr="0033754D">
        <w:t xml:space="preserve"> 2022: Dena. Entwurf einer industriepolitischen Strategie für erneuerbare Energien und Stromnetze, Stand: 12/2022. Siehe: </w:t>
      </w:r>
      <w:hyperlink r:id="rId1736" w:history="1">
        <w:r w:rsidRPr="00151089">
          <w:rPr>
            <w:rStyle w:val="Hyperlink"/>
          </w:rPr>
          <w:t>https://www.bmwk.de/Redaktion/DE/Publikationen/Energie/stakeholderdialog-industrielle-produktionskapazitaten-fur-die-energiewende.html</w:t>
        </w:r>
      </w:hyperlink>
      <w:r>
        <w:t xml:space="preserve"> </w:t>
      </w:r>
      <w:r w:rsidRPr="0033754D">
        <w:t xml:space="preserve">- Zugegriffen: 02.06.2025.  </w:t>
      </w:r>
    </w:p>
  </w:footnote>
  <w:footnote w:id="2351">
    <w:p w14:paraId="28984A6D" w14:textId="7B0E3EBD" w:rsidR="00C97251" w:rsidRDefault="00C97251">
      <w:pPr>
        <w:pStyle w:val="Funotentext"/>
      </w:pPr>
      <w:r>
        <w:rPr>
          <w:rStyle w:val="Funotenzeichen"/>
        </w:rPr>
        <w:footnoteRef/>
      </w:r>
      <w:r>
        <w:t xml:space="preserve"> </w:t>
      </w:r>
      <w:r w:rsidRPr="00C97251">
        <w:t xml:space="preserve">DENA </w:t>
      </w:r>
      <w:proofErr w:type="spellStart"/>
      <w:r w:rsidRPr="00C97251">
        <w:t>StiPE</w:t>
      </w:r>
      <w:proofErr w:type="spellEnd"/>
      <w:r w:rsidRPr="00C97251">
        <w:t xml:space="preserve"> Bericht 2022:</w:t>
      </w:r>
      <w:r>
        <w:t xml:space="preserve"> 36-37.</w:t>
      </w:r>
    </w:p>
  </w:footnote>
  <w:footnote w:id="2352">
    <w:p w14:paraId="277AE236" w14:textId="2B3B269C" w:rsidR="00C97251" w:rsidRDefault="00C97251" w:rsidP="00C97251">
      <w:pPr>
        <w:pStyle w:val="Funotentext"/>
      </w:pPr>
      <w:r>
        <w:rPr>
          <w:rStyle w:val="Funotenzeichen"/>
        </w:rPr>
        <w:footnoteRef/>
      </w:r>
      <w:r>
        <w:t xml:space="preserve"> </w:t>
      </w:r>
      <w:r w:rsidRPr="00C97251">
        <w:t xml:space="preserve">DENA </w:t>
      </w:r>
      <w:proofErr w:type="spellStart"/>
      <w:r w:rsidRPr="00C97251">
        <w:t>StiPE</w:t>
      </w:r>
      <w:proofErr w:type="spellEnd"/>
      <w:r w:rsidRPr="00C97251">
        <w:t xml:space="preserve"> Bericht 2022:</w:t>
      </w:r>
      <w:r>
        <w:t xml:space="preserve"> 39.</w:t>
      </w:r>
    </w:p>
  </w:footnote>
  <w:footnote w:id="2353">
    <w:p w14:paraId="4F1C0F79" w14:textId="00AF8211" w:rsidR="00FD7D2F" w:rsidRPr="00D27DAA" w:rsidRDefault="00FD7D2F" w:rsidP="00FD7D2F">
      <w:pPr>
        <w:pStyle w:val="Funotentext"/>
      </w:pPr>
      <w:r>
        <w:rPr>
          <w:rStyle w:val="Funotenzeichen"/>
        </w:rPr>
        <w:footnoteRef/>
      </w:r>
      <w:r w:rsidRPr="007D2AA5">
        <w:t xml:space="preserve"> </w:t>
      </w:r>
      <w:r w:rsidR="00D27DAA" w:rsidRPr="007D2AA5">
        <w:t xml:space="preserve">The Draghi </w:t>
      </w:r>
      <w:proofErr w:type="spellStart"/>
      <w:r w:rsidR="00D27DAA" w:rsidRPr="007D2AA5">
        <w:t>report</w:t>
      </w:r>
      <w:proofErr w:type="spellEnd"/>
      <w:r w:rsidR="00D27DAA" w:rsidRPr="007D2AA5">
        <w:t xml:space="preserve"> on EU </w:t>
      </w:r>
      <w:proofErr w:type="spellStart"/>
      <w:r w:rsidR="00D27DAA" w:rsidRPr="007D2AA5">
        <w:t>competitiveness</w:t>
      </w:r>
      <w:proofErr w:type="spellEnd"/>
      <w:r w:rsidR="00D27DAA" w:rsidRPr="007D2AA5">
        <w:t xml:space="preserve"> 2024, </w:t>
      </w:r>
      <w:r w:rsidRPr="007D2AA5">
        <w:t>Part A. Ebd., S. 67.</w:t>
      </w:r>
      <w:r w:rsidR="00D27DAA" w:rsidRPr="007D2AA5">
        <w:t xml:space="preserve"> </w:t>
      </w:r>
      <w:r w:rsidR="00D27DAA" w:rsidRPr="00D27DAA">
        <w:t xml:space="preserve">Siehe: </w:t>
      </w:r>
      <w:hyperlink r:id="rId1737" w:history="1">
        <w:r w:rsidR="00D27DAA" w:rsidRPr="003E7CA8">
          <w:rPr>
            <w:rStyle w:val="Hyperlink"/>
          </w:rPr>
          <w:t>https://commission.europa.eu/topics/eu-competitiveness/draghi-report_en</w:t>
        </w:r>
      </w:hyperlink>
      <w:r w:rsidR="00D27DAA">
        <w:t xml:space="preserve"> - Zugegriffen: 28.06.2025.</w:t>
      </w:r>
    </w:p>
  </w:footnote>
  <w:footnote w:id="2354">
    <w:p w14:paraId="01DBB799" w14:textId="77777777" w:rsidR="00F41674" w:rsidRDefault="00F41674" w:rsidP="00F41674">
      <w:pPr>
        <w:pStyle w:val="Funotentext"/>
      </w:pPr>
      <w:r>
        <w:rPr>
          <w:rStyle w:val="Funotenzeichen"/>
        </w:rPr>
        <w:footnoteRef/>
      </w:r>
      <w:r>
        <w:t xml:space="preserve"> Siehe: </w:t>
      </w:r>
      <w:hyperlink r:id="rId1738" w:history="1">
        <w:r w:rsidRPr="00143633">
          <w:rPr>
            <w:rStyle w:val="Hyperlink"/>
          </w:rPr>
          <w:t>https://www.claudiakemfert.de/</w:t>
        </w:r>
      </w:hyperlink>
      <w:r>
        <w:t xml:space="preserve"> </w:t>
      </w:r>
    </w:p>
  </w:footnote>
  <w:footnote w:id="2355">
    <w:p w14:paraId="651F18E9" w14:textId="77777777" w:rsidR="00F41674" w:rsidRDefault="00F41674" w:rsidP="00F41674">
      <w:pPr>
        <w:pStyle w:val="Funotentext"/>
      </w:pPr>
      <w:r>
        <w:rPr>
          <w:rStyle w:val="Funotenzeichen"/>
        </w:rPr>
        <w:footnoteRef/>
      </w:r>
      <w:r>
        <w:t xml:space="preserve"> Siehe: </w:t>
      </w:r>
      <w:hyperlink r:id="rId1739" w:history="1">
        <w:r w:rsidRPr="00143633">
          <w:rPr>
            <w:rStyle w:val="Hyperlink"/>
          </w:rPr>
          <w:t>https://www.mdr.de/nachrichten/deutschland/wirtschaft/kemfert-solar-meyer-burger-100.html</w:t>
        </w:r>
      </w:hyperlink>
      <w:r>
        <w:t xml:space="preserve"> - Zugegriffen: 01.06.2025. </w:t>
      </w:r>
    </w:p>
  </w:footnote>
  <w:footnote w:id="2356">
    <w:p w14:paraId="0CB41155" w14:textId="428107C8" w:rsidR="00A26E63" w:rsidRPr="00A902EA" w:rsidRDefault="00A26E63">
      <w:pPr>
        <w:pStyle w:val="Funotentext"/>
      </w:pPr>
      <w:r>
        <w:rPr>
          <w:rStyle w:val="Funotenzeichen"/>
        </w:rPr>
        <w:footnoteRef/>
      </w:r>
      <w:r w:rsidRPr="00A902EA">
        <w:t xml:space="preserve"> Am 02.12.2024: </w:t>
      </w:r>
      <w:hyperlink r:id="rId1740" w:history="1">
        <w:r w:rsidR="00A902EA" w:rsidRPr="00A902EA">
          <w:rPr>
            <w:rStyle w:val="Hyperlink"/>
          </w:rPr>
          <w:t>https://www.euractiv.de/section/energie-und-umwelt/news/stahlindustrie-draengt-auf-eu-quoten-fuer-gruenen-stahl-im-automobilsektor/</w:t>
        </w:r>
      </w:hyperlink>
      <w:r w:rsidR="00A902EA" w:rsidRPr="00A902EA">
        <w:t xml:space="preserve"> - Zu</w:t>
      </w:r>
      <w:r w:rsidR="00A902EA">
        <w:t xml:space="preserve">gegriffen: 26.06.2025. </w:t>
      </w:r>
    </w:p>
  </w:footnote>
  <w:footnote w:id="2357">
    <w:p w14:paraId="3A5194A7" w14:textId="47E7CF07" w:rsidR="00DB2AD1" w:rsidRDefault="00DB2AD1" w:rsidP="00DB2AD1">
      <w:pPr>
        <w:pStyle w:val="Funotentext"/>
      </w:pPr>
      <w:r>
        <w:rPr>
          <w:rStyle w:val="Funotenzeichen"/>
        </w:rPr>
        <w:footnoteRef/>
      </w:r>
      <w:r>
        <w:t xml:space="preserve"> </w:t>
      </w:r>
      <w:r w:rsidRPr="00DB2AD1">
        <w:t xml:space="preserve">DENA </w:t>
      </w:r>
      <w:proofErr w:type="spellStart"/>
      <w:r w:rsidRPr="00DB2AD1">
        <w:t>StiPE</w:t>
      </w:r>
      <w:proofErr w:type="spellEnd"/>
      <w:r w:rsidRPr="00DB2AD1">
        <w:t xml:space="preserve"> Berich</w:t>
      </w:r>
      <w:r w:rsidR="002105A7">
        <w:t>t</w:t>
      </w:r>
      <w:r w:rsidRPr="00DB2AD1">
        <w:t xml:space="preserve"> 2022: Dena. Entwurf einer industriepolitischen Strategie für erneuerbare Energien und Stromnetze, Stand: 12/2022. Siehe: </w:t>
      </w:r>
      <w:hyperlink r:id="rId1741" w:history="1">
        <w:r w:rsidRPr="00DB2AD1">
          <w:rPr>
            <w:rStyle w:val="Hyperlink"/>
          </w:rPr>
          <w:t>https://www.bmwk.de/Redaktion/DE/Publikationen/Energie/stakeholderdialog-industrielle-produktionskapazitaten-fur-die-energiewende.html</w:t>
        </w:r>
      </w:hyperlink>
      <w:r w:rsidRPr="00DB2AD1">
        <w:t xml:space="preserve"> - Zugegriffen: 02.06.2025.  </w:t>
      </w:r>
    </w:p>
  </w:footnote>
  <w:footnote w:id="2358">
    <w:p w14:paraId="06011196" w14:textId="5FC516AA" w:rsidR="00DB2AD1" w:rsidRDefault="00DB2AD1">
      <w:pPr>
        <w:pStyle w:val="Funotentext"/>
      </w:pPr>
      <w:r>
        <w:rPr>
          <w:rStyle w:val="Funotenzeichen"/>
        </w:rPr>
        <w:footnoteRef/>
      </w:r>
      <w:r>
        <w:t xml:space="preserve"> </w:t>
      </w:r>
      <w:r w:rsidRPr="00DB2AD1">
        <w:t xml:space="preserve">DENA </w:t>
      </w:r>
      <w:proofErr w:type="spellStart"/>
      <w:r w:rsidRPr="00DB2AD1">
        <w:t>StiPE</w:t>
      </w:r>
      <w:proofErr w:type="spellEnd"/>
      <w:r w:rsidRPr="00DB2AD1">
        <w:t xml:space="preserve"> Berich</w:t>
      </w:r>
      <w:r w:rsidR="002105A7">
        <w:t>t</w:t>
      </w:r>
      <w:r w:rsidRPr="00DB2AD1">
        <w:t xml:space="preserve"> 2022:</w:t>
      </w:r>
      <w:r>
        <w:t xml:space="preserve"> 8.</w:t>
      </w:r>
    </w:p>
  </w:footnote>
  <w:footnote w:id="2359">
    <w:p w14:paraId="63C26074" w14:textId="017C9D01" w:rsidR="00480DD3" w:rsidRDefault="00480DD3">
      <w:pPr>
        <w:pStyle w:val="Funotentext"/>
      </w:pPr>
      <w:r>
        <w:rPr>
          <w:rStyle w:val="Funotenzeichen"/>
        </w:rPr>
        <w:footnoteRef/>
      </w:r>
      <w:r>
        <w:t xml:space="preserve"> </w:t>
      </w:r>
      <w:r w:rsidR="002105A7" w:rsidRPr="00DB2AD1">
        <w:t xml:space="preserve">DENA </w:t>
      </w:r>
      <w:proofErr w:type="spellStart"/>
      <w:r w:rsidR="002105A7" w:rsidRPr="00DB2AD1">
        <w:t>StiPE</w:t>
      </w:r>
      <w:proofErr w:type="spellEnd"/>
      <w:r w:rsidR="002105A7" w:rsidRPr="00DB2AD1">
        <w:t xml:space="preserve"> Bereich 2022:</w:t>
      </w:r>
      <w:r w:rsidR="002105A7">
        <w:t>9.</w:t>
      </w:r>
    </w:p>
  </w:footnote>
  <w:footnote w:id="2360">
    <w:p w14:paraId="2640F319" w14:textId="0EA10E38" w:rsidR="002105A7" w:rsidRDefault="002105A7">
      <w:pPr>
        <w:pStyle w:val="Funotentext"/>
      </w:pPr>
      <w:r>
        <w:rPr>
          <w:rStyle w:val="Funotenzeichen"/>
        </w:rPr>
        <w:footnoteRef/>
      </w:r>
      <w:r>
        <w:t xml:space="preserve"> </w:t>
      </w:r>
      <w:r w:rsidRPr="00DB2AD1">
        <w:t xml:space="preserve">DENA </w:t>
      </w:r>
      <w:proofErr w:type="spellStart"/>
      <w:r w:rsidRPr="00DB2AD1">
        <w:t>StiPE</w:t>
      </w:r>
      <w:proofErr w:type="spellEnd"/>
      <w:r w:rsidRPr="00DB2AD1">
        <w:t xml:space="preserve"> Bereich 2022:</w:t>
      </w:r>
      <w:r>
        <w:t xml:space="preserve"> 11.</w:t>
      </w:r>
    </w:p>
  </w:footnote>
  <w:footnote w:id="2361">
    <w:p w14:paraId="4D79090A" w14:textId="4930C5C2" w:rsidR="0086292E" w:rsidRDefault="0086292E">
      <w:pPr>
        <w:pStyle w:val="Funotentext"/>
      </w:pPr>
      <w:r>
        <w:rPr>
          <w:rStyle w:val="Funotenzeichen"/>
        </w:rPr>
        <w:footnoteRef/>
      </w:r>
      <w:r>
        <w:t xml:space="preserve"> </w:t>
      </w:r>
      <w:r w:rsidRPr="00DB2AD1">
        <w:t xml:space="preserve">DENA </w:t>
      </w:r>
      <w:proofErr w:type="spellStart"/>
      <w:r w:rsidRPr="00DB2AD1">
        <w:t>StiPE</w:t>
      </w:r>
      <w:proofErr w:type="spellEnd"/>
      <w:r w:rsidRPr="00DB2AD1">
        <w:t xml:space="preserve"> Berich</w:t>
      </w:r>
      <w:r w:rsidR="000D2AA3">
        <w:t>t</w:t>
      </w:r>
      <w:r w:rsidRPr="00DB2AD1">
        <w:t xml:space="preserve"> 2022:</w:t>
      </w:r>
      <w:r>
        <w:t xml:space="preserve"> 12.</w:t>
      </w:r>
    </w:p>
  </w:footnote>
  <w:footnote w:id="2362">
    <w:p w14:paraId="3A10569B" w14:textId="532D9369" w:rsidR="005033F3" w:rsidRDefault="005033F3">
      <w:pPr>
        <w:pStyle w:val="Funotentext"/>
      </w:pPr>
      <w:r>
        <w:rPr>
          <w:rStyle w:val="Funotenzeichen"/>
        </w:rPr>
        <w:footnoteRef/>
      </w:r>
      <w:r>
        <w:t xml:space="preserve"> Systementwicklungsstrategie 2024: 20.</w:t>
      </w:r>
    </w:p>
  </w:footnote>
  <w:footnote w:id="2363">
    <w:p w14:paraId="479B5728" w14:textId="635BBBDD" w:rsidR="001F2391" w:rsidRDefault="001F2391">
      <w:pPr>
        <w:pStyle w:val="Funotentext"/>
      </w:pPr>
      <w:r>
        <w:rPr>
          <w:rStyle w:val="Funotenzeichen"/>
        </w:rPr>
        <w:footnoteRef/>
      </w:r>
      <w:r>
        <w:t xml:space="preserve"> </w:t>
      </w:r>
      <w:r w:rsidRPr="001F2391">
        <w:t>Marcus Theurer. Das übersehene Problem der Energiewende. FAZ, 27.04.2</w:t>
      </w:r>
      <w:r>
        <w:t>0</w:t>
      </w:r>
      <w:r w:rsidRPr="001F2391">
        <w:t>25.</w:t>
      </w:r>
    </w:p>
  </w:footnote>
  <w:footnote w:id="2364">
    <w:p w14:paraId="51A2CFBD" w14:textId="121EE078" w:rsidR="00AA7A8A" w:rsidRDefault="00AA7A8A">
      <w:pPr>
        <w:pStyle w:val="Funotentext"/>
      </w:pPr>
      <w:r>
        <w:rPr>
          <w:rStyle w:val="Funotenzeichen"/>
        </w:rPr>
        <w:footnoteRef/>
      </w:r>
      <w:r>
        <w:t xml:space="preserve"> </w:t>
      </w:r>
      <w:bookmarkStart w:id="122" w:name="_Hlk200463159"/>
      <w:r w:rsidR="001F2391">
        <w:t xml:space="preserve">Marcus Theurer. Das übersehene Problem der Energiewende. FAZ, 27.04.2025. </w:t>
      </w:r>
      <w:bookmarkEnd w:id="122"/>
    </w:p>
  </w:footnote>
  <w:footnote w:id="2365">
    <w:p w14:paraId="08BC105C" w14:textId="64D01E67" w:rsidR="00BC75A0" w:rsidRDefault="00BC75A0">
      <w:pPr>
        <w:pStyle w:val="Funotentext"/>
      </w:pPr>
      <w:r>
        <w:rPr>
          <w:rStyle w:val="Funotenzeichen"/>
        </w:rPr>
        <w:footnoteRef/>
      </w:r>
      <w:r>
        <w:t xml:space="preserve"> Siehe: </w:t>
      </w:r>
      <w:hyperlink r:id="rId1742" w:history="1">
        <w:r w:rsidRPr="009B1ED1">
          <w:rPr>
            <w:rStyle w:val="Hyperlink"/>
          </w:rPr>
          <w:t>https://de.prysmian.com/</w:t>
        </w:r>
      </w:hyperlink>
      <w:r>
        <w:t xml:space="preserve"> </w:t>
      </w:r>
    </w:p>
  </w:footnote>
  <w:footnote w:id="2366">
    <w:p w14:paraId="24E0C5D8" w14:textId="76FDBD32" w:rsidR="00E06856" w:rsidRDefault="00E06856">
      <w:pPr>
        <w:pStyle w:val="Funotentext"/>
      </w:pPr>
      <w:r>
        <w:rPr>
          <w:rStyle w:val="Funotenzeichen"/>
        </w:rPr>
        <w:footnoteRef/>
      </w:r>
      <w:r>
        <w:t xml:space="preserve"> Siehe: </w:t>
      </w:r>
      <w:hyperlink r:id="rId1743" w:history="1">
        <w:r w:rsidRPr="00F77D64">
          <w:rPr>
            <w:rStyle w:val="Hyperlink"/>
          </w:rPr>
          <w:t>https://en.wikipedia.org/wiki/Prysmian_Group</w:t>
        </w:r>
      </w:hyperlink>
      <w:r>
        <w:t xml:space="preserve"> </w:t>
      </w:r>
      <w:r w:rsidR="00BC75A0">
        <w:t xml:space="preserve">- siehe gerade auch den Artikel in der FAZ: Christian Schubert. Der Strom, der aus der Tiefe kommt. FAZ, 03.06.2025. </w:t>
      </w:r>
    </w:p>
  </w:footnote>
  <w:footnote w:id="2367">
    <w:p w14:paraId="61C00946" w14:textId="492E1E11" w:rsidR="00E06856" w:rsidRDefault="00E06856">
      <w:pPr>
        <w:pStyle w:val="Funotentext"/>
      </w:pPr>
      <w:r>
        <w:rPr>
          <w:rStyle w:val="Funotenzeichen"/>
        </w:rPr>
        <w:footnoteRef/>
      </w:r>
      <w:r>
        <w:t xml:space="preserve"> Siehe: </w:t>
      </w:r>
      <w:hyperlink r:id="rId1744" w:history="1">
        <w:r w:rsidRPr="00F77D64">
          <w:rPr>
            <w:rStyle w:val="Hyperlink"/>
          </w:rPr>
          <w:t>https://de.wikipedia.org/wiki/Hochspannungs-Kabelkartell</w:t>
        </w:r>
      </w:hyperlink>
      <w:r>
        <w:t xml:space="preserve"> - Zugegriffen: 10.06.2025. </w:t>
      </w:r>
    </w:p>
  </w:footnote>
  <w:footnote w:id="2368">
    <w:p w14:paraId="60AB2BF4" w14:textId="506BD5A7" w:rsidR="006B0C80" w:rsidRDefault="006B0C80" w:rsidP="00DB2A0B">
      <w:pPr>
        <w:pStyle w:val="Funotentext"/>
        <w:tabs>
          <w:tab w:val="left" w:pos="795"/>
        </w:tabs>
      </w:pPr>
      <w:r>
        <w:rPr>
          <w:rStyle w:val="Funotenzeichen"/>
        </w:rPr>
        <w:footnoteRef/>
      </w:r>
      <w:r>
        <w:t xml:space="preserve"> </w:t>
      </w:r>
      <w:r w:rsidR="00DB2A0B">
        <w:t xml:space="preserve">Siehe: </w:t>
      </w:r>
      <w:hyperlink r:id="rId1745" w:history="1">
        <w:r w:rsidR="00DB2A0B" w:rsidRPr="00151089">
          <w:rPr>
            <w:rStyle w:val="Hyperlink"/>
          </w:rPr>
          <w:t>https://www.wirtschaft.nrw/buergerenergiegesetz-nrw</w:t>
        </w:r>
      </w:hyperlink>
      <w:r w:rsidR="00DB2A0B">
        <w:t xml:space="preserve"> - Zugegriffen: 16.06.2025. </w:t>
      </w:r>
    </w:p>
  </w:footnote>
  <w:footnote w:id="2369">
    <w:p w14:paraId="1A6245C0" w14:textId="5A9509BD" w:rsidR="00E72818" w:rsidRDefault="00E72818">
      <w:pPr>
        <w:pStyle w:val="Funotentext"/>
      </w:pPr>
      <w:r>
        <w:rPr>
          <w:rStyle w:val="Funotenzeichen"/>
        </w:rPr>
        <w:footnoteRef/>
      </w:r>
      <w:r>
        <w:t xml:space="preserve"> Siehe: </w:t>
      </w:r>
      <w:hyperlink r:id="rId1746" w:history="1">
        <w:r w:rsidRPr="00151089">
          <w:rPr>
            <w:rStyle w:val="Hyperlink"/>
          </w:rPr>
          <w:t>https://www.energy4climate.nrw/aktuelles/newsroom/energiewende-wie-buergerinnen-und-kommunen-vom-lokalen-ausbau-erneuerbarer-energien-profitieren-koennen</w:t>
        </w:r>
      </w:hyperlink>
      <w:r>
        <w:t xml:space="preserve"> - Zugegriffen: 16.06.2025. </w:t>
      </w:r>
    </w:p>
  </w:footnote>
  <w:footnote w:id="2370">
    <w:p w14:paraId="0D2A641C" w14:textId="58E2635B" w:rsidR="00F45A61" w:rsidRDefault="00F45A61">
      <w:pPr>
        <w:pStyle w:val="Funotentext"/>
      </w:pPr>
      <w:r>
        <w:rPr>
          <w:rStyle w:val="Funotenzeichen"/>
        </w:rPr>
        <w:footnoteRef/>
      </w:r>
      <w:r>
        <w:t xml:space="preserve"> Siehe: </w:t>
      </w:r>
      <w:hyperlink r:id="rId1747" w:history="1">
        <w:r w:rsidRPr="001B23DF">
          <w:rPr>
            <w:rStyle w:val="Hyperlink"/>
          </w:rPr>
          <w:t>https://www.leka-mv.de/buegem-mv/</w:t>
        </w:r>
      </w:hyperlink>
      <w:r>
        <w:t xml:space="preserve"> - Zugegriffen: 19.06.2025.</w:t>
      </w:r>
    </w:p>
  </w:footnote>
  <w:footnote w:id="2371">
    <w:p w14:paraId="727C965F" w14:textId="3514E6E6" w:rsidR="00042C6D" w:rsidRDefault="00042C6D">
      <w:pPr>
        <w:pStyle w:val="Funotentext"/>
      </w:pPr>
      <w:r>
        <w:rPr>
          <w:rStyle w:val="Funotenzeichen"/>
        </w:rPr>
        <w:footnoteRef/>
      </w:r>
      <w:r>
        <w:t xml:space="preserve"> Siehe: </w:t>
      </w:r>
      <w:hyperlink r:id="rId1748" w:history="1">
        <w:r w:rsidRPr="00935F25">
          <w:rPr>
            <w:rStyle w:val="Hyperlink"/>
          </w:rPr>
          <w:t>https://friesen-elektra.de/</w:t>
        </w:r>
      </w:hyperlink>
      <w:r>
        <w:t xml:space="preserve"> </w:t>
      </w:r>
    </w:p>
  </w:footnote>
  <w:footnote w:id="2372">
    <w:p w14:paraId="49E58E1D" w14:textId="538B778C" w:rsidR="007D40E8" w:rsidRDefault="007D40E8">
      <w:pPr>
        <w:pStyle w:val="Funotentext"/>
      </w:pPr>
      <w:r>
        <w:rPr>
          <w:rStyle w:val="Funotenzeichen"/>
        </w:rPr>
        <w:footnoteRef/>
      </w:r>
      <w:r>
        <w:t xml:space="preserve"> Siehe: </w:t>
      </w:r>
      <w:hyperlink r:id="rId1749" w:history="1">
        <w:r w:rsidRPr="00935F25">
          <w:rPr>
            <w:rStyle w:val="Hyperlink"/>
          </w:rPr>
          <w:t>https://www.cip.com/</w:t>
        </w:r>
      </w:hyperlink>
      <w:r>
        <w:t xml:space="preserve"> </w:t>
      </w:r>
    </w:p>
  </w:footnote>
  <w:footnote w:id="2373">
    <w:p w14:paraId="08A99F07" w14:textId="77777777" w:rsidR="004118BD" w:rsidRDefault="004118BD" w:rsidP="004118BD">
      <w:pPr>
        <w:pStyle w:val="Funotentext"/>
      </w:pPr>
      <w:r>
        <w:rPr>
          <w:rStyle w:val="Funotenzeichen"/>
        </w:rPr>
        <w:footnoteRef/>
      </w:r>
      <w:r>
        <w:t xml:space="preserve"> Mit einer </w:t>
      </w:r>
      <w:r w:rsidRPr="00042C6D">
        <w:t xml:space="preserve">Kapazität von 400 MW, sie soll in einem zweiten Schritt auf 800 MW verdoppelt werden und dann jährlich 80.000 Tonnen grünen Wasserstoff produzieren </w:t>
      </w:r>
      <w:r>
        <w:t xml:space="preserve">Siehe: </w:t>
      </w:r>
      <w:hyperlink r:id="rId1750" w:history="1">
        <w:r w:rsidRPr="00D72181">
          <w:rPr>
            <w:rStyle w:val="Hyperlink"/>
          </w:rPr>
          <w:t>https://www.ndr.de/nachrichten/niedersachsen/oldenburg_ostfriesland/Gruener-Wasserstoff-fuer-Energiewende-Neue-Anlage-in-Sande-geplant,wasserstoff570.html</w:t>
        </w:r>
      </w:hyperlink>
      <w:r>
        <w:t xml:space="preserve"> – Zugegriffen: 27.05.2025. </w:t>
      </w:r>
    </w:p>
  </w:footnote>
  <w:footnote w:id="2374">
    <w:p w14:paraId="34296385" w14:textId="77777777" w:rsidR="00DB2A0B" w:rsidRDefault="00DB2A0B" w:rsidP="00DB2A0B">
      <w:pPr>
        <w:pStyle w:val="Funotentext"/>
      </w:pPr>
      <w:r>
        <w:rPr>
          <w:rStyle w:val="Funotenzeichen"/>
        </w:rPr>
        <w:footnoteRef/>
      </w:r>
      <w:r>
        <w:t xml:space="preserve"> Katja Gelinsky. Was in der Klima- und Energiepolitik falsch läuft. FAZ, 14.06.2025. </w:t>
      </w:r>
    </w:p>
  </w:footnote>
  <w:footnote w:id="2375">
    <w:p w14:paraId="3078CE23" w14:textId="2CA6FA3A" w:rsidR="009C2B0D" w:rsidRDefault="009C2B0D">
      <w:pPr>
        <w:pStyle w:val="Funotentext"/>
      </w:pPr>
      <w:r>
        <w:rPr>
          <w:rStyle w:val="Funotenzeichen"/>
        </w:rPr>
        <w:footnoteRef/>
      </w:r>
      <w:r>
        <w:t xml:space="preserve"> Katja Gelinsky. Was in der Klima- und Energiepolitik falsch läuft. FAZ, 14.06.2025. </w:t>
      </w:r>
    </w:p>
  </w:footnote>
  <w:footnote w:id="2376">
    <w:p w14:paraId="0399D2D7" w14:textId="2C8E3331" w:rsidR="00673B9C" w:rsidRDefault="00673B9C">
      <w:pPr>
        <w:pStyle w:val="Funotentext"/>
      </w:pPr>
      <w:r>
        <w:rPr>
          <w:rStyle w:val="Funotenzeichen"/>
        </w:rPr>
        <w:footnoteRef/>
      </w:r>
      <w:r>
        <w:t xml:space="preserve"> </w:t>
      </w:r>
      <w:proofErr w:type="gramStart"/>
      <w:r>
        <w:t>BMWK Strommarktdesign</w:t>
      </w:r>
      <w:proofErr w:type="gramEnd"/>
      <w:r>
        <w:t xml:space="preserve"> der Zukunft 2024: 50-51. Siehe: </w:t>
      </w:r>
      <w:hyperlink r:id="rId1751" w:history="1">
        <w:r w:rsidRPr="003E7CA8">
          <w:rPr>
            <w:rStyle w:val="Hyperlink"/>
          </w:rPr>
          <w:t>https://www.bundeswirtschaftsministerium.de/Redaktion/DE/Publikationen/Energie/20240801-strommarktdesign-der-zukunft.pdf?__blob=publicationFile&amp;v=10</w:t>
        </w:r>
      </w:hyperlink>
      <w:r>
        <w:t xml:space="preserve"> – Zugegriffen: 28.06.2025. </w:t>
      </w:r>
    </w:p>
  </w:footnote>
  <w:footnote w:id="2377">
    <w:p w14:paraId="3A6272BF" w14:textId="77777777" w:rsidR="00673B9C" w:rsidRPr="005A07D8" w:rsidRDefault="00673B9C" w:rsidP="00673B9C">
      <w:pPr>
        <w:pStyle w:val="Funotentext"/>
      </w:pPr>
      <w:r>
        <w:rPr>
          <w:rStyle w:val="Funotenzeichen"/>
        </w:rPr>
        <w:footnoteRef/>
      </w:r>
      <w:r w:rsidRPr="00831186">
        <w:t xml:space="preserve"> Hanna Decker. </w:t>
      </w:r>
      <w:r w:rsidRPr="005A07D8">
        <w:t>Netzbetreiber Amprion. K</w:t>
      </w:r>
      <w:r>
        <w:t xml:space="preserve">ein Kohleausstieg ohne </w:t>
      </w:r>
      <w:proofErr w:type="spellStart"/>
      <w:r>
        <w:t>Gaseinstieg.FAZ</w:t>
      </w:r>
      <w:proofErr w:type="spellEnd"/>
      <w:r>
        <w:t xml:space="preserve">, 11.04.2024. </w:t>
      </w:r>
    </w:p>
  </w:footnote>
  <w:footnote w:id="2378">
    <w:p w14:paraId="6DD8D43D" w14:textId="77777777" w:rsidR="00673B9C" w:rsidRPr="00A340D6" w:rsidRDefault="00673B9C" w:rsidP="00673B9C">
      <w:pPr>
        <w:pStyle w:val="Funotentext"/>
      </w:pPr>
      <w:r>
        <w:rPr>
          <w:rStyle w:val="Funotenzeichen"/>
        </w:rPr>
        <w:footnoteRef/>
      </w:r>
      <w:r>
        <w:t xml:space="preserve"> Christian Geinitz. Wer zahlt die Milliarden für die Stromleitungen? </w:t>
      </w:r>
      <w:r w:rsidRPr="00A340D6">
        <w:t>FAZ, 12.04.2024.</w:t>
      </w:r>
    </w:p>
  </w:footnote>
  <w:footnote w:id="2379">
    <w:p w14:paraId="3253139C" w14:textId="77777777" w:rsidR="00673B9C" w:rsidRDefault="00673B9C" w:rsidP="00673B9C">
      <w:pPr>
        <w:pStyle w:val="Funotentext"/>
      </w:pPr>
      <w:r>
        <w:rPr>
          <w:rStyle w:val="Funotenzeichen"/>
        </w:rPr>
        <w:footnoteRef/>
      </w:r>
      <w:r>
        <w:t xml:space="preserve"> S. 34. BMWK. </w:t>
      </w:r>
      <w:r w:rsidRPr="00005D64">
        <w:t>Technologieübersicht. Das deutsche Höchstspannungsnetz</w:t>
      </w:r>
      <w:r>
        <w:t xml:space="preserve">, 2014. Siehe: </w:t>
      </w:r>
      <w:hyperlink r:id="rId1752" w:history="1">
        <w:r w:rsidRPr="001A7901">
          <w:rPr>
            <w:rStyle w:val="Hyperlink"/>
          </w:rPr>
          <w:t>https://www.bmwk.de/Redaktion/DE/Publikationen/Energie/technologieuebersicht.html</w:t>
        </w:r>
      </w:hyperlink>
      <w:r>
        <w:t xml:space="preserve"> - Zugegriffen: 26.05.2025. </w:t>
      </w:r>
    </w:p>
  </w:footnote>
  <w:footnote w:id="2380">
    <w:p w14:paraId="38240D6E" w14:textId="77777777" w:rsidR="00673B9C" w:rsidRDefault="00673B9C" w:rsidP="00673B9C">
      <w:pPr>
        <w:pStyle w:val="Funotentext"/>
      </w:pPr>
      <w:r>
        <w:rPr>
          <w:rStyle w:val="Funotenzeichen"/>
        </w:rPr>
        <w:footnoteRef/>
      </w:r>
      <w:r>
        <w:t xml:space="preserve"> Siehe Marie </w:t>
      </w:r>
      <w:proofErr w:type="spellStart"/>
      <w:r>
        <w:t>Wettingfeld</w:t>
      </w:r>
      <w:proofErr w:type="spellEnd"/>
      <w:r>
        <w:t xml:space="preserve"> et al. Förderung für Gaskraftwerke: Kosten und Emissionsauswirkungen des Kraftwerkssicherheitsgesetzes 10/2024, Forum Ökologisch Soziale Marktwirtschaft: </w:t>
      </w:r>
      <w:hyperlink r:id="rId1753" w:history="1">
        <w:r w:rsidRPr="000E5AD9">
          <w:rPr>
            <w:rStyle w:val="Hyperlink"/>
          </w:rPr>
          <w:t>https://foes.de/publikationen/2024/2024-10_FOES_Kraftwerkssicherheitsgesetz.pdf</w:t>
        </w:r>
      </w:hyperlink>
      <w:r>
        <w:t xml:space="preserve"> - Zugegriffen: 04.01.2025. </w:t>
      </w:r>
    </w:p>
  </w:footnote>
  <w:footnote w:id="2381">
    <w:p w14:paraId="5A2412EB" w14:textId="77777777" w:rsidR="00673B9C" w:rsidRDefault="00673B9C" w:rsidP="00673B9C">
      <w:pPr>
        <w:pStyle w:val="Funotentext"/>
      </w:pPr>
      <w:r>
        <w:rPr>
          <w:rStyle w:val="Funotenzeichen"/>
        </w:rPr>
        <w:footnoteRef/>
      </w:r>
      <w:r>
        <w:t xml:space="preserve"> Siehe Bundeshaushalt digital: </w:t>
      </w:r>
      <w:hyperlink r:id="rId1754" w:history="1">
        <w:r w:rsidRPr="00DD4A53">
          <w:rPr>
            <w:rStyle w:val="Hyperlink"/>
          </w:rPr>
          <w:t>https://www.bundeshaushalt.de/DE/Bundeshaushalt-digital/bundeshaushalt-digital.html</w:t>
        </w:r>
      </w:hyperlink>
      <w:r>
        <w:t xml:space="preserve"> - Zugegriffen: 25.07.2024.</w:t>
      </w:r>
    </w:p>
  </w:footnote>
  <w:footnote w:id="2382">
    <w:p w14:paraId="34F6B908" w14:textId="77777777" w:rsidR="00673B9C" w:rsidRDefault="00673B9C" w:rsidP="00673B9C">
      <w:pPr>
        <w:pStyle w:val="Funotentext"/>
      </w:pPr>
      <w:r>
        <w:rPr>
          <w:rStyle w:val="Funotenzeichen"/>
        </w:rPr>
        <w:footnoteRef/>
      </w:r>
      <w:r>
        <w:t xml:space="preserve"> Siehe: </w:t>
      </w:r>
      <w:hyperlink r:id="rId1755" w:history="1">
        <w:r w:rsidRPr="009B1ED1">
          <w:rPr>
            <w:rStyle w:val="Hyperlink"/>
          </w:rPr>
          <w:t>https://www.destatis.de/DE/Themen/Wirtschaft/Volkswirtschaftliche-Gesamtrechnungen-Inlandsprodukt/Tabellen/bip-bubbles.html</w:t>
        </w:r>
      </w:hyperlink>
      <w:r>
        <w:t xml:space="preserve"> - Zugegriffen: 11.06.2025. </w:t>
      </w:r>
    </w:p>
  </w:footnote>
  <w:footnote w:id="2383">
    <w:p w14:paraId="782544D0" w14:textId="77777777" w:rsidR="00673B9C" w:rsidRDefault="00673B9C" w:rsidP="00673B9C">
      <w:pPr>
        <w:pStyle w:val="Funotentext"/>
      </w:pPr>
      <w:r>
        <w:rPr>
          <w:rStyle w:val="Funotenzeichen"/>
        </w:rPr>
        <w:footnoteRef/>
      </w:r>
      <w:r>
        <w:t xml:space="preserve"> Siehe: </w:t>
      </w:r>
      <w:hyperlink r:id="rId1756" w:history="1">
        <w:r w:rsidRPr="009B1ED1">
          <w:rPr>
            <w:rStyle w:val="Hyperlink"/>
          </w:rPr>
          <w:t>https://www.bpb.de/kurz-knapp/zahlen-und-fakten/soziale-situation-in-deutschland/61874/steuereinnahmen-nach-steuerarten/</w:t>
        </w:r>
      </w:hyperlink>
      <w:r>
        <w:t xml:space="preserve"> - Zugegriffen: 11.06.2025. </w:t>
      </w:r>
    </w:p>
  </w:footnote>
  <w:footnote w:id="2384">
    <w:p w14:paraId="48CDE8C2" w14:textId="77777777" w:rsidR="00673B9C" w:rsidRDefault="00673B9C" w:rsidP="00673B9C">
      <w:pPr>
        <w:pStyle w:val="Funotentext"/>
      </w:pPr>
      <w:r>
        <w:rPr>
          <w:rStyle w:val="Funotenzeichen"/>
        </w:rPr>
        <w:footnoteRef/>
      </w:r>
      <w:r>
        <w:t xml:space="preserve"> Siehe: </w:t>
      </w:r>
      <w:hyperlink r:id="rId1757" w:anchor=":~:text=Im%20Kalenderjahr%202024%20betragen%20die,%2DUmlage:%200%2C403%20ct/kWh" w:history="1">
        <w:r w:rsidRPr="001B23DF">
          <w:rPr>
            <w:rStyle w:val="Hyperlink"/>
          </w:rPr>
          <w:t>https://www.ihk.de/gera/innovation-umwelt/energie/energie-aktuell/strompreisumlagen-2024-5988762#:~:text=Im%20Kalenderjahr%202024%20betragen%20die,%2DUmlage:%200%2C403%20ct/kWh</w:t>
        </w:r>
      </w:hyperlink>
      <w:r>
        <w:t xml:space="preserve"> - Zugegriffen: 16.06.2025. </w:t>
      </w:r>
    </w:p>
  </w:footnote>
  <w:footnote w:id="2385">
    <w:p w14:paraId="1E67246F" w14:textId="77777777" w:rsidR="00673B9C" w:rsidRPr="00E66750" w:rsidRDefault="00673B9C" w:rsidP="00673B9C">
      <w:pPr>
        <w:pStyle w:val="Funotentext"/>
      </w:pPr>
      <w:r>
        <w:rPr>
          <w:rStyle w:val="Funotenzeichen"/>
        </w:rPr>
        <w:footnoteRef/>
      </w:r>
      <w:r w:rsidRPr="00E66750">
        <w:t xml:space="preserve"> Si</w:t>
      </w:r>
      <w:r>
        <w:t xml:space="preserve">ehe: </w:t>
      </w:r>
      <w:hyperlink r:id="rId1758" w:history="1">
        <w:r w:rsidRPr="00DF4045">
          <w:rPr>
            <w:rStyle w:val="Hyperlink"/>
          </w:rPr>
          <w:t>https://www.netztransparenz.de/de-de/Erneuerbare-Energien-und-Umlagen/EEG/EEG-Finanzierung/EEG-Finanzierungsbedarf/EEG-Finanzierungsbedarf-2023</w:t>
        </w:r>
      </w:hyperlink>
      <w:r>
        <w:t xml:space="preserve"> - Zugegriffen: 10.09.2024.</w:t>
      </w:r>
    </w:p>
  </w:footnote>
  <w:footnote w:id="2386">
    <w:p w14:paraId="75ED7483" w14:textId="77777777" w:rsidR="00673B9C" w:rsidRDefault="00673B9C" w:rsidP="00673B9C">
      <w:pPr>
        <w:pStyle w:val="Funotentext"/>
      </w:pPr>
      <w:r>
        <w:rPr>
          <w:rStyle w:val="Funotenzeichen"/>
        </w:rPr>
        <w:footnoteRef/>
      </w:r>
      <w:r>
        <w:t xml:space="preserve"> Siehe: </w:t>
      </w:r>
      <w:hyperlink r:id="rId1759" w:history="1">
        <w:r w:rsidRPr="000B5FAA">
          <w:rPr>
            <w:rStyle w:val="Hyperlink"/>
          </w:rPr>
          <w:t>https://www.bundestag.de/presse/hib/kurzmeldungen-1039794</w:t>
        </w:r>
      </w:hyperlink>
      <w:r>
        <w:t xml:space="preserve"> - Zugegriffen: 11.04.2025. </w:t>
      </w:r>
    </w:p>
  </w:footnote>
  <w:footnote w:id="2387">
    <w:p w14:paraId="319BBCA7" w14:textId="77777777" w:rsidR="00673B9C" w:rsidRDefault="00673B9C" w:rsidP="00673B9C">
      <w:pPr>
        <w:pStyle w:val="Funotentext"/>
      </w:pPr>
      <w:r>
        <w:rPr>
          <w:rStyle w:val="Funotenzeichen"/>
        </w:rPr>
        <w:footnoteRef/>
      </w:r>
      <w:r>
        <w:t xml:space="preserve"> Siehe: </w:t>
      </w:r>
      <w:hyperlink r:id="rId1760" w:history="1">
        <w:r w:rsidRPr="001B23DF">
          <w:rPr>
            <w:rStyle w:val="Hyperlink"/>
          </w:rPr>
          <w:t>https://www.destatis.de/DE/Themen/Gesellschaft-Umwelt/Umwelt/UGR/steuern-weitere-abgaben/Tabellen/gesamtaufkommen-steuern.html</w:t>
        </w:r>
      </w:hyperlink>
      <w:r>
        <w:t xml:space="preserve"> - Zugegriffen: 19.06.2024. </w:t>
      </w:r>
    </w:p>
  </w:footnote>
  <w:footnote w:id="2388">
    <w:p w14:paraId="3EA11E45" w14:textId="77777777" w:rsidR="00673B9C" w:rsidRDefault="00673B9C" w:rsidP="00673B9C">
      <w:pPr>
        <w:pStyle w:val="Funotentext"/>
      </w:pPr>
      <w:r>
        <w:rPr>
          <w:rStyle w:val="Funotenzeichen"/>
        </w:rPr>
        <w:footnoteRef/>
      </w:r>
      <w:r>
        <w:t xml:space="preserve"> Siehe: </w:t>
      </w:r>
      <w:hyperlink r:id="rId1761" w:history="1">
        <w:r w:rsidRPr="00530E42">
          <w:rPr>
            <w:rStyle w:val="Hyperlink"/>
          </w:rPr>
          <w:t>https://www.energy-charts.info/charts/energy_redispatch/chart.htm?l=de&amp;c=DE&amp;redispatch=redispatch_energies_costs_overall</w:t>
        </w:r>
      </w:hyperlink>
      <w:r>
        <w:t xml:space="preserve"> – Zugegriffen: 22.04.2025. </w:t>
      </w:r>
    </w:p>
  </w:footnote>
  <w:footnote w:id="2389">
    <w:p w14:paraId="46132178" w14:textId="77777777" w:rsidR="00673B9C" w:rsidRDefault="00673B9C" w:rsidP="00673B9C">
      <w:pPr>
        <w:pStyle w:val="Funotentext"/>
      </w:pPr>
      <w:r>
        <w:rPr>
          <w:rStyle w:val="Funotenzeichen"/>
        </w:rPr>
        <w:footnoteRef/>
      </w:r>
      <w:r>
        <w:t xml:space="preserve"> Siehe: </w:t>
      </w:r>
      <w:hyperlink r:id="rId1762" w:history="1">
        <w:r w:rsidRPr="001B23DF">
          <w:rPr>
            <w:rStyle w:val="Hyperlink"/>
          </w:rPr>
          <w:t>https://www.destatis.de/DE/Themen/Gesellschaft-Umwelt/Umwelt/UGR/steuern-weitere-abgaben/Tabellen/gesamtaufkommen-steuern.html</w:t>
        </w:r>
      </w:hyperlink>
      <w:r>
        <w:t xml:space="preserve"> - Zugegriffen: 19.06.2024. </w:t>
      </w:r>
    </w:p>
  </w:footnote>
  <w:footnote w:id="2390">
    <w:p w14:paraId="1956DEDA" w14:textId="77777777" w:rsidR="00531E5E" w:rsidRDefault="00531E5E" w:rsidP="00531E5E">
      <w:pPr>
        <w:pStyle w:val="Funotentext"/>
      </w:pPr>
      <w:r>
        <w:rPr>
          <w:rStyle w:val="Funotenzeichen"/>
        </w:rPr>
        <w:footnoteRef/>
      </w:r>
      <w:r>
        <w:t xml:space="preserve"> EEG in Zahlen 2019: 3. </w:t>
      </w:r>
    </w:p>
  </w:footnote>
  <w:footnote w:id="2391">
    <w:p w14:paraId="34B0160E" w14:textId="77777777" w:rsidR="00531E5E" w:rsidRDefault="00531E5E" w:rsidP="00531E5E">
      <w:pPr>
        <w:pStyle w:val="Funotentext"/>
      </w:pPr>
      <w:r>
        <w:rPr>
          <w:rStyle w:val="Funotenzeichen"/>
        </w:rPr>
        <w:footnoteRef/>
      </w:r>
      <w:r>
        <w:t xml:space="preserve"> Christian Geinitz. 2 Milliarden Euro für Ökostrom. FAZ, 14.05.2024. </w:t>
      </w:r>
    </w:p>
  </w:footnote>
  <w:footnote w:id="2392">
    <w:p w14:paraId="66F7E1B7" w14:textId="77777777" w:rsidR="00673B9C" w:rsidRDefault="00673B9C" w:rsidP="00673B9C">
      <w:pPr>
        <w:pStyle w:val="Funotentext"/>
      </w:pPr>
      <w:r>
        <w:rPr>
          <w:rStyle w:val="Funotenzeichen"/>
        </w:rPr>
        <w:footnoteRef/>
      </w:r>
      <w:r>
        <w:t xml:space="preserve"> Siehe: </w:t>
      </w:r>
      <w:hyperlink r:id="rId1763" w:history="1">
        <w:r w:rsidRPr="009B1ED1">
          <w:rPr>
            <w:rStyle w:val="Hyperlink"/>
          </w:rPr>
          <w:t>https://www.destatis.de/DE/Themen/Gesellschaft-Umwelt/Bevoelkerung/Haushalte-Familien/_inhalt.html</w:t>
        </w:r>
      </w:hyperlink>
      <w:r>
        <w:t xml:space="preserve"> – Zugegriffen: 11.06.2025. </w:t>
      </w:r>
    </w:p>
  </w:footnote>
  <w:footnote w:id="2393">
    <w:p w14:paraId="4E9B239D" w14:textId="77777777" w:rsidR="00673B9C" w:rsidRPr="00BC47E2" w:rsidRDefault="00673B9C" w:rsidP="00673B9C">
      <w:pPr>
        <w:pStyle w:val="Funotentext"/>
      </w:pPr>
      <w:r>
        <w:rPr>
          <w:rStyle w:val="Funotenzeichen"/>
        </w:rPr>
        <w:footnoteRef/>
      </w:r>
      <w:r w:rsidRPr="00BC47E2">
        <w:t xml:space="preserve"> Nur </w:t>
      </w:r>
      <w:r>
        <w:t>ganz kurz: Lohnsteuer 218 Mrd., veranlagte Einkommenssteuer 72 Mrd., für Unternehmen: Körperschaftssteuer 42 Mrd., für die Bundesländer: Gewerbesteuer: 61 Mrd., siehe:</w:t>
      </w:r>
      <w:r w:rsidRPr="00BC47E2">
        <w:t xml:space="preserve"> </w:t>
      </w:r>
      <w:hyperlink r:id="rId1764" w:history="1">
        <w:r w:rsidRPr="009B1ED1">
          <w:rPr>
            <w:rStyle w:val="Hyperlink"/>
          </w:rPr>
          <w:t>https://www.bpb.de/kurz-knapp/zahlen-und-fakten/soziale-situation-in-deutschland/61874/steuereinnahmen-nach-steuerarten/</w:t>
        </w:r>
      </w:hyperlink>
      <w:r>
        <w:t xml:space="preserve"> - Zugegriffen: 11.06.2025. </w:t>
      </w:r>
    </w:p>
  </w:footnote>
  <w:footnote w:id="2394">
    <w:p w14:paraId="30B21AB9" w14:textId="77777777" w:rsidR="00673B9C" w:rsidRDefault="00673B9C" w:rsidP="00673B9C">
      <w:pPr>
        <w:pStyle w:val="Funotentext"/>
      </w:pPr>
      <w:r>
        <w:rPr>
          <w:rStyle w:val="Funotenzeichen"/>
        </w:rPr>
        <w:footnoteRef/>
      </w:r>
      <w:r>
        <w:t xml:space="preserve"> Die obersten 10 % der Einkommenssteuerpflichtigen zahlen 55,5 % der gesamten Einkommenssteuer. Die unteren 50 % kommen auf 6,4 %. Siehe: </w:t>
      </w:r>
      <w:hyperlink r:id="rId1765" w:history="1">
        <w:r w:rsidRPr="009B1ED1">
          <w:rPr>
            <w:rStyle w:val="Hyperlink"/>
          </w:rPr>
          <w:t>https://www.bpb.de/kurz-knapp/zahlen-und-fakten/soziale-situation-in-deutschland/61772/einkommensteueranteile/</w:t>
        </w:r>
      </w:hyperlink>
      <w:r>
        <w:t xml:space="preserve"> - Zugegriffen: 11.06.2025. </w:t>
      </w:r>
    </w:p>
  </w:footnote>
  <w:footnote w:id="2395">
    <w:p w14:paraId="3BB7F922" w14:textId="77777777" w:rsidR="00673B9C" w:rsidRDefault="00673B9C" w:rsidP="00673B9C">
      <w:pPr>
        <w:pStyle w:val="Funotentext"/>
      </w:pPr>
      <w:r>
        <w:rPr>
          <w:rStyle w:val="Funotenzeichen"/>
        </w:rPr>
        <w:footnoteRef/>
      </w:r>
      <w:r>
        <w:t xml:space="preserve"> Koalitionsvertrag, siehe: </w:t>
      </w:r>
      <w:hyperlink r:id="rId1766" w:history="1">
        <w:r w:rsidRPr="002A3412">
          <w:rPr>
            <w:rStyle w:val="Hyperlink"/>
          </w:rPr>
          <w:t>https://www.spd.de/fileadmin/Dokumente/Koalitionsvertrag2025_bf.pdf</w:t>
        </w:r>
      </w:hyperlink>
      <w:r>
        <w:t xml:space="preserve"> - Zugegriffen: 16.04.2025. </w:t>
      </w:r>
    </w:p>
  </w:footnote>
  <w:footnote w:id="2396">
    <w:p w14:paraId="35CE7C4F" w14:textId="77777777" w:rsidR="00EE442D" w:rsidRDefault="00EE442D" w:rsidP="00EE442D">
      <w:pPr>
        <w:pStyle w:val="Funotentext"/>
      </w:pPr>
      <w:r>
        <w:rPr>
          <w:rStyle w:val="Funotenzeichen"/>
        </w:rPr>
        <w:footnoteRef/>
      </w:r>
      <w:r>
        <w:t xml:space="preserve"> Ralf Fücks. Die Energiewende braucht einen neuen Anlauf. FAZ, 15.03.2024. </w:t>
      </w:r>
    </w:p>
  </w:footnote>
  <w:footnote w:id="2397">
    <w:p w14:paraId="08C1B05D" w14:textId="77777777" w:rsidR="006D6AEF" w:rsidRDefault="006D6AEF" w:rsidP="006D6AEF">
      <w:pPr>
        <w:pStyle w:val="Funotentext"/>
      </w:pPr>
      <w:r>
        <w:rPr>
          <w:rStyle w:val="Funotenzeichen"/>
        </w:rPr>
        <w:footnoteRef/>
      </w:r>
      <w:r>
        <w:t xml:space="preserve"> </w:t>
      </w:r>
      <w:proofErr w:type="gramStart"/>
      <w:r>
        <w:t>BMWK Strommarktdesign</w:t>
      </w:r>
      <w:proofErr w:type="gramEnd"/>
      <w:r>
        <w:t xml:space="preserve"> der Zukunft 2024: 31.</w:t>
      </w:r>
    </w:p>
  </w:footnote>
  <w:footnote w:id="2398">
    <w:p w14:paraId="64FF17AD" w14:textId="77777777" w:rsidR="006D6AEF" w:rsidRDefault="006D6AEF" w:rsidP="006D6AEF">
      <w:pPr>
        <w:pStyle w:val="Funotentext"/>
      </w:pPr>
      <w:r>
        <w:rPr>
          <w:rStyle w:val="Funotenzeichen"/>
        </w:rPr>
        <w:footnoteRef/>
      </w:r>
      <w:r>
        <w:t xml:space="preserve"> </w:t>
      </w:r>
      <w:proofErr w:type="gramStart"/>
      <w:r>
        <w:t>BMWK Strommarktdesign</w:t>
      </w:r>
      <w:proofErr w:type="gramEnd"/>
      <w:r>
        <w:t xml:space="preserve"> der Zukunft 2024: 29-33.</w:t>
      </w:r>
    </w:p>
  </w:footnote>
  <w:footnote w:id="2399">
    <w:p w14:paraId="4EA1159D" w14:textId="6B3D8C7B" w:rsidR="001E0E3D" w:rsidRDefault="001E0E3D">
      <w:pPr>
        <w:pStyle w:val="Funotentext"/>
      </w:pPr>
      <w:r>
        <w:rPr>
          <w:rStyle w:val="Funotenzeichen"/>
        </w:rPr>
        <w:footnoteRef/>
      </w:r>
      <w:r>
        <w:t xml:space="preserve"> </w:t>
      </w:r>
      <w:r w:rsidRPr="00EB3080">
        <w:t xml:space="preserve">DENA </w:t>
      </w:r>
      <w:proofErr w:type="spellStart"/>
      <w:r w:rsidRPr="00EB3080">
        <w:t>StiPE</w:t>
      </w:r>
      <w:proofErr w:type="spellEnd"/>
      <w:r w:rsidRPr="00EB3080">
        <w:t xml:space="preserve"> Berich</w:t>
      </w:r>
      <w:r w:rsidR="000D2AA3">
        <w:t>t</w:t>
      </w:r>
      <w:r w:rsidRPr="00EB3080">
        <w:t xml:space="preserve"> 2022:</w:t>
      </w:r>
      <w:r>
        <w:t xml:space="preserve"> 17.</w:t>
      </w:r>
    </w:p>
  </w:footnote>
  <w:footnote w:id="2400">
    <w:p w14:paraId="692B0A19" w14:textId="7F44A850" w:rsidR="00C66D1E" w:rsidRPr="00C66D1E" w:rsidRDefault="00C66D1E">
      <w:pPr>
        <w:pStyle w:val="Funotentext"/>
      </w:pPr>
      <w:r>
        <w:rPr>
          <w:rStyle w:val="Funotenzeichen"/>
        </w:rPr>
        <w:footnoteRef/>
      </w:r>
      <w:r>
        <w:t xml:space="preserve"> </w:t>
      </w:r>
      <w:proofErr w:type="gramStart"/>
      <w:r w:rsidRPr="00C66D1E">
        <w:t>BMWK Strommarktdesign</w:t>
      </w:r>
      <w:proofErr w:type="gramEnd"/>
      <w:r w:rsidRPr="00C66D1E">
        <w:t xml:space="preserve"> der Zukunft 2024:</w:t>
      </w:r>
      <w:r>
        <w:t xml:space="preserve"> 50-51.</w:t>
      </w:r>
    </w:p>
  </w:footnote>
  <w:footnote w:id="2401">
    <w:p w14:paraId="5FD4F4A7" w14:textId="4798D194" w:rsidR="00CA78DE" w:rsidRPr="00C66D1E" w:rsidRDefault="00CA78DE">
      <w:pPr>
        <w:pStyle w:val="Funotentext"/>
      </w:pPr>
      <w:r>
        <w:rPr>
          <w:rStyle w:val="Funotenzeichen"/>
        </w:rPr>
        <w:footnoteRef/>
      </w:r>
      <w:r w:rsidRPr="00C66D1E">
        <w:t xml:space="preserve"> </w:t>
      </w:r>
      <w:proofErr w:type="gramStart"/>
      <w:r w:rsidRPr="00C66D1E">
        <w:t>BMWK Strommarktdesign</w:t>
      </w:r>
      <w:proofErr w:type="gramEnd"/>
      <w:r w:rsidRPr="00C66D1E">
        <w:t xml:space="preserve"> der Zukunft 2024: 41-54</w:t>
      </w:r>
      <w:r w:rsidR="000045D2" w:rsidRPr="00C66D1E">
        <w:t>, 63-67.</w:t>
      </w:r>
    </w:p>
  </w:footnote>
  <w:footnote w:id="2402">
    <w:p w14:paraId="39A772B6" w14:textId="77777777" w:rsidR="0052049D" w:rsidRPr="009E1D49" w:rsidRDefault="0052049D" w:rsidP="0052049D">
      <w:pPr>
        <w:pStyle w:val="Funotentext"/>
      </w:pPr>
      <w:r>
        <w:rPr>
          <w:rStyle w:val="Funotenzeichen"/>
        </w:rPr>
        <w:footnoteRef/>
      </w:r>
      <w:r w:rsidRPr="007D2AA5">
        <w:rPr>
          <w:lang w:val="en-GB"/>
        </w:rPr>
        <w:t xml:space="preserve"> IEA Policy Toolbox for Industrial Decarbonization 2025. </w:t>
      </w:r>
      <w:r w:rsidRPr="009E1D49">
        <w:t xml:space="preserve">Siehe: </w:t>
      </w:r>
      <w:hyperlink r:id="rId1767" w:history="1">
        <w:r w:rsidRPr="00B16A30">
          <w:rPr>
            <w:rStyle w:val="Hyperlink"/>
          </w:rPr>
          <w:t>https://www.iea.org/reports/policy-toolbox-for-industrial-decarbonisation</w:t>
        </w:r>
      </w:hyperlink>
      <w:r>
        <w:t xml:space="preserve"> - Zugegriffen: 17.04.2025. </w:t>
      </w:r>
    </w:p>
  </w:footnote>
  <w:footnote w:id="2403">
    <w:p w14:paraId="6259631C" w14:textId="026E1217" w:rsidR="00B85616" w:rsidRPr="00B85616" w:rsidRDefault="00B85616" w:rsidP="00B85616">
      <w:pPr>
        <w:rPr>
          <w:rFonts w:ascii="Calibri" w:hAnsi="Calibri" w:cs="Arial"/>
          <w:sz w:val="20"/>
          <w:szCs w:val="20"/>
          <w14:ligatures w14:val="none"/>
        </w:rPr>
      </w:pPr>
      <w:r>
        <w:rPr>
          <w:rStyle w:val="Funotenzeichen"/>
        </w:rPr>
        <w:footnoteRef/>
      </w:r>
      <w:r>
        <w:t xml:space="preserve"> </w:t>
      </w:r>
      <w:r w:rsidRPr="00B85616">
        <w:rPr>
          <w:rFonts w:ascii="Calibri" w:hAnsi="Calibri" w:cs="Arial"/>
          <w:sz w:val="20"/>
          <w:szCs w:val="20"/>
          <w14:ligatures w14:val="none"/>
        </w:rPr>
        <w:t xml:space="preserve">DENA </w:t>
      </w:r>
      <w:proofErr w:type="spellStart"/>
      <w:r w:rsidRPr="00B85616">
        <w:rPr>
          <w:rFonts w:ascii="Calibri" w:hAnsi="Calibri" w:cs="Arial"/>
          <w:sz w:val="20"/>
          <w:szCs w:val="20"/>
          <w14:ligatures w14:val="none"/>
        </w:rPr>
        <w:t>StiPE</w:t>
      </w:r>
      <w:proofErr w:type="spellEnd"/>
      <w:r w:rsidRPr="00B85616">
        <w:rPr>
          <w:rFonts w:ascii="Calibri" w:hAnsi="Calibri" w:cs="Arial"/>
          <w:sz w:val="20"/>
          <w:szCs w:val="20"/>
          <w14:ligatures w14:val="none"/>
        </w:rPr>
        <w:t xml:space="preserve"> Berich</w:t>
      </w:r>
      <w:r w:rsidR="000D2AA3">
        <w:rPr>
          <w:rFonts w:ascii="Calibri" w:hAnsi="Calibri" w:cs="Arial"/>
          <w:sz w:val="20"/>
          <w:szCs w:val="20"/>
          <w14:ligatures w14:val="none"/>
        </w:rPr>
        <w:t>t</w:t>
      </w:r>
      <w:r w:rsidRPr="00B85616">
        <w:rPr>
          <w:rFonts w:ascii="Calibri" w:hAnsi="Calibri" w:cs="Arial"/>
          <w:sz w:val="20"/>
          <w:szCs w:val="20"/>
          <w14:ligatures w14:val="none"/>
        </w:rPr>
        <w:t xml:space="preserve"> 2022: Dena. Entwurf einer industriepolitischen Strategie für erneuerbare Energien und Stromnetze, Stand: 12/2022. Siehe: </w:t>
      </w:r>
      <w:hyperlink r:id="rId1768" w:history="1">
        <w:r w:rsidRPr="00B85616">
          <w:rPr>
            <w:rStyle w:val="Hyperlink"/>
            <w:rFonts w:ascii="Calibri" w:hAnsi="Calibri" w:cs="Arial"/>
            <w:sz w:val="20"/>
            <w:szCs w:val="20"/>
            <w14:ligatures w14:val="none"/>
          </w:rPr>
          <w:t>https://www.bmwk.de/Redaktion/DE/Publikationen/Energie/stakeholderdialog-industrielle-produktionskapazitaten-fur-die-energiewende.html</w:t>
        </w:r>
      </w:hyperlink>
      <w:r w:rsidRPr="00B85616">
        <w:rPr>
          <w:rFonts w:ascii="Calibri" w:hAnsi="Calibri" w:cs="Arial"/>
          <w:sz w:val="20"/>
          <w:szCs w:val="20"/>
          <w14:ligatures w14:val="none"/>
        </w:rPr>
        <w:t xml:space="preserve"> - Zugegriffen: 02.06.2025.  </w:t>
      </w:r>
    </w:p>
  </w:footnote>
  <w:footnote w:id="2404">
    <w:p w14:paraId="0DEFECE5" w14:textId="3CD17000" w:rsidR="000D2AA3" w:rsidRDefault="000D2AA3">
      <w:pPr>
        <w:pStyle w:val="Funotentext"/>
      </w:pPr>
      <w:r>
        <w:rPr>
          <w:rStyle w:val="Funotenzeichen"/>
        </w:rPr>
        <w:footnoteRef/>
      </w:r>
      <w:r>
        <w:t xml:space="preserve"> DENA </w:t>
      </w:r>
      <w:proofErr w:type="spellStart"/>
      <w:r>
        <w:t>StiPE</w:t>
      </w:r>
      <w:proofErr w:type="spellEnd"/>
      <w:r>
        <w:t xml:space="preserve"> </w:t>
      </w:r>
    </w:p>
  </w:footnote>
  <w:footnote w:id="2405">
    <w:p w14:paraId="526F303A" w14:textId="472BEEE8" w:rsidR="007E007E" w:rsidRDefault="007E007E">
      <w:pPr>
        <w:pStyle w:val="Funotentext"/>
      </w:pPr>
      <w:r>
        <w:rPr>
          <w:rStyle w:val="Funotenzeichen"/>
        </w:rPr>
        <w:footnoteRef/>
      </w:r>
      <w:r>
        <w:t xml:space="preserve"> </w:t>
      </w:r>
      <w:r w:rsidRPr="00B85616">
        <w:t xml:space="preserve">DENA </w:t>
      </w:r>
      <w:proofErr w:type="spellStart"/>
      <w:r w:rsidRPr="00B85616">
        <w:t>StiPE</w:t>
      </w:r>
      <w:proofErr w:type="spellEnd"/>
      <w:r w:rsidRPr="00B85616">
        <w:t xml:space="preserve"> Berich</w:t>
      </w:r>
      <w:r w:rsidR="000D2AA3">
        <w:t>t</w:t>
      </w:r>
      <w:r w:rsidRPr="00B85616">
        <w:t xml:space="preserve"> 2022</w:t>
      </w:r>
      <w:r>
        <w:t>: 30.</w:t>
      </w:r>
    </w:p>
  </w:footnote>
  <w:footnote w:id="2406">
    <w:p w14:paraId="0CE4A529" w14:textId="6F929498" w:rsidR="007E007E" w:rsidRDefault="007E007E" w:rsidP="007E007E">
      <w:pPr>
        <w:pStyle w:val="Funotentext"/>
      </w:pPr>
      <w:r>
        <w:rPr>
          <w:rStyle w:val="Funotenzeichen"/>
        </w:rPr>
        <w:footnoteRef/>
      </w:r>
      <w:r>
        <w:t xml:space="preserve"> </w:t>
      </w:r>
      <w:r w:rsidRPr="00B85616">
        <w:t xml:space="preserve">DENA </w:t>
      </w:r>
      <w:proofErr w:type="spellStart"/>
      <w:r w:rsidRPr="00B85616">
        <w:t>StiPE</w:t>
      </w:r>
      <w:proofErr w:type="spellEnd"/>
      <w:r w:rsidRPr="00B85616">
        <w:t xml:space="preserve"> Berich</w:t>
      </w:r>
      <w:r w:rsidR="000D2AA3">
        <w:t>t</w:t>
      </w:r>
      <w:r w:rsidRPr="00B85616">
        <w:t xml:space="preserve"> 2022</w:t>
      </w:r>
      <w:r>
        <w:t>: 30-31.</w:t>
      </w:r>
    </w:p>
  </w:footnote>
  <w:footnote w:id="2407">
    <w:p w14:paraId="68D3B850" w14:textId="76293621" w:rsidR="000D2AA3" w:rsidRPr="001D51C3" w:rsidRDefault="000D2AA3">
      <w:pPr>
        <w:pStyle w:val="Funotentext"/>
      </w:pPr>
      <w:r>
        <w:rPr>
          <w:rStyle w:val="Funotenzeichen"/>
        </w:rPr>
        <w:footnoteRef/>
      </w:r>
      <w:r w:rsidRPr="001D51C3">
        <w:t xml:space="preserve"> DENA </w:t>
      </w:r>
      <w:proofErr w:type="spellStart"/>
      <w:r w:rsidRPr="001D51C3">
        <w:t>StiPE</w:t>
      </w:r>
      <w:proofErr w:type="spellEnd"/>
      <w:r w:rsidRPr="001D51C3">
        <w:t xml:space="preserve"> Bericht 2022: 69.</w:t>
      </w:r>
    </w:p>
  </w:footnote>
  <w:footnote w:id="2408">
    <w:p w14:paraId="688EB82C" w14:textId="72530FD9" w:rsidR="000D2AA3" w:rsidRPr="001D51C3" w:rsidRDefault="000D2AA3">
      <w:pPr>
        <w:pStyle w:val="Funotentext"/>
      </w:pPr>
      <w:r>
        <w:rPr>
          <w:rStyle w:val="Funotenzeichen"/>
        </w:rPr>
        <w:footnoteRef/>
      </w:r>
      <w:r w:rsidRPr="001D51C3">
        <w:t xml:space="preserve"> DENA </w:t>
      </w:r>
      <w:proofErr w:type="spellStart"/>
      <w:r w:rsidRPr="001D51C3">
        <w:t>StiPE</w:t>
      </w:r>
      <w:proofErr w:type="spellEnd"/>
      <w:r w:rsidRPr="001D51C3">
        <w:t xml:space="preserve"> Bericht 2022: 68.</w:t>
      </w:r>
    </w:p>
  </w:footnote>
  <w:footnote w:id="2409">
    <w:p w14:paraId="5372B127" w14:textId="34721CAF" w:rsidR="00FF79AE" w:rsidRDefault="00FF79AE">
      <w:pPr>
        <w:pStyle w:val="Funotentext"/>
      </w:pPr>
      <w:r>
        <w:rPr>
          <w:rStyle w:val="Funotenzeichen"/>
        </w:rPr>
        <w:footnoteRef/>
      </w:r>
      <w:r>
        <w:t xml:space="preserve"> </w:t>
      </w:r>
      <w:r w:rsidR="00EB3080">
        <w:t xml:space="preserve">So verstehe ich die Abbildung 2. </w:t>
      </w:r>
      <w:r w:rsidR="00EB3080" w:rsidRPr="00EB3080">
        <w:t xml:space="preserve">DENA </w:t>
      </w:r>
      <w:proofErr w:type="spellStart"/>
      <w:r w:rsidR="00EB3080" w:rsidRPr="00EB3080">
        <w:t>StiPE</w:t>
      </w:r>
      <w:proofErr w:type="spellEnd"/>
      <w:r w:rsidR="00EB3080" w:rsidRPr="00EB3080">
        <w:t xml:space="preserve"> Berich</w:t>
      </w:r>
      <w:r w:rsidR="000D2AA3">
        <w:t>t</w:t>
      </w:r>
      <w:r w:rsidR="00EB3080" w:rsidRPr="00EB3080">
        <w:t xml:space="preserve"> 2022:</w:t>
      </w:r>
      <w:r w:rsidR="00EB3080">
        <w:t xml:space="preserve"> 15.</w:t>
      </w:r>
    </w:p>
  </w:footnote>
  <w:footnote w:id="2410">
    <w:p w14:paraId="0461CE29" w14:textId="6D9C4858" w:rsidR="00511B31" w:rsidRDefault="00511B31" w:rsidP="00511B31">
      <w:pPr>
        <w:pStyle w:val="Funotentext"/>
      </w:pPr>
      <w:r>
        <w:rPr>
          <w:rStyle w:val="Funotenzeichen"/>
        </w:rPr>
        <w:footnoteRef/>
      </w:r>
      <w:r>
        <w:t xml:space="preserve"> Dena </w:t>
      </w:r>
      <w:proofErr w:type="spellStart"/>
      <w:r>
        <w:t>StiPE</w:t>
      </w:r>
      <w:proofErr w:type="spellEnd"/>
      <w:r>
        <w:t xml:space="preserve"> </w:t>
      </w:r>
      <w:r w:rsidR="000D2AA3">
        <w:t xml:space="preserve">Bericht </w:t>
      </w:r>
      <w:r>
        <w:t>2022: 39.</w:t>
      </w:r>
    </w:p>
  </w:footnote>
  <w:footnote w:id="2411">
    <w:p w14:paraId="293CE546" w14:textId="43DD8568" w:rsidR="00EB3080" w:rsidRDefault="00EB3080">
      <w:pPr>
        <w:pStyle w:val="Funotentext"/>
      </w:pPr>
      <w:r>
        <w:rPr>
          <w:rStyle w:val="Funotenzeichen"/>
        </w:rPr>
        <w:footnoteRef/>
      </w:r>
      <w:r>
        <w:t xml:space="preserve"> Siehe: </w:t>
      </w:r>
      <w:hyperlink r:id="rId1769" w:history="1">
        <w:r w:rsidRPr="0050727D">
          <w:rPr>
            <w:rStyle w:val="Hyperlink"/>
          </w:rPr>
          <w:t>https://www.tagesschau.de/wirtschaft/wirtschaft-siemens-gamesa-energy-staatshilfe-garantien-100.html</w:t>
        </w:r>
      </w:hyperlink>
      <w:r>
        <w:t xml:space="preserve"> - Zugegriffen: 09.06.2025. </w:t>
      </w:r>
    </w:p>
  </w:footnote>
  <w:footnote w:id="2412">
    <w:p w14:paraId="3762D549" w14:textId="77777777" w:rsidR="00921A10" w:rsidRDefault="00921A10" w:rsidP="00921A10">
      <w:pPr>
        <w:pStyle w:val="Funotentext"/>
      </w:pPr>
      <w:r>
        <w:rPr>
          <w:rStyle w:val="Funotenzeichen"/>
        </w:rPr>
        <w:footnoteRef/>
      </w:r>
      <w:r>
        <w:t xml:space="preserve"> Siehe: Pressemitteilung Siemens Energy 05.06.2025: </w:t>
      </w:r>
      <w:hyperlink r:id="rId1770" w:history="1">
        <w:r w:rsidRPr="009B1ED1">
          <w:rPr>
            <w:rStyle w:val="Hyperlink"/>
          </w:rPr>
          <w:t>https://www.siemens-energy.com/de/de/home/pressemitteilungen/siemens-energy-vereinbart-neue-garantiefazilitaet-und-loest-bund.html</w:t>
        </w:r>
      </w:hyperlink>
      <w:r>
        <w:t xml:space="preserve"> - Zugegriffen: 11.06.2025. </w:t>
      </w:r>
    </w:p>
  </w:footnote>
  <w:footnote w:id="2413">
    <w:p w14:paraId="781278C8" w14:textId="5218FE87" w:rsidR="00921A10" w:rsidRDefault="00921A10">
      <w:pPr>
        <w:pStyle w:val="Funotentext"/>
      </w:pPr>
      <w:r>
        <w:rPr>
          <w:rStyle w:val="Funotenzeichen"/>
        </w:rPr>
        <w:footnoteRef/>
      </w:r>
      <w:r>
        <w:t xml:space="preserve"> Christoph A. Scherbaum. Siemens Energy schüttelt die Probleme ab. FAZ, 07.06.2025. </w:t>
      </w:r>
    </w:p>
  </w:footnote>
  <w:footnote w:id="2414">
    <w:p w14:paraId="5E14A805" w14:textId="7071E236" w:rsidR="00EB3080" w:rsidRDefault="00EB3080">
      <w:pPr>
        <w:pStyle w:val="Funotentext"/>
      </w:pPr>
      <w:r>
        <w:rPr>
          <w:rStyle w:val="Funotenzeichen"/>
        </w:rPr>
        <w:footnoteRef/>
      </w:r>
      <w:r>
        <w:t xml:space="preserve"> </w:t>
      </w:r>
      <w:r w:rsidR="001E0E3D" w:rsidRPr="00EB3080">
        <w:t xml:space="preserve">DENA </w:t>
      </w:r>
      <w:proofErr w:type="spellStart"/>
      <w:r w:rsidR="001E0E3D" w:rsidRPr="00EB3080">
        <w:t>StiPE</w:t>
      </w:r>
      <w:proofErr w:type="spellEnd"/>
      <w:r w:rsidR="001E0E3D" w:rsidRPr="00EB3080">
        <w:t xml:space="preserve"> Berich</w:t>
      </w:r>
      <w:r w:rsidR="000D2AA3">
        <w:t>t</w:t>
      </w:r>
      <w:r w:rsidR="001E0E3D" w:rsidRPr="00EB3080">
        <w:t xml:space="preserve"> 2022:</w:t>
      </w:r>
      <w:r w:rsidR="001E0E3D">
        <w:t xml:space="preserve"> 16.</w:t>
      </w:r>
    </w:p>
  </w:footnote>
  <w:footnote w:id="2415">
    <w:p w14:paraId="245FB867" w14:textId="0F0E10D5" w:rsidR="007E007E" w:rsidRDefault="007E007E">
      <w:pPr>
        <w:pStyle w:val="Funotentext"/>
      </w:pPr>
      <w:r>
        <w:rPr>
          <w:rStyle w:val="Funotenzeichen"/>
        </w:rPr>
        <w:footnoteRef/>
      </w:r>
      <w:r>
        <w:t xml:space="preserve"> </w:t>
      </w:r>
      <w:r w:rsidRPr="00EB3080">
        <w:t xml:space="preserve">DENA </w:t>
      </w:r>
      <w:proofErr w:type="spellStart"/>
      <w:r w:rsidRPr="00EB3080">
        <w:t>StiPE</w:t>
      </w:r>
      <w:proofErr w:type="spellEnd"/>
      <w:r w:rsidRPr="00EB3080">
        <w:t xml:space="preserve"> Berich</w:t>
      </w:r>
      <w:r w:rsidR="000D2AA3">
        <w:t>t</w:t>
      </w:r>
      <w:r w:rsidRPr="00EB3080">
        <w:t xml:space="preserve"> 2022:</w:t>
      </w:r>
      <w:r>
        <w:t xml:space="preserve"> 30.</w:t>
      </w:r>
    </w:p>
  </w:footnote>
  <w:footnote w:id="2416">
    <w:p w14:paraId="6C0A906D" w14:textId="124E1ABF" w:rsidR="007E007E" w:rsidRDefault="007E007E" w:rsidP="007E007E">
      <w:pPr>
        <w:pStyle w:val="Funotentext"/>
      </w:pPr>
      <w:r>
        <w:rPr>
          <w:rStyle w:val="Funotenzeichen"/>
        </w:rPr>
        <w:footnoteRef/>
      </w:r>
      <w:r>
        <w:t xml:space="preserve"> </w:t>
      </w:r>
      <w:r w:rsidRPr="00EB3080">
        <w:t xml:space="preserve">DENA </w:t>
      </w:r>
      <w:proofErr w:type="spellStart"/>
      <w:r w:rsidRPr="00EB3080">
        <w:t>StiPE</w:t>
      </w:r>
      <w:proofErr w:type="spellEnd"/>
      <w:r w:rsidRPr="00EB3080">
        <w:t xml:space="preserve"> Berich</w:t>
      </w:r>
      <w:r w:rsidR="000D2AA3">
        <w:t>t</w:t>
      </w:r>
      <w:r w:rsidRPr="00EB3080">
        <w:t xml:space="preserve"> 2022:</w:t>
      </w:r>
      <w:r>
        <w:t xml:space="preserve"> 30.</w:t>
      </w:r>
    </w:p>
  </w:footnote>
  <w:footnote w:id="2417">
    <w:p w14:paraId="1635A9DE" w14:textId="11752376" w:rsidR="007B6F0D" w:rsidRDefault="007B6F0D">
      <w:pPr>
        <w:pStyle w:val="Funotentext"/>
      </w:pPr>
      <w:r>
        <w:rPr>
          <w:rStyle w:val="Funotenzeichen"/>
        </w:rPr>
        <w:footnoteRef/>
      </w:r>
      <w:r>
        <w:t xml:space="preserve"> </w:t>
      </w:r>
      <w:r w:rsidR="000D2AA3">
        <w:t xml:space="preserve">Siehe: </w:t>
      </w:r>
      <w:hyperlink r:id="rId1771" w:history="1">
        <w:r w:rsidR="000D2AA3" w:rsidRPr="0050727D">
          <w:rPr>
            <w:rStyle w:val="Hyperlink"/>
          </w:rPr>
          <w:t>https://www.kfw.de/%C3%9Cber-die-KfW/Newsroom/Aktuelles/Wasserstoff-Kernnetz.html</w:t>
        </w:r>
      </w:hyperlink>
      <w:r w:rsidR="000D2AA3">
        <w:t xml:space="preserve"> - Zugegriffen: 09.06.2025. </w:t>
      </w:r>
    </w:p>
  </w:footnote>
  <w:footnote w:id="2418">
    <w:p w14:paraId="443A33D7" w14:textId="09C74FEB" w:rsidR="00097EA2" w:rsidRDefault="00097EA2">
      <w:pPr>
        <w:pStyle w:val="Funotentext"/>
      </w:pPr>
      <w:r>
        <w:rPr>
          <w:rStyle w:val="Funotenzeichen"/>
        </w:rPr>
        <w:footnoteRef/>
      </w:r>
      <w:r>
        <w:t xml:space="preserve"> Siehe: </w:t>
      </w:r>
      <w:hyperlink r:id="rId1772" w:history="1">
        <w:r w:rsidRPr="00C14A4B">
          <w:rPr>
            <w:rStyle w:val="Hyperlink"/>
          </w:rPr>
          <w:t>https://www.enpal.de</w:t>
        </w:r>
      </w:hyperlink>
      <w:r>
        <w:t xml:space="preserve"> – siehe auch: </w:t>
      </w:r>
      <w:hyperlink r:id="rId1773" w:history="1">
        <w:r w:rsidRPr="00C14A4B">
          <w:rPr>
            <w:rStyle w:val="Hyperlink"/>
          </w:rPr>
          <w:t>https://1komma5.com/de/</w:t>
        </w:r>
      </w:hyperlink>
      <w:r>
        <w:t xml:space="preserve"> </w:t>
      </w:r>
    </w:p>
  </w:footnote>
  <w:footnote w:id="2419">
    <w:p w14:paraId="141864AA" w14:textId="17B549F3" w:rsidR="00097EA2" w:rsidRDefault="00097EA2">
      <w:pPr>
        <w:pStyle w:val="Funotentext"/>
      </w:pPr>
      <w:r>
        <w:rPr>
          <w:rStyle w:val="Funotenzeichen"/>
        </w:rPr>
        <w:footnoteRef/>
      </w:r>
      <w:r>
        <w:t xml:space="preserve"> EIB schiebt Solar-Verbriefung an. FAZ, 15.11.2024. </w:t>
      </w:r>
    </w:p>
  </w:footnote>
  <w:footnote w:id="2420">
    <w:p w14:paraId="54452937" w14:textId="77777777" w:rsidR="00823342" w:rsidRPr="003D0B7F" w:rsidRDefault="00823342" w:rsidP="00823342">
      <w:pPr>
        <w:pStyle w:val="Funotentext"/>
      </w:pPr>
      <w:r>
        <w:rPr>
          <w:rStyle w:val="Funotenzeichen"/>
        </w:rPr>
        <w:footnoteRef/>
      </w:r>
      <w:r w:rsidRPr="003D0B7F">
        <w:t xml:space="preserve"> </w:t>
      </w:r>
      <w:r>
        <w:t>S. 16, s</w:t>
      </w:r>
      <w:r w:rsidRPr="003D0B7F">
        <w:t xml:space="preserve">iehe: </w:t>
      </w:r>
      <w:hyperlink r:id="rId1774" w:history="1">
        <w:r w:rsidRPr="00935F25">
          <w:rPr>
            <w:rStyle w:val="Hyperlink"/>
          </w:rPr>
          <w:t>https://www.bmwk.de/Redaktion/DE/Dossier/ses.html</w:t>
        </w:r>
      </w:hyperlink>
      <w:r>
        <w:t xml:space="preserve"> - Zugegriffen: 31.05.2025. </w:t>
      </w:r>
    </w:p>
  </w:footnote>
  <w:footnote w:id="2421">
    <w:p w14:paraId="7C4B062F" w14:textId="77777777" w:rsidR="00823342" w:rsidRDefault="00823342" w:rsidP="00823342">
      <w:pPr>
        <w:pStyle w:val="Funotentext"/>
      </w:pPr>
      <w:r>
        <w:rPr>
          <w:rStyle w:val="Funotenzeichen"/>
        </w:rPr>
        <w:footnoteRef/>
      </w:r>
      <w:r>
        <w:t xml:space="preserve"> Siehe Thyssenkrupp Pressemitteilung, 03.12.2020: </w:t>
      </w:r>
      <w:hyperlink r:id="rId1775" w:history="1">
        <w:r w:rsidRPr="00DB7530">
          <w:rPr>
            <w:rStyle w:val="Hyperlink"/>
          </w:rPr>
          <w:t>https://www.thyssenkrupp.com/de/newsroom/pressemeldungen/pressedetailseite/gruner-wasserstoff-fur-grunen-stahl-aus-duisburg--steag-und-thyssenkrupp-planen-gemeinsames-wasserstoffprojekt-91318</w:t>
        </w:r>
      </w:hyperlink>
      <w:r>
        <w:t xml:space="preserve"> - Zugegriffen: 30.11.2023. </w:t>
      </w:r>
    </w:p>
  </w:footnote>
  <w:footnote w:id="2422">
    <w:p w14:paraId="653925CB" w14:textId="77777777" w:rsidR="00823342" w:rsidRDefault="00823342" w:rsidP="00823342">
      <w:pPr>
        <w:pStyle w:val="Funotentext"/>
      </w:pPr>
      <w:r>
        <w:rPr>
          <w:rStyle w:val="Funotenzeichen"/>
        </w:rPr>
        <w:footnoteRef/>
      </w:r>
      <w:r>
        <w:t xml:space="preserve"> Systementwicklungsstrategie 2024: 20.</w:t>
      </w:r>
    </w:p>
  </w:footnote>
  <w:footnote w:id="2423">
    <w:p w14:paraId="5C6BCC2A" w14:textId="77777777" w:rsidR="00823342" w:rsidRDefault="00823342" w:rsidP="00823342">
      <w:pPr>
        <w:pStyle w:val="Funotentext"/>
      </w:pPr>
      <w:r>
        <w:rPr>
          <w:rStyle w:val="Funotenzeichen"/>
        </w:rPr>
        <w:footnoteRef/>
      </w:r>
      <w:r>
        <w:t xml:space="preserve"> </w:t>
      </w:r>
      <w:proofErr w:type="gramStart"/>
      <w:r w:rsidRPr="004722B2">
        <w:t>BMWK Industriepolitik</w:t>
      </w:r>
      <w:proofErr w:type="gramEnd"/>
      <w:r w:rsidRPr="004722B2">
        <w:t xml:space="preserve"> in der Zeitenwende 2023: BMWK. Industriepolitik in der Zeitenwende, Oktober 2023. URL: </w:t>
      </w:r>
      <w:hyperlink r:id="rId1776" w:history="1">
        <w:r w:rsidRPr="004722B2">
          <w:rPr>
            <w:rStyle w:val="Hyperlink"/>
          </w:rPr>
          <w:t>https://www.bmwk.de/Redaktion/DE/Publikationen/Industrie/industriepolitik-in-der-zeitenwende.html</w:t>
        </w:r>
      </w:hyperlink>
      <w:r w:rsidRPr="004722B2">
        <w:t xml:space="preserve"> - Zugegriffen: 02.06.2025.</w:t>
      </w:r>
    </w:p>
  </w:footnote>
  <w:footnote w:id="2424">
    <w:p w14:paraId="2E8444EB" w14:textId="77777777" w:rsidR="00823342" w:rsidRDefault="00823342" w:rsidP="00823342">
      <w:pPr>
        <w:pStyle w:val="Funotentext"/>
      </w:pPr>
      <w:r>
        <w:rPr>
          <w:rStyle w:val="Funotenzeichen"/>
        </w:rPr>
        <w:footnoteRef/>
      </w:r>
      <w:r>
        <w:t xml:space="preserve"> Siehe: </w:t>
      </w:r>
      <w:hyperlink r:id="rId1777" w:history="1">
        <w:r w:rsidRPr="00F77D64">
          <w:rPr>
            <w:rStyle w:val="Hyperlink"/>
          </w:rPr>
          <w:t>https://www.bmwk.de/Redaktion/DE/Publikationen/Wirtschaft/handlungskonzept-stahl.html</w:t>
        </w:r>
      </w:hyperlink>
      <w:r>
        <w:t xml:space="preserve"> - Zugegriffen: 10.06.2025. </w:t>
      </w:r>
    </w:p>
  </w:footnote>
  <w:footnote w:id="2425">
    <w:p w14:paraId="2354C729" w14:textId="77777777" w:rsidR="00823342" w:rsidRDefault="00823342" w:rsidP="00823342">
      <w:pPr>
        <w:pStyle w:val="Funotentext"/>
      </w:pPr>
      <w:r>
        <w:rPr>
          <w:rStyle w:val="Funotenzeichen"/>
        </w:rPr>
        <w:footnoteRef/>
      </w:r>
      <w:r>
        <w:t xml:space="preserve"> </w:t>
      </w:r>
      <w:proofErr w:type="gramStart"/>
      <w:r>
        <w:t>BMWK Industriepolitik</w:t>
      </w:r>
      <w:proofErr w:type="gramEnd"/>
      <w:r>
        <w:t xml:space="preserve"> in der Zeitenwende 2023: 24-25.</w:t>
      </w:r>
    </w:p>
  </w:footnote>
  <w:footnote w:id="2426">
    <w:p w14:paraId="066936EE" w14:textId="77777777" w:rsidR="00823342" w:rsidRDefault="00823342" w:rsidP="00823342">
      <w:pPr>
        <w:pStyle w:val="Funotentext"/>
      </w:pPr>
      <w:r>
        <w:rPr>
          <w:rStyle w:val="Funotenzeichen"/>
        </w:rPr>
        <w:footnoteRef/>
      </w:r>
      <w:r>
        <w:t xml:space="preserve"> </w:t>
      </w:r>
      <w:proofErr w:type="gramStart"/>
      <w:r>
        <w:t>BMWK Industriepolitik</w:t>
      </w:r>
      <w:proofErr w:type="gramEnd"/>
      <w:r>
        <w:t xml:space="preserve"> in der Zeitenwende 2023: 28.</w:t>
      </w:r>
    </w:p>
  </w:footnote>
  <w:footnote w:id="2427">
    <w:p w14:paraId="0D6D036F" w14:textId="77777777" w:rsidR="00823342" w:rsidRDefault="00823342" w:rsidP="00823342">
      <w:pPr>
        <w:pStyle w:val="Funotentext"/>
      </w:pPr>
      <w:r>
        <w:rPr>
          <w:rStyle w:val="Funotenzeichen"/>
        </w:rPr>
        <w:footnoteRef/>
      </w:r>
      <w:r>
        <w:t xml:space="preserve"> </w:t>
      </w:r>
      <w:proofErr w:type="gramStart"/>
      <w:r>
        <w:t>BMWK Industriepolitik</w:t>
      </w:r>
      <w:proofErr w:type="gramEnd"/>
      <w:r>
        <w:t xml:space="preserve"> in der Zeitenwende 2023: 28.</w:t>
      </w:r>
    </w:p>
  </w:footnote>
  <w:footnote w:id="2428">
    <w:p w14:paraId="2A296AEE" w14:textId="77777777" w:rsidR="00823342" w:rsidRPr="00823342" w:rsidRDefault="00823342" w:rsidP="00823342">
      <w:pPr>
        <w:pStyle w:val="Funotentext"/>
        <w:rPr>
          <w:lang w:val="en-GB"/>
        </w:rPr>
      </w:pPr>
      <w:r>
        <w:rPr>
          <w:rStyle w:val="Funotenzeichen"/>
        </w:rPr>
        <w:footnoteRef/>
      </w:r>
      <w:r>
        <w:t xml:space="preserve"> </w:t>
      </w:r>
      <w:proofErr w:type="gramStart"/>
      <w:r>
        <w:t>BMWK Industriepolitik</w:t>
      </w:r>
      <w:proofErr w:type="gramEnd"/>
      <w:r>
        <w:t xml:space="preserve"> in der Zeitenwende 2023: 52. </w:t>
      </w:r>
      <w:proofErr w:type="spellStart"/>
      <w:r w:rsidRPr="00823342">
        <w:rPr>
          <w:lang w:val="en-GB"/>
        </w:rPr>
        <w:t>Systementwicklungsstrategie</w:t>
      </w:r>
      <w:proofErr w:type="spellEnd"/>
      <w:r w:rsidRPr="00823342">
        <w:rPr>
          <w:lang w:val="en-GB"/>
        </w:rPr>
        <w:t xml:space="preserve"> 2024: 20.</w:t>
      </w:r>
    </w:p>
  </w:footnote>
  <w:footnote w:id="2429">
    <w:p w14:paraId="205F88F7" w14:textId="77777777" w:rsidR="00E45E10" w:rsidRPr="00546595" w:rsidRDefault="00E45E10" w:rsidP="00E45E10">
      <w:pPr>
        <w:pStyle w:val="Funotentext"/>
      </w:pPr>
      <w:r>
        <w:rPr>
          <w:rStyle w:val="Funotenzeichen"/>
        </w:rPr>
        <w:footnoteRef/>
      </w:r>
      <w:r w:rsidRPr="00546595">
        <w:rPr>
          <w:lang w:val="en-GB"/>
        </w:rPr>
        <w:t xml:space="preserve"> </w:t>
      </w:r>
      <w:proofErr w:type="spellStart"/>
      <w:r w:rsidRPr="00546595">
        <w:rPr>
          <w:lang w:val="en-GB"/>
        </w:rPr>
        <w:t>Siehe</w:t>
      </w:r>
      <w:proofErr w:type="spellEnd"/>
      <w:r>
        <w:rPr>
          <w:lang w:val="en-GB"/>
        </w:rPr>
        <w:t>:</w:t>
      </w:r>
      <w:r w:rsidRPr="00546595">
        <w:rPr>
          <w:lang w:val="en-GB"/>
        </w:rPr>
        <w:t xml:space="preserve"> Staff working document - Towards competitive and clean European steel</w:t>
      </w:r>
      <w:r>
        <w:rPr>
          <w:lang w:val="en-GB"/>
        </w:rPr>
        <w:t xml:space="preserve">. </w:t>
      </w:r>
      <w:r w:rsidRPr="00546595">
        <w:t>5.</w:t>
      </w:r>
      <w:r>
        <w:t xml:space="preserve"> May 2021</w:t>
      </w:r>
      <w:r w:rsidRPr="00546595">
        <w:t xml:space="preserve">: </w:t>
      </w:r>
      <w:hyperlink r:id="rId1778" w:history="1">
        <w:r w:rsidRPr="00546595">
          <w:rPr>
            <w:rStyle w:val="Hyperlink"/>
          </w:rPr>
          <w:t>https://commission.europa.eu/document/fcd83469-cb1c-4c4f-842f-0c94e5308007_en?prefLang=de</w:t>
        </w:r>
      </w:hyperlink>
      <w:r w:rsidRPr="00546595">
        <w:t xml:space="preserve"> – Zugegriffen: 31.05.2025. </w:t>
      </w:r>
    </w:p>
  </w:footnote>
  <w:footnote w:id="2430">
    <w:p w14:paraId="0C162760" w14:textId="77777777" w:rsidR="00E45E10" w:rsidRPr="0038075D" w:rsidRDefault="00E45E10" w:rsidP="00E45E10">
      <w:pPr>
        <w:pStyle w:val="Funotentext"/>
      </w:pPr>
      <w:r>
        <w:rPr>
          <w:rStyle w:val="Funotenzeichen"/>
        </w:rPr>
        <w:footnoteRef/>
      </w:r>
      <w:r w:rsidRPr="0038075D">
        <w:t xml:space="preserve"> S. 16, A European Steel and </w:t>
      </w:r>
      <w:proofErr w:type="spellStart"/>
      <w:r w:rsidRPr="0038075D">
        <w:t>Metal</w:t>
      </w:r>
      <w:proofErr w:type="spellEnd"/>
      <w:r w:rsidRPr="0038075D">
        <w:t xml:space="preserve"> Action Plan, 19.03.2025: </w:t>
      </w:r>
      <w:hyperlink r:id="rId1779" w:history="1">
        <w:r w:rsidRPr="0038075D">
          <w:rPr>
            <w:rStyle w:val="Hyperlink"/>
          </w:rPr>
          <w:t>https://ec.europa.eu/commission/presscorner/detail/en/ip_25_805</w:t>
        </w:r>
      </w:hyperlink>
      <w:r w:rsidRPr="0038075D">
        <w:t xml:space="preserve"> - Zugegriffen: 18.05.2025.</w:t>
      </w:r>
    </w:p>
  </w:footnote>
  <w:footnote w:id="2431">
    <w:p w14:paraId="2390AF44" w14:textId="00ECA838" w:rsidR="00F115AE" w:rsidRDefault="00F115AE">
      <w:pPr>
        <w:pStyle w:val="Funotentext"/>
      </w:pPr>
      <w:r>
        <w:rPr>
          <w:rStyle w:val="Funotenzeichen"/>
        </w:rPr>
        <w:footnoteRef/>
      </w:r>
      <w:r>
        <w:t xml:space="preserve"> Siehe: </w:t>
      </w:r>
      <w:hyperlink r:id="rId1780" w:history="1">
        <w:r w:rsidRPr="001B23DF">
          <w:rPr>
            <w:rStyle w:val="Hyperlink"/>
          </w:rPr>
          <w:t>https://www.steelactionplan.eu/</w:t>
        </w:r>
      </w:hyperlink>
      <w:r>
        <w:t xml:space="preserve"> </w:t>
      </w:r>
    </w:p>
  </w:footnote>
  <w:footnote w:id="2432">
    <w:p w14:paraId="7054DD6D" w14:textId="342583BA" w:rsidR="00F115AE" w:rsidRDefault="00F115AE">
      <w:pPr>
        <w:pStyle w:val="Funotentext"/>
      </w:pPr>
      <w:r>
        <w:rPr>
          <w:rStyle w:val="Funotenzeichen"/>
        </w:rPr>
        <w:footnoteRef/>
      </w:r>
      <w:r>
        <w:t xml:space="preserve"> Siehe: </w:t>
      </w:r>
      <w:hyperlink r:id="rId1781" w:history="1">
        <w:r w:rsidRPr="001B23DF">
          <w:rPr>
            <w:rStyle w:val="Hyperlink"/>
          </w:rPr>
          <w:t>https://www.steelactionplan.eu/assets/Uploads/A-European-Steel-Plan-Online_C_P_F.pdf - 19.06.2025</w:t>
        </w:r>
      </w:hyperlink>
      <w:r>
        <w:t xml:space="preserve">. </w:t>
      </w:r>
    </w:p>
  </w:footnote>
  <w:footnote w:id="2433">
    <w:p w14:paraId="00A7B73D" w14:textId="18484C6A" w:rsidR="005E138A" w:rsidRDefault="005E138A">
      <w:pPr>
        <w:pStyle w:val="Funotentext"/>
      </w:pPr>
      <w:r>
        <w:rPr>
          <w:rStyle w:val="Funotenzeichen"/>
        </w:rPr>
        <w:footnoteRef/>
      </w:r>
      <w:r>
        <w:t xml:space="preserve"> Siehe: </w:t>
      </w:r>
      <w:hyperlink r:id="rId1782" w:history="1">
        <w:r w:rsidRPr="001B23DF">
          <w:rPr>
            <w:rStyle w:val="Hyperlink"/>
          </w:rPr>
          <w:t>https://www.eurofer.eu/assets/publications/reports-or-studies/steel-in-action-2025/European-Steel-In-Action-2025.pdf</w:t>
        </w:r>
      </w:hyperlink>
      <w:r>
        <w:t xml:space="preserve"> - Zugegriffen: 19.06.2025. </w:t>
      </w:r>
    </w:p>
  </w:footnote>
  <w:footnote w:id="2434">
    <w:p w14:paraId="3B38565E" w14:textId="2E8A1814" w:rsidR="008631FA" w:rsidRDefault="008631FA">
      <w:pPr>
        <w:pStyle w:val="Funotentext"/>
      </w:pPr>
      <w:r>
        <w:rPr>
          <w:rStyle w:val="Funotenzeichen"/>
        </w:rPr>
        <w:footnoteRef/>
      </w:r>
      <w:r>
        <w:t xml:space="preserve"> Siehe: </w:t>
      </w:r>
      <w:hyperlink r:id="rId1783" w:history="1">
        <w:r w:rsidRPr="001B23DF">
          <w:rPr>
            <w:rStyle w:val="Hyperlink"/>
          </w:rPr>
          <w:t>https://projects.research-and-innovation.ec.europa.eu/sites/default/files/bmr-2022/ec_rtd_bmr-2022-clean-steel-partnership-fiche.pdf</w:t>
        </w:r>
      </w:hyperlink>
      <w:r>
        <w:t xml:space="preserve"> - Zugegriffen: 19.06.2025. </w:t>
      </w:r>
    </w:p>
  </w:footnote>
  <w:footnote w:id="2435">
    <w:p w14:paraId="75392D2F" w14:textId="3D09864B" w:rsidR="008631FA" w:rsidRDefault="008631FA">
      <w:pPr>
        <w:pStyle w:val="Funotentext"/>
      </w:pPr>
      <w:r>
        <w:rPr>
          <w:rStyle w:val="Funotenzeichen"/>
        </w:rPr>
        <w:footnoteRef/>
      </w:r>
      <w:r>
        <w:t xml:space="preserve"> Siehe: </w:t>
      </w:r>
      <w:hyperlink r:id="rId1784" w:history="1">
        <w:r w:rsidRPr="001B23DF">
          <w:rPr>
            <w:rStyle w:val="Hyperlink"/>
          </w:rPr>
          <w:t>https://www.aspire2050.eu/p4planet/about-p4planet</w:t>
        </w:r>
      </w:hyperlink>
      <w:r>
        <w:t xml:space="preserve"> - Zugegriffen: 19.09.2025. </w:t>
      </w:r>
    </w:p>
  </w:footnote>
  <w:footnote w:id="2436">
    <w:p w14:paraId="361CA9B9" w14:textId="77777777" w:rsidR="00DE1FDA" w:rsidRDefault="00DE1FDA" w:rsidP="00DE1FDA">
      <w:pPr>
        <w:pStyle w:val="Funotentext"/>
      </w:pPr>
      <w:r>
        <w:rPr>
          <w:rStyle w:val="Funotenzeichen"/>
        </w:rPr>
        <w:footnoteRef/>
      </w:r>
      <w:r>
        <w:t xml:space="preserve"> Siehe: </w:t>
      </w:r>
      <w:hyperlink r:id="rId1785" w:history="1">
        <w:r w:rsidRPr="001B23DF">
          <w:rPr>
            <w:rStyle w:val="Hyperlink"/>
          </w:rPr>
          <w:t>https://www.aspire2050.eu/p4planet/about-p4planet</w:t>
        </w:r>
      </w:hyperlink>
      <w:r>
        <w:t xml:space="preserve"> - Zugegriffen: 19.09.2025. </w:t>
      </w:r>
    </w:p>
  </w:footnote>
  <w:footnote w:id="2437">
    <w:p w14:paraId="5D55DB14" w14:textId="6C7FA491" w:rsidR="00DE1FDA" w:rsidRDefault="00DE1FDA">
      <w:pPr>
        <w:pStyle w:val="Funotentext"/>
      </w:pPr>
      <w:r>
        <w:rPr>
          <w:rStyle w:val="Funotenzeichen"/>
        </w:rPr>
        <w:footnoteRef/>
      </w:r>
      <w:r>
        <w:t xml:space="preserve"> </w:t>
      </w:r>
      <w:r w:rsidR="00172057">
        <w:t xml:space="preserve">Siehe: </w:t>
      </w:r>
      <w:hyperlink r:id="rId1786" w:history="1">
        <w:r w:rsidR="00172057" w:rsidRPr="001B23DF">
          <w:rPr>
            <w:rStyle w:val="Hyperlink"/>
          </w:rPr>
          <w:t>https://www.aspire2050.eu/sites/default/files/users/user85/p4planet_07.06.2022._final.pdf</w:t>
        </w:r>
      </w:hyperlink>
      <w:r w:rsidR="00172057">
        <w:t xml:space="preserve"> - Zugegriffen: 19.06.2025.</w:t>
      </w:r>
    </w:p>
  </w:footnote>
  <w:footnote w:id="2438">
    <w:p w14:paraId="18FEA23D" w14:textId="01780FC4" w:rsidR="00172057" w:rsidRDefault="00172057">
      <w:pPr>
        <w:pStyle w:val="Funotentext"/>
      </w:pPr>
      <w:r>
        <w:rPr>
          <w:rStyle w:val="Funotenzeichen"/>
        </w:rPr>
        <w:footnoteRef/>
      </w:r>
      <w:r>
        <w:t xml:space="preserve"> Siehe: </w:t>
      </w:r>
      <w:hyperlink r:id="rId1787" w:history="1">
        <w:r w:rsidRPr="001B23DF">
          <w:rPr>
            <w:rStyle w:val="Hyperlink"/>
          </w:rPr>
          <w:t>https://www.aspire2050.eu/sites/default/files/users/user85/p4planet_07.06.2022._final.pdf</w:t>
        </w:r>
      </w:hyperlink>
      <w:r>
        <w:t xml:space="preserve"> - Zugegriffen: 19.06.2025. </w:t>
      </w:r>
    </w:p>
  </w:footnote>
  <w:footnote w:id="2439">
    <w:p w14:paraId="67DD98E9" w14:textId="0F63211F" w:rsidR="009E27A9" w:rsidRDefault="009E27A9">
      <w:pPr>
        <w:pStyle w:val="Funotentext"/>
      </w:pPr>
      <w:r>
        <w:rPr>
          <w:rStyle w:val="Funotenzeichen"/>
        </w:rPr>
        <w:footnoteRef/>
      </w:r>
      <w:r>
        <w:t xml:space="preserve"> S. 12. siehe: </w:t>
      </w:r>
      <w:hyperlink r:id="rId1788" w:history="1">
        <w:r w:rsidRPr="001B23DF">
          <w:rPr>
            <w:rStyle w:val="Hyperlink"/>
          </w:rPr>
          <w:t>https://www.aspire2050.eu/sites/default/files/pressoffice/publication/p4planet_sria_update_final_version_march_2024.pdf</w:t>
        </w:r>
      </w:hyperlink>
      <w:r>
        <w:t xml:space="preserve"> - Zugegriffen: 19.06.2025. </w:t>
      </w:r>
    </w:p>
  </w:footnote>
  <w:footnote w:id="2440">
    <w:p w14:paraId="2D775B2C" w14:textId="7F837B56" w:rsidR="009E27A9" w:rsidRDefault="009E27A9">
      <w:pPr>
        <w:pStyle w:val="Funotentext"/>
      </w:pPr>
      <w:r>
        <w:rPr>
          <w:rStyle w:val="Funotenzeichen"/>
        </w:rPr>
        <w:footnoteRef/>
      </w:r>
      <w:r>
        <w:t xml:space="preserve"> Siehe: </w:t>
      </w:r>
      <w:hyperlink r:id="rId1789" w:history="1">
        <w:r w:rsidRPr="001B23DF">
          <w:rPr>
            <w:rStyle w:val="Hyperlink"/>
          </w:rPr>
          <w:t>https://www.euractiv.com/section/eet/news/steelmakers-urge-eu-to-introduce-mandatory-green-steel-quotas-for-carmakers/</w:t>
        </w:r>
      </w:hyperlink>
      <w:r>
        <w:t xml:space="preserve"> - Zugegriffen: 19.06.2025. </w:t>
      </w:r>
    </w:p>
  </w:footnote>
  <w:footnote w:id="2441">
    <w:p w14:paraId="48F157D4" w14:textId="77777777" w:rsidR="00E45E10" w:rsidRDefault="00E45E10" w:rsidP="00E45E10">
      <w:pPr>
        <w:pStyle w:val="Funotentext"/>
      </w:pPr>
      <w:r>
        <w:rPr>
          <w:rStyle w:val="Funotenzeichen"/>
        </w:rPr>
        <w:footnoteRef/>
      </w:r>
      <w:r>
        <w:t xml:space="preserve"> Siehe: </w:t>
      </w:r>
      <w:hyperlink r:id="rId1790" w:history="1">
        <w:r w:rsidRPr="00935F25">
          <w:rPr>
            <w:rStyle w:val="Hyperlink"/>
          </w:rPr>
          <w:t>https://www.iigcc.org/</w:t>
        </w:r>
      </w:hyperlink>
      <w:r>
        <w:t xml:space="preserve"> </w:t>
      </w:r>
    </w:p>
  </w:footnote>
  <w:footnote w:id="2442">
    <w:p w14:paraId="6DC34491" w14:textId="77777777" w:rsidR="00E45E10" w:rsidRDefault="00E45E10" w:rsidP="00E45E10">
      <w:pPr>
        <w:pStyle w:val="Funotentext"/>
      </w:pPr>
      <w:r>
        <w:rPr>
          <w:rStyle w:val="Funotenzeichen"/>
        </w:rPr>
        <w:footnoteRef/>
      </w:r>
      <w:r>
        <w:t xml:space="preserve"> Siehe: </w:t>
      </w:r>
      <w:hyperlink r:id="rId1791" w:history="1">
        <w:r w:rsidRPr="00935F25">
          <w:rPr>
            <w:rStyle w:val="Hyperlink"/>
          </w:rPr>
          <w:t>https://www.iigcc.org/hubfs/2025%20resources%20upload/IIGCC%20Principles%20for%20developing%20sector%20decarbonisation%20roadmap%20-%20the%20investor%20perspective%20for%20policymakers%202025.pdf</w:t>
        </w:r>
      </w:hyperlink>
      <w:r>
        <w:t xml:space="preserve"> – Zugegriffen: 31.05.2025. </w:t>
      </w:r>
    </w:p>
  </w:footnote>
  <w:footnote w:id="2443">
    <w:p w14:paraId="1F920C8F" w14:textId="77108862" w:rsidR="002A0EAE" w:rsidRPr="00833CFF" w:rsidRDefault="002A0EAE">
      <w:pPr>
        <w:pStyle w:val="Funotentext"/>
      </w:pPr>
      <w:r>
        <w:rPr>
          <w:rStyle w:val="Funotenzeichen"/>
        </w:rPr>
        <w:footnoteRef/>
      </w:r>
      <w:r w:rsidRPr="00833CFF">
        <w:t xml:space="preserve"> </w:t>
      </w:r>
      <w:r w:rsidR="00833CFF" w:rsidRPr="00833CFF">
        <w:t>Nadine Bös, Jonas Jansen Interview mit</w:t>
      </w:r>
      <w:r w:rsidR="00833CFF">
        <w:t xml:space="preserve"> Siegfried </w:t>
      </w:r>
      <w:proofErr w:type="spellStart"/>
      <w:r w:rsidR="00833CFF">
        <w:t>Russwurm</w:t>
      </w:r>
      <w:proofErr w:type="spellEnd"/>
      <w:r w:rsidR="00833CFF">
        <w:t xml:space="preserve"> ‚Grüner Stahl aus Deutschland ist auf absehbarer Zeit nicht wettbewerbsfähig.‘ FAZ, 27.06.2025. </w:t>
      </w:r>
    </w:p>
  </w:footnote>
  <w:footnote w:id="2444">
    <w:p w14:paraId="678FA6AD" w14:textId="77777777" w:rsidR="002954B1" w:rsidRDefault="002954B1" w:rsidP="002954B1">
      <w:pPr>
        <w:pStyle w:val="Funotentext"/>
      </w:pPr>
      <w:r>
        <w:rPr>
          <w:rStyle w:val="Funotenzeichen"/>
        </w:rPr>
        <w:footnoteRef/>
      </w:r>
      <w:r>
        <w:t xml:space="preserve"> Daten für 2023 aus: </w:t>
      </w:r>
      <w:hyperlink r:id="rId1792" w:history="1">
        <w:r w:rsidRPr="00935F25">
          <w:rPr>
            <w:rStyle w:val="Hyperlink"/>
          </w:rPr>
          <w:t>https://www.wvstahl.de/stahlstandort-deutschland/</w:t>
        </w:r>
      </w:hyperlink>
      <w:r>
        <w:t xml:space="preserve"> - Zugegriffen: 31.05.2024. </w:t>
      </w:r>
    </w:p>
  </w:footnote>
  <w:footnote w:id="2445">
    <w:p w14:paraId="1F04ECA5" w14:textId="2F80EEE0" w:rsidR="00B140BB" w:rsidRPr="00FB0574" w:rsidRDefault="00B140BB" w:rsidP="00B140BB">
      <w:pPr>
        <w:pStyle w:val="Funotentext"/>
      </w:pPr>
      <w:r>
        <w:rPr>
          <w:rStyle w:val="Funotenzeichen"/>
        </w:rPr>
        <w:footnoteRef/>
      </w:r>
      <w:r w:rsidRPr="00FB0574">
        <w:t xml:space="preserve"> </w:t>
      </w:r>
      <w:r w:rsidR="00FB0574">
        <w:t xml:space="preserve">Siehe: </w:t>
      </w:r>
      <w:hyperlink r:id="rId1793" w:history="1">
        <w:r w:rsidR="00FB0574" w:rsidRPr="0050727D">
          <w:rPr>
            <w:rStyle w:val="Hyperlink"/>
          </w:rPr>
          <w:t>https://de.wikipedia.org/wiki/Liste_europ%C3%A4ischer_Hochofenwerke</w:t>
        </w:r>
      </w:hyperlink>
      <w:r w:rsidR="00FB0574">
        <w:t xml:space="preserve"> – Zugegriffen: 09.06.2025. </w:t>
      </w:r>
    </w:p>
  </w:footnote>
  <w:footnote w:id="2446">
    <w:p w14:paraId="6EF2FE43" w14:textId="77777777" w:rsidR="00980D47" w:rsidRPr="00FB0574" w:rsidRDefault="00980D47" w:rsidP="00980D47">
      <w:pPr>
        <w:pStyle w:val="Funotentext"/>
      </w:pPr>
      <w:r>
        <w:rPr>
          <w:rStyle w:val="Funotenzeichen"/>
        </w:rPr>
        <w:footnoteRef/>
      </w:r>
      <w:r w:rsidRPr="00FB0574">
        <w:t xml:space="preserve"> </w:t>
      </w:r>
      <w:r>
        <w:t xml:space="preserve">Siehe: </w:t>
      </w:r>
      <w:hyperlink r:id="rId1794" w:history="1">
        <w:r w:rsidRPr="0050727D">
          <w:rPr>
            <w:rStyle w:val="Hyperlink"/>
          </w:rPr>
          <w:t>https://de.wikipedia.org/wiki/Liste_europ%C3%A4ischer_Hochofenwerke</w:t>
        </w:r>
      </w:hyperlink>
      <w:r>
        <w:t xml:space="preserve"> – Zugegriffen: 09.06.2025. </w:t>
      </w:r>
    </w:p>
  </w:footnote>
  <w:footnote w:id="2447">
    <w:p w14:paraId="7B114AD8" w14:textId="77777777" w:rsidR="00980D47" w:rsidRDefault="00980D47" w:rsidP="00980D47">
      <w:pPr>
        <w:pStyle w:val="Funotentext"/>
      </w:pPr>
      <w:r>
        <w:rPr>
          <w:rStyle w:val="Funotenzeichen"/>
        </w:rPr>
        <w:footnoteRef/>
      </w:r>
      <w:r>
        <w:t xml:space="preserve"> Siehe: </w:t>
      </w:r>
      <w:hyperlink r:id="rId1795" w:history="1">
        <w:r w:rsidRPr="00E10A02">
          <w:rPr>
            <w:rStyle w:val="Hyperlink"/>
          </w:rPr>
          <w:t>https://www.eurofer.eu/assets/publications/brochures-booklets-and-factsheets/european-steel-in-figures-2024/EUROFER-2024-Version-June14.pdf</w:t>
        </w:r>
      </w:hyperlink>
      <w:r>
        <w:t xml:space="preserve"> - Zugegriffen: 13.06.2025. </w:t>
      </w:r>
    </w:p>
  </w:footnote>
  <w:footnote w:id="2448">
    <w:p w14:paraId="61714012" w14:textId="77777777" w:rsidR="00980D47" w:rsidRDefault="00980D47" w:rsidP="00980D47">
      <w:pPr>
        <w:pStyle w:val="Funotentext"/>
      </w:pPr>
      <w:r>
        <w:rPr>
          <w:rStyle w:val="Funotenzeichen"/>
        </w:rPr>
        <w:footnoteRef/>
      </w:r>
      <w:r>
        <w:t xml:space="preserve"> Siehe: </w:t>
      </w:r>
      <w:hyperlink r:id="rId1796" w:history="1">
        <w:r w:rsidRPr="00550855">
          <w:rPr>
            <w:rStyle w:val="Hyperlink"/>
          </w:rPr>
          <w:t>https://de.wikipedia.org/wiki/Steamcracking</w:t>
        </w:r>
      </w:hyperlink>
      <w:r>
        <w:t xml:space="preserve"> - Zugegriffen: 30.11.2024. </w:t>
      </w:r>
    </w:p>
  </w:footnote>
  <w:footnote w:id="2449">
    <w:p w14:paraId="50B3D944" w14:textId="77777777" w:rsidR="00980D47" w:rsidRDefault="00980D47" w:rsidP="00980D47">
      <w:pPr>
        <w:pStyle w:val="Funotentext"/>
      </w:pPr>
      <w:r>
        <w:rPr>
          <w:rStyle w:val="Funotenzeichen"/>
        </w:rPr>
        <w:footnoteRef/>
      </w:r>
      <w:r>
        <w:t xml:space="preserve"> Siehe </w:t>
      </w:r>
      <w:proofErr w:type="gramStart"/>
      <w:r>
        <w:t>EIB Geschäftsbericht</w:t>
      </w:r>
      <w:proofErr w:type="gramEnd"/>
      <w:r>
        <w:t xml:space="preserve"> 2023, S. 197, siehe: </w:t>
      </w:r>
      <w:hyperlink r:id="rId1797" w:history="1">
        <w:r w:rsidRPr="00E10A02">
          <w:rPr>
            <w:rStyle w:val="Hyperlink"/>
          </w:rPr>
          <w:t>https://www.eib.org/files/publications/20230323_investment_report_2023_chap5.pdf</w:t>
        </w:r>
      </w:hyperlink>
      <w:r>
        <w:t xml:space="preserve"> - Zugegriffen: 13.06.2025.</w:t>
      </w:r>
    </w:p>
  </w:footnote>
  <w:footnote w:id="2450">
    <w:p w14:paraId="1EA2E0AB" w14:textId="77777777" w:rsidR="00980D47" w:rsidRDefault="00980D47" w:rsidP="00980D47">
      <w:pPr>
        <w:pStyle w:val="Funotentext"/>
      </w:pPr>
      <w:r>
        <w:rPr>
          <w:rStyle w:val="Funotenzeichen"/>
        </w:rPr>
        <w:footnoteRef/>
      </w:r>
      <w:r>
        <w:t xml:space="preserve"> Siehe: </w:t>
      </w:r>
      <w:hyperlink r:id="rId1798" w:history="1">
        <w:r w:rsidRPr="00E10A02">
          <w:rPr>
            <w:rStyle w:val="Hyperlink"/>
          </w:rPr>
          <w:t>https://research-and-innovation.ec.europa.eu/funding/funding-opportunities/funding-programmes-and-open-calls/horizon-europe_en</w:t>
        </w:r>
      </w:hyperlink>
      <w:r>
        <w:t xml:space="preserve"> . Zugegriffen: 13.06.2025.</w:t>
      </w:r>
    </w:p>
  </w:footnote>
  <w:footnote w:id="2451">
    <w:p w14:paraId="6991C73A" w14:textId="77777777" w:rsidR="00980D47" w:rsidRDefault="00980D47" w:rsidP="00980D47">
      <w:pPr>
        <w:pStyle w:val="Funotentext"/>
      </w:pPr>
      <w:r>
        <w:rPr>
          <w:rStyle w:val="Funotenzeichen"/>
        </w:rPr>
        <w:footnoteRef/>
      </w:r>
      <w:r>
        <w:t xml:space="preserve"> Siehe: </w:t>
      </w:r>
      <w:hyperlink r:id="rId1799" w:history="1">
        <w:r w:rsidRPr="00E10A02">
          <w:rPr>
            <w:rStyle w:val="Hyperlink"/>
          </w:rPr>
          <w:t>https://competition-policy.ec.europa.eu/state-aid/ipcei/approved-ipceis_en</w:t>
        </w:r>
      </w:hyperlink>
      <w:r>
        <w:t xml:space="preserve"> - Zugegriffen: 13.06.2025. </w:t>
      </w:r>
    </w:p>
  </w:footnote>
  <w:footnote w:id="2452">
    <w:p w14:paraId="1894E460" w14:textId="77777777" w:rsidR="00980D47" w:rsidRDefault="00980D47" w:rsidP="00980D47">
      <w:pPr>
        <w:pStyle w:val="Funotentext"/>
      </w:pPr>
      <w:r>
        <w:rPr>
          <w:rStyle w:val="Funotenzeichen"/>
        </w:rPr>
        <w:footnoteRef/>
      </w:r>
      <w:r>
        <w:t xml:space="preserve"> Siehe: </w:t>
      </w:r>
      <w:hyperlink r:id="rId1800" w:history="1">
        <w:r w:rsidRPr="00E10A02">
          <w:rPr>
            <w:rStyle w:val="Hyperlink"/>
          </w:rPr>
          <w:t>https://www.eib.org/attachments/lucalli/20240364_eib_group_operational_plan_2025_de.pdf</w:t>
        </w:r>
      </w:hyperlink>
      <w:r>
        <w:t xml:space="preserve"> - Zugegriffen: 13.06.2025. </w:t>
      </w:r>
    </w:p>
  </w:footnote>
  <w:footnote w:id="2453">
    <w:p w14:paraId="2309E45C" w14:textId="77777777" w:rsidR="00980D47" w:rsidRDefault="00980D47" w:rsidP="00980D47">
      <w:pPr>
        <w:pStyle w:val="Funotentext"/>
      </w:pPr>
      <w:r>
        <w:rPr>
          <w:rStyle w:val="Funotenzeichen"/>
        </w:rPr>
        <w:footnoteRef/>
      </w:r>
      <w:r>
        <w:t xml:space="preserve"> Siehe: </w:t>
      </w:r>
      <w:hyperlink r:id="rId1801" w:history="1">
        <w:r w:rsidRPr="00E10A02">
          <w:rPr>
            <w:rStyle w:val="Hyperlink"/>
          </w:rPr>
          <w:t>https://www.klimaschutzvertraege.info/news/erster_foerderaufruf_ksv_gestartet</w:t>
        </w:r>
      </w:hyperlink>
      <w:r>
        <w:t xml:space="preserve"> - Zugegriffen: 13.06.2025.</w:t>
      </w:r>
    </w:p>
  </w:footnote>
  <w:footnote w:id="2454">
    <w:p w14:paraId="2F333BA1" w14:textId="00325B60" w:rsidR="00D908F1" w:rsidRPr="00ED2F55" w:rsidRDefault="00D908F1" w:rsidP="00D908F1">
      <w:pPr>
        <w:pStyle w:val="Funotentext"/>
      </w:pPr>
      <w:r>
        <w:rPr>
          <w:rStyle w:val="Funotenzeichen"/>
        </w:rPr>
        <w:footnoteRef/>
      </w:r>
      <w:r w:rsidRPr="00ED2F55">
        <w:t xml:space="preserve"> </w:t>
      </w:r>
      <w:r>
        <w:t>S. 30</w:t>
      </w:r>
      <w:r w:rsidR="00BD07F6">
        <w:t>-31</w:t>
      </w:r>
      <w:r>
        <w:t xml:space="preserve">, </w:t>
      </w:r>
      <w:r w:rsidRPr="00ED2F55">
        <w:t xml:space="preserve">Agora Industrie, </w:t>
      </w:r>
      <w:proofErr w:type="spellStart"/>
      <w:r w:rsidRPr="00ED2F55">
        <w:t>FutureCamp</w:t>
      </w:r>
      <w:proofErr w:type="spellEnd"/>
      <w:r w:rsidRPr="00ED2F55">
        <w:t xml:space="preserve">, Wuppertal Institut und </w:t>
      </w:r>
      <w:proofErr w:type="spellStart"/>
      <w:r w:rsidRPr="00ED2F55">
        <w:t>Ecologic</w:t>
      </w:r>
      <w:proofErr w:type="spellEnd"/>
      <w:r w:rsidRPr="00ED2F55">
        <w:t xml:space="preserve"> Institut 2021: Klimaschutzverträge für die Industrietransformation: Kurzfristige Schritte auf dem Pfad zur Klimaneutralität der deutschen</w:t>
      </w:r>
    </w:p>
    <w:p w14:paraId="5B834942" w14:textId="52B57823" w:rsidR="00D908F1" w:rsidRPr="00ED2F55" w:rsidRDefault="00D908F1" w:rsidP="00D908F1">
      <w:pPr>
        <w:pStyle w:val="Funotentext"/>
      </w:pPr>
      <w:r w:rsidRPr="00ED2F55">
        <w:t>Grundstoffindustrie, Agora Industrie, Januar 2022, siehe</w:t>
      </w:r>
      <w:hyperlink r:id="rId1802" w:history="1">
        <w:r w:rsidRPr="00ED2F55">
          <w:rPr>
            <w:rStyle w:val="Hyperlink"/>
          </w:rPr>
          <w:t>: https://www.agora-industrie.de/fileadmin/Projekte/2021/2021_10_DE_KIT/A-EW_249_Klimaschutzvertraege-Industrietransformation-Studie_WEB.pdf</w:t>
        </w:r>
      </w:hyperlink>
      <w:r w:rsidRPr="00ED2F55">
        <w:t xml:space="preserve"> – Zugegriffen: 11.06.2025.</w:t>
      </w:r>
    </w:p>
  </w:footnote>
  <w:footnote w:id="2455">
    <w:p w14:paraId="3871D842" w14:textId="77777777" w:rsidR="002748A2" w:rsidRDefault="002748A2" w:rsidP="002748A2">
      <w:pPr>
        <w:pStyle w:val="Funotentext"/>
      </w:pPr>
      <w:r>
        <w:rPr>
          <w:rStyle w:val="Funotenzeichen"/>
        </w:rPr>
        <w:footnoteRef/>
      </w:r>
      <w:r>
        <w:t xml:space="preserve"> </w:t>
      </w:r>
      <w:r w:rsidRPr="002748A2">
        <w:t xml:space="preserve">Agora Industrie, </w:t>
      </w:r>
      <w:proofErr w:type="spellStart"/>
      <w:r w:rsidRPr="002748A2">
        <w:t>FutureCamp</w:t>
      </w:r>
      <w:proofErr w:type="spellEnd"/>
      <w:r w:rsidRPr="002748A2">
        <w:t xml:space="preserve">, Wuppertal Institut und </w:t>
      </w:r>
      <w:proofErr w:type="spellStart"/>
      <w:r w:rsidRPr="002748A2">
        <w:t>Ecologic</w:t>
      </w:r>
      <w:proofErr w:type="spellEnd"/>
      <w:r w:rsidRPr="002748A2">
        <w:t xml:space="preserve"> Institut </w:t>
      </w:r>
      <w:r>
        <w:t xml:space="preserve">Analyse Stahl </w:t>
      </w:r>
      <w:r w:rsidRPr="002748A2">
        <w:t>2021:</w:t>
      </w:r>
      <w:r>
        <w:t xml:space="preserve"> 25.</w:t>
      </w:r>
    </w:p>
  </w:footnote>
  <w:footnote w:id="2456">
    <w:p w14:paraId="15ACA1B4" w14:textId="2BF23A75" w:rsidR="009E33DF" w:rsidRDefault="005A6DD6" w:rsidP="009E33DF">
      <w:pPr>
        <w:pStyle w:val="Funotentext"/>
      </w:pPr>
      <w:r>
        <w:rPr>
          <w:rStyle w:val="Funotenzeichen"/>
        </w:rPr>
        <w:footnoteRef/>
      </w:r>
      <w:r>
        <w:t xml:space="preserve"> </w:t>
      </w:r>
      <w:r w:rsidR="009E33DF">
        <w:t xml:space="preserve">S. 33, </w:t>
      </w:r>
      <w:r w:rsidR="009E33DF" w:rsidRPr="009E33DF">
        <w:t>die grünen Leitmärkte nur über Standards oder öffentlichen Auftragsvergabe werden wohl nicht viel Nachfrage bringen – sie sind in diesen Berechnungen weggelassen, siehe S. 33, Fußnote 5</w:t>
      </w:r>
      <w:r w:rsidR="009E33DF">
        <w:t xml:space="preserve">. </w:t>
      </w:r>
      <w:r w:rsidR="009E33DF" w:rsidRPr="00ED2F55">
        <w:t xml:space="preserve">Agora Industrie, </w:t>
      </w:r>
      <w:proofErr w:type="spellStart"/>
      <w:r w:rsidR="009E33DF" w:rsidRPr="00ED2F55">
        <w:t>FutureCamp</w:t>
      </w:r>
      <w:proofErr w:type="spellEnd"/>
      <w:r w:rsidR="009E33DF" w:rsidRPr="00ED2F55">
        <w:t xml:space="preserve">, Wuppertal Institut und </w:t>
      </w:r>
      <w:proofErr w:type="spellStart"/>
      <w:r w:rsidR="009E33DF" w:rsidRPr="00ED2F55">
        <w:t>Ecologic</w:t>
      </w:r>
      <w:proofErr w:type="spellEnd"/>
      <w:r w:rsidR="009E33DF" w:rsidRPr="00ED2F55">
        <w:t xml:space="preserve"> Institut 2021: </w:t>
      </w:r>
      <w:r w:rsidR="009E33DF">
        <w:t>Klimaschutzverträge für die Industrietransformation: Kurzfristige Schritte auf dem Pfad zur Klimaneutralität der deutschen</w:t>
      </w:r>
    </w:p>
    <w:p w14:paraId="05D7B1C3" w14:textId="4E673633" w:rsidR="005A6DD6" w:rsidRDefault="009E33DF" w:rsidP="009E33DF">
      <w:pPr>
        <w:pStyle w:val="Funotentext"/>
      </w:pPr>
      <w:r>
        <w:t xml:space="preserve">Grundstoffindustrie, Agora Industrie, Januar 2022, siehe: </w:t>
      </w:r>
      <w:hyperlink r:id="rId1803" w:history="1">
        <w:r w:rsidRPr="00E10A02">
          <w:rPr>
            <w:rStyle w:val="Hyperlink"/>
          </w:rPr>
          <w:t>https://www.agora-industrie.de/fileadmin/Projekte/2021/2021_10_DE_KIT/A-EW_249_Klimaschutzvertraege-Industrietransformation-Studie_WEB.pdf</w:t>
        </w:r>
      </w:hyperlink>
      <w:r>
        <w:t xml:space="preserve"> – Zugegriffen: 11.06.2025.</w:t>
      </w:r>
    </w:p>
  </w:footnote>
  <w:footnote w:id="2457">
    <w:p w14:paraId="477D497D" w14:textId="7B2F4BA1" w:rsidR="005C225E" w:rsidRDefault="005C225E">
      <w:pPr>
        <w:pStyle w:val="Funotentext"/>
      </w:pPr>
      <w:r>
        <w:rPr>
          <w:rStyle w:val="Funotenzeichen"/>
        </w:rPr>
        <w:footnoteRef/>
      </w:r>
      <w:r>
        <w:t xml:space="preserve"> </w:t>
      </w:r>
      <w:r w:rsidR="009E33DF">
        <w:t xml:space="preserve">S. 55, in: </w:t>
      </w:r>
      <w:r w:rsidR="009E33DF" w:rsidRPr="005C225E">
        <w:t xml:space="preserve">Agora Energiewende, </w:t>
      </w:r>
      <w:proofErr w:type="spellStart"/>
      <w:r w:rsidR="009E33DF" w:rsidRPr="005C225E">
        <w:t>FutureCamp</w:t>
      </w:r>
      <w:proofErr w:type="spellEnd"/>
      <w:r w:rsidR="009E33DF" w:rsidRPr="005C225E">
        <w:t xml:space="preserve">, Wuppertal Institut und </w:t>
      </w:r>
      <w:proofErr w:type="spellStart"/>
      <w:r w:rsidR="009E33DF" w:rsidRPr="005C225E">
        <w:t>Ecologic</w:t>
      </w:r>
      <w:proofErr w:type="spellEnd"/>
      <w:r w:rsidR="009E33DF" w:rsidRPr="005C225E">
        <w:t xml:space="preserve"> Institut 2021: Klimaschutzverträge für die Industrietransformation. Analyse zur Stahlbranche</w:t>
      </w:r>
      <w:r w:rsidR="009E33DF">
        <w:t xml:space="preserve">, September 2021, siehe: </w:t>
      </w:r>
      <w:hyperlink r:id="rId1804" w:history="1">
        <w:r w:rsidR="009E33DF" w:rsidRPr="00E10A02">
          <w:rPr>
            <w:rStyle w:val="Hyperlink"/>
          </w:rPr>
          <w:t>https://www.agora-industrie.de/publikationen/klimaschutzvertraege-fuer-die-industrietransformation-stahl</w:t>
        </w:r>
      </w:hyperlink>
      <w:r w:rsidR="009E33DF">
        <w:t xml:space="preserve"> - Zugegriffen: 11.06.2025.   </w:t>
      </w:r>
    </w:p>
  </w:footnote>
  <w:footnote w:id="2458">
    <w:p w14:paraId="5E107924" w14:textId="0D265454" w:rsidR="009E33DF" w:rsidRDefault="009E33DF" w:rsidP="009E33DF">
      <w:pPr>
        <w:pStyle w:val="Funotentext"/>
      </w:pPr>
      <w:r>
        <w:rPr>
          <w:rStyle w:val="Funotenzeichen"/>
        </w:rPr>
        <w:footnoteRef/>
      </w:r>
      <w:r>
        <w:t xml:space="preserve"> S. 52, in: </w:t>
      </w:r>
      <w:bookmarkStart w:id="126" w:name="_Hlk200737876"/>
      <w:r w:rsidRPr="005C225E">
        <w:t xml:space="preserve">Agora Energiewende, </w:t>
      </w:r>
      <w:proofErr w:type="spellStart"/>
      <w:r w:rsidRPr="005C225E">
        <w:t>FutureCamp</w:t>
      </w:r>
      <w:proofErr w:type="spellEnd"/>
      <w:r w:rsidRPr="005C225E">
        <w:t xml:space="preserve">, Wuppertal Institut und </w:t>
      </w:r>
      <w:proofErr w:type="spellStart"/>
      <w:r w:rsidRPr="005C225E">
        <w:t>Ecologic</w:t>
      </w:r>
      <w:proofErr w:type="spellEnd"/>
      <w:r w:rsidRPr="005C225E">
        <w:t xml:space="preserve"> Institut 2021: Klimaschutzverträge für die Industrietransformation. Analyse zur Stahlbranche</w:t>
      </w:r>
      <w:r>
        <w:t xml:space="preserve">, September 2021, siehe: </w:t>
      </w:r>
      <w:hyperlink r:id="rId1805" w:history="1">
        <w:r w:rsidRPr="00E10A02">
          <w:rPr>
            <w:rStyle w:val="Hyperlink"/>
          </w:rPr>
          <w:t>https://www.agora-industrie.de/publikationen/klimaschutzvertraege-fuer-die-industrietransformation-stahl</w:t>
        </w:r>
      </w:hyperlink>
      <w:r>
        <w:t xml:space="preserve"> - Zugegriffen: 11.06.2025.   </w:t>
      </w:r>
    </w:p>
    <w:bookmarkEnd w:id="126"/>
  </w:footnote>
  <w:footnote w:id="2459">
    <w:p w14:paraId="5F299636" w14:textId="38668745" w:rsidR="00723FB1" w:rsidRDefault="00723FB1">
      <w:pPr>
        <w:pStyle w:val="Funotentext"/>
      </w:pPr>
      <w:r>
        <w:rPr>
          <w:rStyle w:val="Funotenzeichen"/>
        </w:rPr>
        <w:footnoteRef/>
      </w:r>
      <w:r>
        <w:t xml:space="preserve"> </w:t>
      </w:r>
      <w:r w:rsidRPr="005C225E">
        <w:t xml:space="preserve">Agora Energiewende, </w:t>
      </w:r>
      <w:proofErr w:type="spellStart"/>
      <w:r w:rsidRPr="005C225E">
        <w:t>FutureCamp</w:t>
      </w:r>
      <w:proofErr w:type="spellEnd"/>
      <w:r w:rsidRPr="005C225E">
        <w:t xml:space="preserve">, Wuppertal Institut und </w:t>
      </w:r>
      <w:proofErr w:type="spellStart"/>
      <w:r w:rsidRPr="005C225E">
        <w:t>Ecologic</w:t>
      </w:r>
      <w:proofErr w:type="spellEnd"/>
      <w:r w:rsidRPr="005C225E">
        <w:t xml:space="preserve"> Institut </w:t>
      </w:r>
      <w:r>
        <w:t xml:space="preserve">Analyse der Stahlbranche </w:t>
      </w:r>
      <w:r w:rsidRPr="005C225E">
        <w:t>2021:</w:t>
      </w:r>
      <w:r>
        <w:t xml:space="preserve"> 27.</w:t>
      </w:r>
    </w:p>
  </w:footnote>
  <w:footnote w:id="2460">
    <w:p w14:paraId="71BB8ADE" w14:textId="09C5094D" w:rsidR="009E33DF" w:rsidRDefault="009E33DF">
      <w:pPr>
        <w:pStyle w:val="Funotentext"/>
      </w:pPr>
      <w:r>
        <w:rPr>
          <w:rStyle w:val="Funotenzeichen"/>
        </w:rPr>
        <w:footnoteRef/>
      </w:r>
      <w:r>
        <w:t xml:space="preserve"> S. 55, absinkende Wasserstoffkosten 2025 bis 2040 auf 4,0 Euro/kg auf 2 Euro kg (Szenario 4), 6 Euro/kg auf 3,7 Euro/kg (Referenzszenario), und von 2,8 Euro/kg auf 1,5 Euro/kg (Szenarien 1-3).</w:t>
      </w:r>
      <w:r w:rsidR="00F52D63">
        <w:t xml:space="preserve"> </w:t>
      </w:r>
      <w:r w:rsidRPr="009E33DF">
        <w:t xml:space="preserve">Agora Energiewende, </w:t>
      </w:r>
      <w:proofErr w:type="spellStart"/>
      <w:r w:rsidRPr="009E33DF">
        <w:t>FutureCamp</w:t>
      </w:r>
      <w:proofErr w:type="spellEnd"/>
      <w:r w:rsidRPr="009E33DF">
        <w:t xml:space="preserve">, Wuppertal Institut und </w:t>
      </w:r>
      <w:proofErr w:type="spellStart"/>
      <w:r w:rsidRPr="009E33DF">
        <w:t>Ecologic</w:t>
      </w:r>
      <w:proofErr w:type="spellEnd"/>
      <w:r w:rsidRPr="009E33DF">
        <w:t xml:space="preserve"> Institut 2021: Klimaschutzverträge für die Industrietransformation. Analyse zur Stahlbranche, September 2021, siehe: </w:t>
      </w:r>
      <w:hyperlink r:id="rId1806" w:history="1">
        <w:r w:rsidRPr="00E10A02">
          <w:rPr>
            <w:rStyle w:val="Hyperlink"/>
          </w:rPr>
          <w:t>https://www.agora-industrie.de/publikationen/klimaschutzvertraege-fuer-die-industrietransformation-stahl</w:t>
        </w:r>
      </w:hyperlink>
      <w:r>
        <w:t xml:space="preserve"> </w:t>
      </w:r>
      <w:r w:rsidRPr="009E33DF">
        <w:t xml:space="preserve">- Zugegriffen: 11.06.2025.   </w:t>
      </w:r>
    </w:p>
  </w:footnote>
  <w:footnote w:id="2461">
    <w:p w14:paraId="0F04015D" w14:textId="060BAEFC" w:rsidR="00432F07" w:rsidRDefault="00432F07">
      <w:pPr>
        <w:pStyle w:val="Funotentext"/>
      </w:pPr>
      <w:r>
        <w:rPr>
          <w:rStyle w:val="Funotenzeichen"/>
        </w:rPr>
        <w:footnoteRef/>
      </w:r>
      <w:r>
        <w:t xml:space="preserve"> </w:t>
      </w:r>
      <w:r w:rsidRPr="00ED2F55">
        <w:t xml:space="preserve">Agora Industrie, </w:t>
      </w:r>
      <w:proofErr w:type="spellStart"/>
      <w:r w:rsidRPr="00ED2F55">
        <w:t>FutureCamp</w:t>
      </w:r>
      <w:proofErr w:type="spellEnd"/>
      <w:r w:rsidRPr="00ED2F55">
        <w:t xml:space="preserve">, Wuppertal Institut und </w:t>
      </w:r>
      <w:proofErr w:type="spellStart"/>
      <w:r w:rsidRPr="00ED2F55">
        <w:t>Ecologic</w:t>
      </w:r>
      <w:proofErr w:type="spellEnd"/>
      <w:r w:rsidRPr="00ED2F55">
        <w:t xml:space="preserve"> Institut 2021</w:t>
      </w:r>
      <w:r>
        <w:t>: 39.</w:t>
      </w:r>
    </w:p>
  </w:footnote>
  <w:footnote w:id="2462">
    <w:p w14:paraId="1F306099" w14:textId="77777777" w:rsidR="005A6DD6" w:rsidRDefault="005A6DD6" w:rsidP="005A6DD6">
      <w:pPr>
        <w:pStyle w:val="Funotentext"/>
      </w:pPr>
      <w:r>
        <w:rPr>
          <w:rStyle w:val="Funotenzeichen"/>
        </w:rPr>
        <w:footnoteRef/>
      </w:r>
      <w:r w:rsidRPr="00603DA0">
        <w:t xml:space="preserve"> “</w:t>
      </w:r>
      <w:r>
        <w:t>Der zweite Schritt zur Verwendung von Wasserstoff erfordert wegen hoher Kosten darüber hinaus einen</w:t>
      </w:r>
    </w:p>
    <w:p w14:paraId="1DF6901F" w14:textId="77777777" w:rsidR="005A6DD6" w:rsidRPr="00603DA0" w:rsidRDefault="005A6DD6" w:rsidP="005A6DD6">
      <w:pPr>
        <w:pStyle w:val="Funotentext"/>
      </w:pPr>
      <w:r>
        <w:t xml:space="preserve">Mechanismus, mit dem die betrieblichen Mehrkosten langfristig bezuschusst werden können. </w:t>
      </w:r>
      <w:r w:rsidRPr="00603DA0">
        <w:t xml:space="preserve">Klimaschutzverträge nach dem Modell der </w:t>
      </w:r>
      <w:proofErr w:type="spellStart"/>
      <w:r w:rsidRPr="00603DA0">
        <w:t>CCfDs</w:t>
      </w:r>
      <w:proofErr w:type="spellEnd"/>
      <w:r>
        <w:t xml:space="preserve"> </w:t>
      </w:r>
      <w:r w:rsidRPr="00603DA0">
        <w:t>sind ein geeignetes Instrument, um die Risiken der</w:t>
      </w:r>
    </w:p>
    <w:p w14:paraId="1703B421" w14:textId="77777777" w:rsidR="005A6DD6" w:rsidRPr="006C5CA9" w:rsidRDefault="005A6DD6" w:rsidP="005A6DD6">
      <w:pPr>
        <w:pStyle w:val="Funotentext"/>
      </w:pPr>
      <w:r w:rsidRPr="00603DA0">
        <w:t>EU-EHS-Reform und der Schwankungen des</w:t>
      </w:r>
      <w:r>
        <w:t xml:space="preserve"> </w:t>
      </w:r>
      <w:r w:rsidRPr="00603DA0">
        <w:t>CO2-Marktpreises abzusichern und darüber hinaus</w:t>
      </w:r>
      <w:r>
        <w:t xml:space="preserve"> </w:t>
      </w:r>
      <w:r w:rsidRPr="00603DA0">
        <w:t>die Mehrkosten einer klimaneutralen Produktion zu</w:t>
      </w:r>
      <w:r>
        <w:t xml:space="preserve"> </w:t>
      </w:r>
      <w:r w:rsidRPr="00603DA0">
        <w:t>kompensieren.</w:t>
      </w:r>
      <w:r>
        <w:t xml:space="preserve">“ </w:t>
      </w:r>
      <w:r w:rsidRPr="006C5CA9">
        <w:t xml:space="preserve">Agora Industrie, </w:t>
      </w:r>
      <w:proofErr w:type="spellStart"/>
      <w:r w:rsidRPr="006C5CA9">
        <w:t>FutureCamp</w:t>
      </w:r>
      <w:proofErr w:type="spellEnd"/>
      <w:r w:rsidRPr="006C5CA9">
        <w:t xml:space="preserve">, Wuppertal Institut und </w:t>
      </w:r>
      <w:proofErr w:type="spellStart"/>
      <w:r w:rsidRPr="006C5CA9">
        <w:t>Ecologic</w:t>
      </w:r>
      <w:proofErr w:type="spellEnd"/>
      <w:r w:rsidRPr="006C5CA9">
        <w:t xml:space="preserve"> Institut 2021: 33. </w:t>
      </w:r>
    </w:p>
  </w:footnote>
  <w:footnote w:id="2463">
    <w:p w14:paraId="1CF9A2F3" w14:textId="77777777" w:rsidR="008E326A" w:rsidRPr="00147950" w:rsidRDefault="008E326A" w:rsidP="008E326A">
      <w:pPr>
        <w:pStyle w:val="Funotentext"/>
      </w:pPr>
      <w:r>
        <w:rPr>
          <w:rStyle w:val="Funotenzeichen"/>
        </w:rPr>
        <w:footnoteRef/>
      </w:r>
      <w:r>
        <w:t xml:space="preserve"> Die Importe aus Indien liegen bei 3,9 Mrd. </w:t>
      </w:r>
      <w:r w:rsidRPr="00147950">
        <w:t>Euro, Südkorea 3,6 Mrd., China und T</w:t>
      </w:r>
      <w:r>
        <w:t xml:space="preserve">ürkei mit 3,5 Mrd., England mit 3,2 Mrd. Siehe: </w:t>
      </w:r>
      <w:hyperlink r:id="rId1807" w:history="1">
        <w:r w:rsidRPr="00491EB2">
          <w:rPr>
            <w:rStyle w:val="Hyperlink"/>
          </w:rPr>
          <w:t>https://de.euronews.com/my-europe/2025/03/21/wer-sind-die-wichtigsten-eisen-und-stahlhandelspartner-der-eu</w:t>
        </w:r>
      </w:hyperlink>
      <w:r>
        <w:t xml:space="preserve"> - Zugegriffen: 06.07.2025.  </w:t>
      </w:r>
    </w:p>
  </w:footnote>
  <w:footnote w:id="2464">
    <w:p w14:paraId="2FECFF66" w14:textId="77777777" w:rsidR="008E326A" w:rsidRDefault="008E326A" w:rsidP="008E326A">
      <w:pPr>
        <w:pStyle w:val="Funotentext"/>
      </w:pPr>
      <w:r>
        <w:rPr>
          <w:rStyle w:val="Funotenzeichen"/>
        </w:rPr>
        <w:footnoteRef/>
      </w:r>
      <w:r>
        <w:t xml:space="preserve"> Siehe S. 20, in </w:t>
      </w:r>
      <w:proofErr w:type="gramStart"/>
      <w:r>
        <w:t>VCI Chemiemärkte</w:t>
      </w:r>
      <w:proofErr w:type="gramEnd"/>
      <w:r>
        <w:t xml:space="preserve"> weltweit, Stand: Juli 2024: </w:t>
      </w:r>
      <w:hyperlink r:id="rId1808" w:history="1">
        <w:r w:rsidRPr="00491EB2">
          <w:rPr>
            <w:rStyle w:val="Hyperlink"/>
          </w:rPr>
          <w:t>https://www.vci.de/ergaenzende-downloads/chemiemaerkte-weltweit.pdf</w:t>
        </w:r>
      </w:hyperlink>
      <w:r>
        <w:t xml:space="preserve"> - Zugegriffen: 06.07.2025. </w:t>
      </w:r>
    </w:p>
  </w:footnote>
  <w:footnote w:id="2465">
    <w:p w14:paraId="3564AE8E" w14:textId="77777777" w:rsidR="00621D05" w:rsidRDefault="00621D05" w:rsidP="00621D05">
      <w:pPr>
        <w:pStyle w:val="Funotentext"/>
      </w:pPr>
      <w:r>
        <w:rPr>
          <w:rStyle w:val="Funotenzeichen"/>
        </w:rPr>
        <w:footnoteRef/>
      </w:r>
      <w:r>
        <w:t xml:space="preserve"> Siehe: </w:t>
      </w:r>
      <w:hyperlink r:id="rId1809" w:history="1">
        <w:r w:rsidRPr="00D06719">
          <w:rPr>
            <w:rStyle w:val="Hyperlink"/>
          </w:rPr>
          <w:t>https://www.wiwo.de/unternehmen/industrie/stahlstandort-deutschland-ist-eine-deutsche-stahl-ag-doch-die-antwort-auf-die-krise/29991164.html</w:t>
        </w:r>
      </w:hyperlink>
      <w:r>
        <w:t xml:space="preserve"> - Zugegriffen: 01.07.2025. </w:t>
      </w:r>
    </w:p>
  </w:footnote>
  <w:footnote w:id="2466">
    <w:p w14:paraId="5EDAB2B4" w14:textId="30D1CDAD" w:rsidR="00621D05" w:rsidRDefault="00621D05">
      <w:pPr>
        <w:pStyle w:val="Funotentext"/>
      </w:pPr>
      <w:r>
        <w:rPr>
          <w:rStyle w:val="Funotenzeichen"/>
        </w:rPr>
        <w:footnoteRef/>
      </w:r>
      <w:r>
        <w:t xml:space="preserve"> ‚Eine </w:t>
      </w:r>
      <w:proofErr w:type="spellStart"/>
      <w:r>
        <w:t>stratgische</w:t>
      </w:r>
      <w:proofErr w:type="spellEnd"/>
      <w:r>
        <w:t xml:space="preserve"> Investition‘ Frankreich verstaatlicht Hersteller von Unterseekabeln. FAZ, 06.11.2024.</w:t>
      </w:r>
    </w:p>
  </w:footnote>
  <w:footnote w:id="2467">
    <w:p w14:paraId="445C1B83" w14:textId="2E2EE893" w:rsidR="006B5573" w:rsidRPr="00CD6253" w:rsidRDefault="006B5573">
      <w:pPr>
        <w:pStyle w:val="Funotentext"/>
      </w:pPr>
      <w:r>
        <w:rPr>
          <w:rStyle w:val="Funotenzeichen"/>
        </w:rPr>
        <w:footnoteRef/>
      </w:r>
      <w:r>
        <w:t xml:space="preserve"> Ein Import von blauem Wasserstoff ist auch nicht ideal, da man sich z.B. </w:t>
      </w:r>
      <w:proofErr w:type="gramStart"/>
      <w:r>
        <w:t>von der USA</w:t>
      </w:r>
      <w:proofErr w:type="gramEnd"/>
      <w:r>
        <w:t xml:space="preserve"> abhängig macht. </w:t>
      </w:r>
      <w:r w:rsidRPr="007D2AA5">
        <w:t>H2 Reality Check, S. 28-30, 41, 78-79.</w:t>
      </w:r>
      <w:r w:rsidR="00CD6253" w:rsidRPr="007D2AA5">
        <w:t xml:space="preserve"> </w:t>
      </w:r>
      <w:r w:rsidR="00CD6253" w:rsidRPr="00CD6253">
        <w:t xml:space="preserve">Siehe: </w:t>
      </w:r>
      <w:hyperlink r:id="rId1810" w:history="1">
        <w:r w:rsidR="00CD6253" w:rsidRPr="00CD6253">
          <w:rPr>
            <w:rStyle w:val="Hyperlink"/>
          </w:rPr>
          <w:t>https://www.ewi.uni-koeln.de/de/publikationen/h2-reality-check-reappraising-the-eus-h2-strategy-in-a-new-era-of-geopolitical-disruptions/</w:t>
        </w:r>
      </w:hyperlink>
      <w:r w:rsidR="00CD6253" w:rsidRPr="00CD6253">
        <w:t xml:space="preserve"> </w:t>
      </w:r>
      <w:r w:rsidR="00CD6253">
        <w:t xml:space="preserve">- Zugegriffen: 28.06.2025. </w:t>
      </w:r>
    </w:p>
  </w:footnote>
  <w:footnote w:id="2468">
    <w:p w14:paraId="31141AE0" w14:textId="77777777" w:rsidR="000B61A8" w:rsidRPr="00833CFF" w:rsidRDefault="000B61A8" w:rsidP="000B61A8">
      <w:pPr>
        <w:pStyle w:val="Funotentext"/>
      </w:pPr>
      <w:r>
        <w:rPr>
          <w:rStyle w:val="Funotenzeichen"/>
        </w:rPr>
        <w:footnoteRef/>
      </w:r>
      <w:r w:rsidRPr="00833CFF">
        <w:t xml:space="preserve"> Nadine Bös, Jonas Jansen Interview mit</w:t>
      </w:r>
      <w:r>
        <w:t xml:space="preserve"> Siegfried </w:t>
      </w:r>
      <w:proofErr w:type="spellStart"/>
      <w:r>
        <w:t>Russwurm</w:t>
      </w:r>
      <w:proofErr w:type="spellEnd"/>
      <w:r>
        <w:t xml:space="preserve"> ‚Grüner Stahl aus Deutschland ist auf absehbarer Zeit nicht wettbewerbsfähig.‘ FAZ, 27.06.2025. </w:t>
      </w:r>
    </w:p>
  </w:footnote>
  <w:footnote w:id="2469">
    <w:p w14:paraId="59F61B48" w14:textId="6733AB20" w:rsidR="00DA64A2" w:rsidRDefault="00DA64A2">
      <w:pPr>
        <w:pStyle w:val="Funotentext"/>
      </w:pPr>
      <w:r>
        <w:rPr>
          <w:rStyle w:val="Funotenzeichen"/>
        </w:rPr>
        <w:footnoteRef/>
      </w:r>
      <w:r>
        <w:t xml:space="preserve"> </w:t>
      </w:r>
      <w:r w:rsidR="00914D08">
        <w:t>Hier wird 5,4 Euro pro kg angenommen, aber es wird verständlicherweise der Wunsch ausgesprochen, dass die Kosten absinken sollten und können, z.B. auf 3,70 pro kg</w:t>
      </w:r>
      <w:r>
        <w:t xml:space="preserve">: </w:t>
      </w:r>
      <w:r w:rsidRPr="00DA64A2">
        <w:t xml:space="preserve">Agora Energiewende, </w:t>
      </w:r>
      <w:proofErr w:type="spellStart"/>
      <w:r w:rsidRPr="00DA64A2">
        <w:t>FutureCamp</w:t>
      </w:r>
      <w:proofErr w:type="spellEnd"/>
      <w:r w:rsidRPr="00DA64A2">
        <w:t xml:space="preserve">, Wuppertal Institut und </w:t>
      </w:r>
      <w:proofErr w:type="spellStart"/>
      <w:r w:rsidRPr="00DA64A2">
        <w:t>Ecologic</w:t>
      </w:r>
      <w:proofErr w:type="spellEnd"/>
      <w:r w:rsidRPr="00DA64A2">
        <w:t xml:space="preserve"> Institut 2021</w:t>
      </w:r>
      <w:r>
        <w:t xml:space="preserve">: </w:t>
      </w:r>
    </w:p>
  </w:footnote>
  <w:footnote w:id="2470">
    <w:p w14:paraId="220B95D6" w14:textId="12D228B5" w:rsidR="00DA64A2" w:rsidRDefault="00DA64A2" w:rsidP="00DA64A2">
      <w:pPr>
        <w:pStyle w:val="Funotentext"/>
      </w:pPr>
      <w:r>
        <w:rPr>
          <w:rStyle w:val="Funotenzeichen"/>
        </w:rPr>
        <w:footnoteRef/>
      </w:r>
      <w:r>
        <w:t xml:space="preserve"> </w:t>
      </w:r>
      <w:r w:rsidR="00914D08">
        <w:t xml:space="preserve">Fraunhofer mit ihrer Publikation Stromgestehungskosten 2024, kommen in der billigsten Variante auf 4,1 Cent bei Solar, es geht bei Solar aber hoch bis 14,4 Cent, in der billigsten Variante bei Landwind ist es 4,3, es geht aber hoch bis 9,2 Cent. </w:t>
      </w:r>
      <w:r>
        <w:t>S. 3, Stromgesteh</w:t>
      </w:r>
      <w:r w:rsidR="00914D08">
        <w:t>u</w:t>
      </w:r>
      <w:r>
        <w:t>n</w:t>
      </w:r>
      <w:r w:rsidR="00914D08">
        <w:t>g</w:t>
      </w:r>
      <w:r>
        <w:t xml:space="preserve">skosten erneuerbare Energien, Juli 2024. Siehe: </w:t>
      </w:r>
      <w:hyperlink r:id="rId1811" w:history="1">
        <w:r w:rsidRPr="00530E42">
          <w:rPr>
            <w:rStyle w:val="Hyperlink"/>
          </w:rPr>
          <w:t>https://www.ise.fraunhofer.de/de/veroeffentlichungen/studien/studie-stromgestehungskosten-erneuerbare-energien.html</w:t>
        </w:r>
      </w:hyperlink>
      <w:r>
        <w:t xml:space="preserve"> - Zugegriffen: 22.04.2025. </w:t>
      </w:r>
    </w:p>
  </w:footnote>
  <w:footnote w:id="2471">
    <w:p w14:paraId="318005D7" w14:textId="057F0F05" w:rsidR="00DA64A2" w:rsidRDefault="00DA64A2" w:rsidP="00DA64A2">
      <w:pPr>
        <w:pStyle w:val="Funotentext"/>
      </w:pPr>
      <w:r>
        <w:rPr>
          <w:rStyle w:val="Funotenzeichen"/>
        </w:rPr>
        <w:footnoteRef/>
      </w:r>
      <w:r>
        <w:t xml:space="preserve"> </w:t>
      </w:r>
      <w:r w:rsidR="00B01E6E">
        <w:t xml:space="preserve">Als Strompreis nennt Agora Energiewende 2024 in Deutschland 2024 nennt 4 – 12 Cent für die Industrie, teils bei Strompreiskompensation 8,6 Cent. </w:t>
      </w:r>
      <w:r>
        <w:t xml:space="preserve">Siehe, S. 68, siehe dort auch S. 26-28: Agora. Die Energiewende in Deutschland: Stand der Dinge 2024, 07.01.2025. Siehe: </w:t>
      </w:r>
      <w:hyperlink r:id="rId1812" w:history="1">
        <w:r w:rsidRPr="00E34DD2">
          <w:rPr>
            <w:rStyle w:val="Hyperlink"/>
          </w:rPr>
          <w:t>https://www.agora-energiewende.de/publikationen/die-energiewende-in-deutschland-stand-der-dinge-2024</w:t>
        </w:r>
      </w:hyperlink>
      <w:r>
        <w:t xml:space="preserve"> - Zugegriffen: 08.01.2025.  </w:t>
      </w:r>
    </w:p>
  </w:footnote>
  <w:footnote w:id="2472">
    <w:p w14:paraId="276182F7" w14:textId="77777777" w:rsidR="00B90DE5" w:rsidRDefault="00B90DE5" w:rsidP="00B90DE5">
      <w:pPr>
        <w:pStyle w:val="Funotentext"/>
      </w:pPr>
      <w:r>
        <w:rPr>
          <w:rStyle w:val="Funotenzeichen"/>
        </w:rPr>
        <w:footnoteRef/>
      </w:r>
      <w:r>
        <w:t xml:space="preserve"> Ab Minute 27:00, siehe: </w:t>
      </w:r>
      <w:r w:rsidRPr="00E20373">
        <w:t>Deutschlands Chance: Wasserstoff-Technik "Made in Germany" - Prof. Markus Hölzle &amp; Dr. David Wenger</w:t>
      </w:r>
      <w:r>
        <w:t xml:space="preserve">, Geladen Batteriepodcast, 29.06.2025: </w:t>
      </w:r>
      <w:hyperlink r:id="rId1813" w:history="1">
        <w:r w:rsidRPr="009C6F34">
          <w:rPr>
            <w:rStyle w:val="Hyperlink"/>
          </w:rPr>
          <w:t>https://www.youtube.com/watch?v=YGVlD7PAaIY&amp;list=PLgT6DO8XUkP5oGh1ed710Lw5YvTpesX0U</w:t>
        </w:r>
      </w:hyperlink>
      <w:r>
        <w:t xml:space="preserve"> – Zugegriffen: 29.06.2025. </w:t>
      </w:r>
    </w:p>
  </w:footnote>
  <w:footnote w:id="2473">
    <w:p w14:paraId="1C9ACCC9" w14:textId="212CA07A" w:rsidR="00191212" w:rsidRDefault="00191212">
      <w:pPr>
        <w:pStyle w:val="Funotentext"/>
      </w:pPr>
      <w:r>
        <w:rPr>
          <w:rStyle w:val="Funotenzeichen"/>
        </w:rPr>
        <w:footnoteRef/>
      </w:r>
      <w:r>
        <w:t xml:space="preserve"> </w:t>
      </w:r>
      <w:r w:rsidRPr="00191212">
        <w:t xml:space="preserve">DENA </w:t>
      </w:r>
      <w:proofErr w:type="spellStart"/>
      <w:r w:rsidRPr="00191212">
        <w:t>StiPE</w:t>
      </w:r>
      <w:proofErr w:type="spellEnd"/>
      <w:r w:rsidRPr="00191212">
        <w:t xml:space="preserve"> Bericht 2022:</w:t>
      </w:r>
      <w:r>
        <w:t xml:space="preserve"> 39.</w:t>
      </w:r>
    </w:p>
  </w:footnote>
  <w:footnote w:id="2474">
    <w:p w14:paraId="484BD152" w14:textId="77777777" w:rsidR="004D75FD" w:rsidRDefault="004D75FD" w:rsidP="004D75FD">
      <w:pPr>
        <w:pStyle w:val="Funotentext"/>
      </w:pPr>
      <w:r>
        <w:rPr>
          <w:rStyle w:val="Funotenzeichen"/>
        </w:rPr>
        <w:footnoteRef/>
      </w:r>
      <w:r>
        <w:t xml:space="preserve"> Ab Minute 27:00, siehe: </w:t>
      </w:r>
      <w:r w:rsidRPr="00E20373">
        <w:t>Deutschlands Chance: Wasserstoff-Technik "Made in Germany" - Prof. Markus Hölzle &amp; Dr. David Wenger</w:t>
      </w:r>
      <w:r>
        <w:t xml:space="preserve">, Geladen Batteriepodcast, 29.06.2025: </w:t>
      </w:r>
      <w:hyperlink r:id="rId1814" w:history="1">
        <w:r w:rsidRPr="009C6F34">
          <w:rPr>
            <w:rStyle w:val="Hyperlink"/>
          </w:rPr>
          <w:t>https://www.youtube.com/watch?v=YGVlD7PAaIY&amp;list=PLgT6DO8XUkP5oGh1ed710Lw5YvTpesX0U</w:t>
        </w:r>
      </w:hyperlink>
      <w:r>
        <w:t xml:space="preserve"> – Zugegriffen: 29.06.2025. </w:t>
      </w:r>
    </w:p>
  </w:footnote>
  <w:footnote w:id="2475">
    <w:p w14:paraId="56E7FD29" w14:textId="77777777" w:rsidR="009518AD" w:rsidRDefault="009518AD" w:rsidP="009518AD">
      <w:pPr>
        <w:pStyle w:val="Funotentext"/>
      </w:pPr>
      <w:r>
        <w:rPr>
          <w:rStyle w:val="Funotenzeichen"/>
        </w:rPr>
        <w:footnoteRef/>
      </w:r>
      <w:r>
        <w:t xml:space="preserve"> Siehe: </w:t>
      </w:r>
      <w:hyperlink r:id="rId1815" w:history="1">
        <w:r w:rsidRPr="007A4366">
          <w:rPr>
            <w:rStyle w:val="Hyperlink"/>
          </w:rPr>
          <w:t>https://www.agora-industrie.de/daten-tools/transformationskostenrechner-stahl</w:t>
        </w:r>
      </w:hyperlink>
      <w:r>
        <w:t xml:space="preserve"> - Zugegriffen: 12.06.2025. </w:t>
      </w:r>
    </w:p>
  </w:footnote>
  <w:footnote w:id="2476">
    <w:p w14:paraId="1CE800D6" w14:textId="77777777" w:rsidR="009518AD" w:rsidRDefault="009518AD" w:rsidP="009518AD">
      <w:pPr>
        <w:pStyle w:val="Funotentext"/>
      </w:pPr>
      <w:r>
        <w:rPr>
          <w:rStyle w:val="Funotenzeichen"/>
        </w:rPr>
        <w:footnoteRef/>
      </w:r>
      <w:r>
        <w:t xml:space="preserve"> </w:t>
      </w:r>
      <w:r w:rsidRPr="00F52D63">
        <w:t xml:space="preserve">Agora Energiewende, </w:t>
      </w:r>
      <w:proofErr w:type="spellStart"/>
      <w:r w:rsidRPr="00F52D63">
        <w:t>FutureCamp</w:t>
      </w:r>
      <w:proofErr w:type="spellEnd"/>
      <w:r w:rsidRPr="00F52D63">
        <w:t xml:space="preserve">, Wuppertal Institut und </w:t>
      </w:r>
      <w:proofErr w:type="spellStart"/>
      <w:r w:rsidRPr="00F52D63">
        <w:t>Ecologic</w:t>
      </w:r>
      <w:proofErr w:type="spellEnd"/>
      <w:r w:rsidRPr="00F52D63">
        <w:t xml:space="preserve"> Institut 2021: Klimaschutzverträge für die Industrietransformation. Analyse zur Stahlbranche, September 2021, siehe: </w:t>
      </w:r>
      <w:hyperlink r:id="rId1816" w:history="1">
        <w:r w:rsidRPr="00F52D63">
          <w:rPr>
            <w:rStyle w:val="Hyperlink"/>
          </w:rPr>
          <w:t>https://www.agora-industrie.de/publikationen/klimaschutzvertraege-fuer-die-industrietransformation-stahl</w:t>
        </w:r>
      </w:hyperlink>
      <w:r w:rsidRPr="00F52D63">
        <w:t xml:space="preserve"> - Zugegriffen: 11.06.2025.   </w:t>
      </w:r>
    </w:p>
  </w:footnote>
  <w:footnote w:id="2477">
    <w:p w14:paraId="3F95A47D" w14:textId="77777777" w:rsidR="00197110" w:rsidRDefault="00197110" w:rsidP="00197110">
      <w:pPr>
        <w:pStyle w:val="Funotentext"/>
      </w:pPr>
      <w:r>
        <w:rPr>
          <w:rStyle w:val="Funotenzeichen"/>
        </w:rPr>
        <w:footnoteRef/>
      </w:r>
      <w:r>
        <w:t xml:space="preserve"> Siehe: </w:t>
      </w:r>
      <w:hyperlink r:id="rId1817" w:history="1">
        <w:r w:rsidRPr="00932F3C">
          <w:rPr>
            <w:rStyle w:val="Hyperlink"/>
          </w:rPr>
          <w:t>https://dechema.de/Themen/Studien+und+Positionspapiere/2024+03+H2+Kompass/_/H2K_IND_Chemie.pdf</w:t>
        </w:r>
      </w:hyperlink>
      <w:r>
        <w:t xml:space="preserve"> - Zugegriffen: 09.04.2025. </w:t>
      </w:r>
    </w:p>
  </w:footnote>
  <w:footnote w:id="2478">
    <w:p w14:paraId="60583DB3" w14:textId="77777777" w:rsidR="00121987" w:rsidRDefault="00121987" w:rsidP="00121987">
      <w:pPr>
        <w:pStyle w:val="Funotentext"/>
      </w:pPr>
      <w:r>
        <w:rPr>
          <w:rStyle w:val="Funotenzeichen"/>
        </w:rPr>
        <w:footnoteRef/>
      </w:r>
      <w:r>
        <w:t xml:space="preserve"> </w:t>
      </w:r>
      <w:r w:rsidRPr="00ED2F55">
        <w:t xml:space="preserve">Agora Industrie, </w:t>
      </w:r>
      <w:proofErr w:type="spellStart"/>
      <w:r w:rsidRPr="00ED2F55">
        <w:t>FutureCamp</w:t>
      </w:r>
      <w:proofErr w:type="spellEnd"/>
      <w:r w:rsidRPr="00ED2F55">
        <w:t xml:space="preserve">, Wuppertal Institut und </w:t>
      </w:r>
      <w:proofErr w:type="spellStart"/>
      <w:r w:rsidRPr="00ED2F55">
        <w:t>Ecologic</w:t>
      </w:r>
      <w:proofErr w:type="spellEnd"/>
      <w:r w:rsidRPr="00ED2F55">
        <w:t xml:space="preserve"> Institut 2021</w:t>
      </w:r>
      <w:r>
        <w:t>: 39.</w:t>
      </w:r>
    </w:p>
  </w:footnote>
  <w:footnote w:id="2479">
    <w:p w14:paraId="4E3EFFE5" w14:textId="77777777" w:rsidR="008E326A" w:rsidRPr="00147950" w:rsidRDefault="008E326A" w:rsidP="008E326A">
      <w:pPr>
        <w:pStyle w:val="Funotentext"/>
      </w:pPr>
      <w:r>
        <w:rPr>
          <w:rStyle w:val="Funotenzeichen"/>
        </w:rPr>
        <w:footnoteRef/>
      </w:r>
      <w:r>
        <w:t xml:space="preserve"> Die Importe aus Indien liegen bei 3,9 Mrd. </w:t>
      </w:r>
      <w:r w:rsidRPr="00147950">
        <w:t>Euro, Südkorea 3,6 Mrd., China und T</w:t>
      </w:r>
      <w:r>
        <w:t xml:space="preserve">ürkei mit 3,5 Mrd., England mit 3,2 Mrd. Siehe: </w:t>
      </w:r>
      <w:hyperlink r:id="rId1818" w:history="1">
        <w:r w:rsidRPr="00491EB2">
          <w:rPr>
            <w:rStyle w:val="Hyperlink"/>
          </w:rPr>
          <w:t>https://de.euronews.com/my-europe/2025/03/21/wer-sind-die-wichtigsten-eisen-und-stahlhandelspartner-der-eu</w:t>
        </w:r>
      </w:hyperlink>
      <w:r>
        <w:t xml:space="preserve"> - Zugegriffen: 06.07.2025.  </w:t>
      </w:r>
    </w:p>
  </w:footnote>
  <w:footnote w:id="2480">
    <w:p w14:paraId="61EBCD21" w14:textId="77777777" w:rsidR="008E326A" w:rsidRDefault="008E326A" w:rsidP="008E326A">
      <w:pPr>
        <w:pStyle w:val="Funotentext"/>
      </w:pPr>
      <w:r>
        <w:rPr>
          <w:rStyle w:val="Funotenzeichen"/>
        </w:rPr>
        <w:footnoteRef/>
      </w:r>
      <w:r>
        <w:t xml:space="preserve"> Siehe S. 20, in </w:t>
      </w:r>
      <w:proofErr w:type="gramStart"/>
      <w:r>
        <w:t>VCI Chemiemärkte</w:t>
      </w:r>
      <w:proofErr w:type="gramEnd"/>
      <w:r>
        <w:t xml:space="preserve"> weltweit, Stand: Juli 2024: </w:t>
      </w:r>
      <w:hyperlink r:id="rId1819" w:history="1">
        <w:r w:rsidRPr="00491EB2">
          <w:rPr>
            <w:rStyle w:val="Hyperlink"/>
          </w:rPr>
          <w:t>https://www.vci.de/ergaenzende-downloads/chemiemaerkte-weltweit.pdf</w:t>
        </w:r>
      </w:hyperlink>
      <w:r>
        <w:t xml:space="preserve"> - Zugegriffen: 06.07.2025. </w:t>
      </w:r>
    </w:p>
  </w:footnote>
  <w:footnote w:id="2481">
    <w:p w14:paraId="56A3CD12" w14:textId="77777777" w:rsidR="00811A3B" w:rsidRDefault="00811A3B" w:rsidP="00811A3B">
      <w:pPr>
        <w:pStyle w:val="Funotentext"/>
      </w:pPr>
      <w:r>
        <w:rPr>
          <w:rStyle w:val="Funotenzeichen"/>
        </w:rPr>
        <w:footnoteRef/>
      </w:r>
      <w:r>
        <w:t xml:space="preserve"> Siehe hier die konsolidierte Fassung RED III: </w:t>
      </w:r>
      <w:hyperlink r:id="rId1820" w:history="1">
        <w:r w:rsidRPr="00530E42">
          <w:rPr>
            <w:rStyle w:val="Hyperlink"/>
          </w:rPr>
          <w:t>https://eur-lex.europa.eu/legal-content/EN/TXT/?uri=CELEX:02018L2001-20240716</w:t>
        </w:r>
      </w:hyperlink>
      <w:r>
        <w:t xml:space="preserve"> - siehe auch hier für die Änderungsrichtlinie: </w:t>
      </w:r>
      <w:hyperlink r:id="rId1821" w:history="1">
        <w:r w:rsidRPr="00AA613D">
          <w:rPr>
            <w:rStyle w:val="Hyperlink"/>
          </w:rPr>
          <w:t>https://eur-lex.europa.eu/legal-content/DE/TXT/PDF/?uri=OJ:L_202302413</w:t>
        </w:r>
      </w:hyperlink>
      <w:r>
        <w:t xml:space="preserve"> – Zugegriffen: 21.07.2024.</w:t>
      </w:r>
    </w:p>
  </w:footnote>
  <w:footnote w:id="2482">
    <w:p w14:paraId="006572B1" w14:textId="1B562EAD" w:rsidR="002C58EF" w:rsidRPr="002C58EF" w:rsidRDefault="002C58EF">
      <w:pPr>
        <w:pStyle w:val="Funotentext"/>
      </w:pPr>
      <w:r>
        <w:rPr>
          <w:rStyle w:val="Funotenzeichen"/>
        </w:rPr>
        <w:footnoteRef/>
      </w:r>
      <w:r w:rsidRPr="002C58EF">
        <w:t xml:space="preserve"> </w:t>
      </w:r>
      <w:r>
        <w:t xml:space="preserve">Siehe: </w:t>
      </w:r>
      <w:hyperlink r:id="rId1822" w:history="1">
        <w:r w:rsidRPr="003E7CA8">
          <w:rPr>
            <w:rStyle w:val="Hyperlink"/>
          </w:rPr>
          <w:t>https://eur-lex.europa.eu/legal-content/EN/TXT/PDF/?uri=OJ:C_202502983</w:t>
        </w:r>
      </w:hyperlink>
      <w:r w:rsidRPr="002C58EF">
        <w:t xml:space="preserve"> </w:t>
      </w:r>
      <w:r>
        <w:t>–</w:t>
      </w:r>
      <w:r w:rsidRPr="002C58EF">
        <w:t xml:space="preserve"> Zu</w:t>
      </w:r>
      <w:r>
        <w:t>gegriffen: 28.06.2025.</w:t>
      </w:r>
    </w:p>
  </w:footnote>
  <w:footnote w:id="2483">
    <w:p w14:paraId="58991DBF" w14:textId="0FA9B505" w:rsidR="002D64AF" w:rsidRPr="002D64AF" w:rsidRDefault="002D64AF" w:rsidP="002D64AF">
      <w:pPr>
        <w:pStyle w:val="Funotentext"/>
      </w:pPr>
      <w:r>
        <w:rPr>
          <w:rStyle w:val="Funotenzeichen"/>
        </w:rPr>
        <w:footnoteRef/>
      </w:r>
      <w:r w:rsidRPr="002D64AF">
        <w:rPr>
          <w:lang w:val="en-GB"/>
        </w:rPr>
        <w:t xml:space="preserve"> </w:t>
      </w:r>
      <w:r>
        <w:rPr>
          <w:lang w:val="en-GB"/>
        </w:rPr>
        <w:t>“</w:t>
      </w:r>
      <w:r w:rsidRPr="002D64AF">
        <w:rPr>
          <w:lang w:val="en-GB"/>
        </w:rPr>
        <w:t>The obligation, therefore, does not apply directly to hydrogen consumers. This does not preclude Member</w:t>
      </w:r>
      <w:r>
        <w:rPr>
          <w:lang w:val="en-GB"/>
        </w:rPr>
        <w:t xml:space="preserve"> </w:t>
      </w:r>
      <w:r w:rsidRPr="002D64AF">
        <w:rPr>
          <w:lang w:val="en-GB"/>
        </w:rPr>
        <w:t>States from</w:t>
      </w:r>
      <w:r>
        <w:rPr>
          <w:lang w:val="en-GB"/>
        </w:rPr>
        <w:t xml:space="preserve"> </w:t>
      </w:r>
      <w:r w:rsidRPr="002D64AF">
        <w:rPr>
          <w:lang w:val="en-GB"/>
        </w:rPr>
        <w:t>setting mandatory quotas for RFNBOs consumption as one of the possible measures to achieve the</w:t>
      </w:r>
      <w:r>
        <w:rPr>
          <w:lang w:val="en-GB"/>
        </w:rPr>
        <w:t xml:space="preserve"> </w:t>
      </w:r>
      <w:r w:rsidRPr="002D64AF">
        <w:rPr>
          <w:lang w:val="en-GB"/>
        </w:rPr>
        <w:t>target. In such a case, it</w:t>
      </w:r>
      <w:r>
        <w:rPr>
          <w:lang w:val="en-GB"/>
        </w:rPr>
        <w:t xml:space="preserve"> </w:t>
      </w:r>
      <w:r w:rsidRPr="002D64AF">
        <w:rPr>
          <w:lang w:val="en-GB"/>
        </w:rPr>
        <w:t xml:space="preserve">is important for Member States to </w:t>
      </w:r>
      <w:proofErr w:type="gramStart"/>
      <w:r w:rsidRPr="002D64AF">
        <w:rPr>
          <w:lang w:val="en-GB"/>
        </w:rPr>
        <w:t>take into account</w:t>
      </w:r>
      <w:proofErr w:type="gramEnd"/>
      <w:r w:rsidRPr="002D64AF">
        <w:rPr>
          <w:lang w:val="en-GB"/>
        </w:rPr>
        <w:t xml:space="preserve"> the impact that mandatory quotas can have on the competitiveness of</w:t>
      </w:r>
      <w:r>
        <w:rPr>
          <w:lang w:val="en-GB"/>
        </w:rPr>
        <w:t xml:space="preserve"> </w:t>
      </w:r>
      <w:r w:rsidRPr="002D64AF">
        <w:rPr>
          <w:lang w:val="en-GB"/>
        </w:rPr>
        <w:t>industrial hydrogen consumers. Quotas that are not backed by adequate regulatory measures and State-aid compliant</w:t>
      </w:r>
      <w:r>
        <w:rPr>
          <w:lang w:val="en-GB"/>
        </w:rPr>
        <w:t xml:space="preserve"> </w:t>
      </w:r>
      <w:r w:rsidRPr="002D64AF">
        <w:rPr>
          <w:lang w:val="en-GB"/>
        </w:rPr>
        <w:t>support mechanisms to compensate for the cost difference between RFNBOs and fossil-based fuels could lead to carbon</w:t>
      </w:r>
      <w:r>
        <w:rPr>
          <w:lang w:val="en-GB"/>
        </w:rPr>
        <w:t xml:space="preserve"> </w:t>
      </w:r>
      <w:r w:rsidRPr="002D64AF">
        <w:rPr>
          <w:lang w:val="en-GB"/>
        </w:rPr>
        <w:t>leakage and additional intra-EU or extra-EU imports of products produced with fossil-based hydrogen. This would be in</w:t>
      </w:r>
      <w:r>
        <w:rPr>
          <w:lang w:val="en-GB"/>
        </w:rPr>
        <w:t xml:space="preserve"> </w:t>
      </w:r>
      <w:r w:rsidRPr="002D64AF">
        <w:rPr>
          <w:lang w:val="en-GB"/>
        </w:rPr>
        <w:t>contradiction with the objective of Article 22a to decarbonise the Union’s industrial sector. Furthermore, all national</w:t>
      </w:r>
      <w:r>
        <w:rPr>
          <w:lang w:val="en-GB"/>
        </w:rPr>
        <w:t xml:space="preserve"> </w:t>
      </w:r>
      <w:r w:rsidRPr="002D64AF">
        <w:rPr>
          <w:lang w:val="en-GB"/>
        </w:rPr>
        <w:t>implementing measures should be designed without prejudice to the TFEU and notably Article 28</w:t>
      </w:r>
      <w:r>
        <w:rPr>
          <w:lang w:val="en-GB"/>
        </w:rPr>
        <w:t xml:space="preserve">.” </w:t>
      </w:r>
      <w:r w:rsidRPr="002D64AF">
        <w:t>Pu</w:t>
      </w:r>
      <w:r>
        <w:t>nkt 2.2, S. 4, in:</w:t>
      </w:r>
      <w:r w:rsidRPr="002D64AF">
        <w:t xml:space="preserve"> </w:t>
      </w:r>
      <w:hyperlink r:id="rId1823" w:history="1">
        <w:r w:rsidRPr="002D64AF">
          <w:rPr>
            <w:rStyle w:val="Hyperlink"/>
          </w:rPr>
          <w:t>https://eur-lex.europa.eu/legal-content/EN/TXT/PDF/?uri=OJ:C_202502983</w:t>
        </w:r>
      </w:hyperlink>
      <w:r w:rsidRPr="002D64AF">
        <w:t xml:space="preserve"> – Zugegriffen: 28.06.2025.</w:t>
      </w:r>
    </w:p>
  </w:footnote>
  <w:footnote w:id="2484">
    <w:p w14:paraId="64FF14A9" w14:textId="77777777" w:rsidR="00811A3B" w:rsidRDefault="00811A3B" w:rsidP="00811A3B">
      <w:pPr>
        <w:pStyle w:val="Funotentext"/>
      </w:pPr>
      <w:r>
        <w:rPr>
          <w:rStyle w:val="Funotenzeichen"/>
        </w:rPr>
        <w:footnoteRef/>
      </w:r>
      <w:r>
        <w:t xml:space="preserve"> Siehe z.B. die Stellungnahme vom nationalen Wasserstoffrat Umsetzung RED III in nationales Recht, 1. März 2024: </w:t>
      </w:r>
      <w:hyperlink r:id="rId1824" w:history="1">
        <w:r w:rsidRPr="00DF0823">
          <w:rPr>
            <w:rStyle w:val="Hyperlink"/>
          </w:rPr>
          <w:t>https://www.wasserstoffrat.de/fileadmin/wasserstoffrat/media/Dokumente/2024/2024-03-01_NWR-Stellungnahme_Umsetzung_RED_III_Industriequote.pdf</w:t>
        </w:r>
      </w:hyperlink>
      <w:r>
        <w:t xml:space="preserve"> - Zugegriffen: 26.06.2025. </w:t>
      </w:r>
    </w:p>
  </w:footnote>
  <w:footnote w:id="2485">
    <w:p w14:paraId="35772B1F" w14:textId="77777777" w:rsidR="00197110" w:rsidRDefault="00197110" w:rsidP="00197110">
      <w:pPr>
        <w:pStyle w:val="Funotentext"/>
      </w:pPr>
      <w:r>
        <w:rPr>
          <w:rStyle w:val="Funotenzeichen"/>
        </w:rPr>
        <w:footnoteRef/>
      </w:r>
      <w:r>
        <w:t xml:space="preserve"> Siehe: </w:t>
      </w:r>
      <w:hyperlink r:id="rId1825" w:history="1">
        <w:r w:rsidRPr="00A0587C">
          <w:rPr>
            <w:rStyle w:val="Hyperlink"/>
          </w:rPr>
          <w:t>https://protonventures.com/news/what-is-the-best-hydrogen-carrier-2/</w:t>
        </w:r>
      </w:hyperlink>
      <w:r>
        <w:t xml:space="preserve"> - Zugegriffen: 13.02.2025. </w:t>
      </w:r>
    </w:p>
  </w:footnote>
  <w:footnote w:id="2486">
    <w:p w14:paraId="37BE12F0" w14:textId="77777777" w:rsidR="00197110" w:rsidRPr="009E37AF" w:rsidRDefault="00197110" w:rsidP="00197110">
      <w:pPr>
        <w:pStyle w:val="Funotentext"/>
      </w:pPr>
      <w:r>
        <w:rPr>
          <w:rStyle w:val="Funotenzeichen"/>
        </w:rPr>
        <w:footnoteRef/>
      </w:r>
      <w:r>
        <w:t xml:space="preserve"> Für 2030 werden als höchster Preis 250 Euro für 1 MWh Wasserstoff angegeben. Energiegehalt von Wasserstoff ist 33 kWh für 1 kg. 1000 kWh sind 1 MWh. 1000 / 33 (vereinfacht, nicht 33,33) = 30, das heißt, 1 MWh Wasserstoff sind 30 kg Wasserstoff. Für eine Tonne Wasserstoff braucht man nun 1000 / 30 = 33,33 </w:t>
      </w:r>
      <w:proofErr w:type="spellStart"/>
      <w:r>
        <w:t>fach</w:t>
      </w:r>
      <w:proofErr w:type="spellEnd"/>
      <w:r>
        <w:t xml:space="preserve"> diese Mengen Wasserstoff. Dreisatz: Wenn ich den Preis für eine Tonne Wasserstoff wissen will, muss ich nun rechnen: 33,33 * 250 = 8332 Euro. In der Literatur werden für 2045 Preis von 56 Euro / MWh und 182 Euro / MWh angenommen, also: 33,33 * 56 = 1866 Euro pro Tonne Wasserstoff oder 33,33 * 182 = 6066 Euro pro Tonne Wasserstoff. </w:t>
      </w:r>
      <w:proofErr w:type="spellStart"/>
      <w:r w:rsidRPr="009E37AF">
        <w:rPr>
          <w:lang w:val="en-GB"/>
        </w:rPr>
        <w:t>Siehe</w:t>
      </w:r>
      <w:proofErr w:type="spellEnd"/>
      <w:r w:rsidRPr="009E37AF">
        <w:rPr>
          <w:lang w:val="en-GB"/>
        </w:rPr>
        <w:t xml:space="preserve">: </w:t>
      </w:r>
      <w:proofErr w:type="spellStart"/>
      <w:r w:rsidRPr="009E37AF">
        <w:rPr>
          <w:lang w:val="en-GB"/>
        </w:rPr>
        <w:t>Weißenburger</w:t>
      </w:r>
      <w:proofErr w:type="spellEnd"/>
      <w:r w:rsidRPr="009E37AF">
        <w:rPr>
          <w:lang w:val="en-GB"/>
        </w:rPr>
        <w:t xml:space="preserve">, Bastian et al. The </w:t>
      </w:r>
      <w:proofErr w:type="gramStart"/>
      <w:r w:rsidRPr="009E37AF">
        <w:rPr>
          <w:lang w:val="en-GB"/>
        </w:rPr>
        <w:t>long term</w:t>
      </w:r>
      <w:proofErr w:type="gramEnd"/>
      <w:r w:rsidRPr="009E37AF">
        <w:rPr>
          <w:lang w:val="en-GB"/>
        </w:rPr>
        <w:t xml:space="preserve"> price e</w:t>
      </w:r>
      <w:r>
        <w:rPr>
          <w:lang w:val="en-GB"/>
        </w:rPr>
        <w:t xml:space="preserve">lastic demand for hydrogen – A multi-model analysis für Germany. </w:t>
      </w:r>
      <w:r w:rsidRPr="009E37AF">
        <w:t>I</w:t>
      </w:r>
      <w:r>
        <w:t xml:space="preserve">n: Energy </w:t>
      </w:r>
      <w:proofErr w:type="spellStart"/>
      <w:r>
        <w:t>Strategy</w:t>
      </w:r>
      <w:proofErr w:type="spellEnd"/>
      <w:r>
        <w:t xml:space="preserve"> Review, 54, 2024, 101432.</w:t>
      </w:r>
    </w:p>
  </w:footnote>
  <w:footnote w:id="2487">
    <w:p w14:paraId="555CCDE2" w14:textId="77777777" w:rsidR="00B90DE5" w:rsidRDefault="00B90DE5" w:rsidP="00B90DE5">
      <w:pPr>
        <w:pStyle w:val="Funotentext"/>
      </w:pPr>
      <w:r>
        <w:rPr>
          <w:rStyle w:val="Funotenzeichen"/>
        </w:rPr>
        <w:footnoteRef/>
      </w:r>
      <w:r>
        <w:t xml:space="preserve"> Ab Minute 27:00, siehe: </w:t>
      </w:r>
      <w:r w:rsidRPr="00E20373">
        <w:t>Deutschlands Chance: Wasserstoff-Technik "Made in Germany" - Prof. Markus Hölzle &amp; Dr. David Wenger</w:t>
      </w:r>
      <w:r>
        <w:t xml:space="preserve">, Geladen Batteriepodcast, 29.06.2025: </w:t>
      </w:r>
      <w:hyperlink r:id="rId1826" w:history="1">
        <w:r w:rsidRPr="009C6F34">
          <w:rPr>
            <w:rStyle w:val="Hyperlink"/>
          </w:rPr>
          <w:t>https://www.youtube.com/watch?v=YGVlD7PAaIY&amp;list=PLgT6DO8XUkP5oGh1ed710Lw5YvTpesX0U</w:t>
        </w:r>
      </w:hyperlink>
      <w:r>
        <w:t xml:space="preserve"> – Zugegriffen: 29.06.2025. </w:t>
      </w:r>
    </w:p>
  </w:footnote>
  <w:footnote w:id="2488">
    <w:p w14:paraId="11E95064" w14:textId="77777777" w:rsidR="00197110" w:rsidRDefault="00197110" w:rsidP="00197110">
      <w:pPr>
        <w:pStyle w:val="Funotentext"/>
      </w:pPr>
      <w:r>
        <w:rPr>
          <w:rStyle w:val="Funotenzeichen"/>
        </w:rPr>
        <w:footnoteRef/>
      </w:r>
      <w:r w:rsidRPr="00046070">
        <w:t xml:space="preserve"> </w:t>
      </w:r>
      <w:r>
        <w:t>CETO berechnet mit einem niedrigen</w:t>
      </w:r>
      <w:r w:rsidRPr="00046070">
        <w:t xml:space="preserve"> Strompreis von </w:t>
      </w:r>
      <w:r>
        <w:t xml:space="preserve">Euro 0,12/kWh einen Wasserstoffpreis von, leicht schwankend, ca. 7,5 Euro pro kg (also 1 Tonne Wasserstoff für 7500 Euro); und mit einem hohen Strompreis von Euro 0,25/kWh ein Wasserstoffpreis von 14 bis 16 Euro pro kg (also 14.000 bis 17.000 Euro pro Tonnen), siehe Figure 5, die noch leichte Variationen bei unterschiedlichen Betriebsstunden zulässt; weiterhin wird beobachtet, dass in Auktionen der Wasserstoffbank für Industrieanwendungen ausreichend ist, wenn man 5,67 Euro/kg einnimmt, um eine Investition zu machen (also 5670 Euro pro Tonne), dagegen liegen Mobility bzw. offenbar E-Fuels Projekte bei 8,34 Euro/kg (also bei 8340 Euro pro Tonne); </w:t>
      </w:r>
      <w:r w:rsidRPr="00D462A8">
        <w:rPr>
          <w:u w:val="single"/>
        </w:rPr>
        <w:t>die günstigsten Schätzungen liegen bei Solar im Süden Europas bei 4,4 Euro/kg (also 4400 Euro pro Tonne) und für Wind im Norden Europas bei 3,2 Euro/kg (3200 Euro pro Tonne), damit käme man an das Erdgas-Haushalte-Preisniveau, nicht aber an das Erdgas-Großverbraucher Preisniveau, aber der Preis wäre nur noch das ca. 5 fache (3200 / 665 = 4,8)</w:t>
      </w:r>
      <w:r>
        <w:t xml:space="preserve">, siehe S. 21-22, in: </w:t>
      </w:r>
      <w:r w:rsidRPr="00046070">
        <w:t xml:space="preserve">Clean Energy Technology Observatory. </w:t>
      </w:r>
      <w:r w:rsidRPr="00046070">
        <w:rPr>
          <w:lang w:val="en-GB"/>
        </w:rPr>
        <w:t xml:space="preserve">Water Electrolysis and Hydrogen in Europa Update 2024: Clean Energy Technology Observatory. </w:t>
      </w:r>
      <w:r w:rsidRPr="00046070">
        <w:t xml:space="preserve">Water Electrolysis and Hydrogen in Europa 2024. Siehe: </w:t>
      </w:r>
      <w:hyperlink r:id="rId1827" w:history="1">
        <w:r w:rsidRPr="00046070">
          <w:rPr>
            <w:rStyle w:val="Hyperlink"/>
          </w:rPr>
          <w:t>https://setis.ec.europa.eu/publications-and-documents/clean-energy-technology-observatory/ceto-reports-2024_en</w:t>
        </w:r>
      </w:hyperlink>
      <w:r w:rsidRPr="00046070">
        <w:t xml:space="preserve"> - Zugegriffen: 26.06.2025.</w:t>
      </w:r>
    </w:p>
  </w:footnote>
  <w:footnote w:id="2489">
    <w:p w14:paraId="3EBDBF94" w14:textId="77777777" w:rsidR="00197110" w:rsidRDefault="00197110" w:rsidP="00197110">
      <w:pPr>
        <w:pStyle w:val="Funotentext"/>
      </w:pPr>
      <w:r>
        <w:rPr>
          <w:rStyle w:val="Funotenzeichen"/>
        </w:rPr>
        <w:footnoteRef/>
      </w:r>
      <w:r>
        <w:t xml:space="preserve"> </w:t>
      </w:r>
      <w:r w:rsidRPr="00CD7673">
        <w:t xml:space="preserve">Dabei gibt es auch das Problem, dass aufgrund der schwankenden Leistung von erneuerbaren Energien und bei PEM Elektrolyseuren Wasserstoff nicht gleichzeitig eingespeist wird, die Abnehmer aber womöglich kontinuierliche Wasserstoff nutzen wollen, um dies Problem zu lösen, sind Speicherlösungen nötig, wobei Druckkesselspeicher recht teuer sein können </w:t>
      </w:r>
      <w:r>
        <w:t xml:space="preserve">(bei Solar 10,56 Euro/kg, Wind 2,88 Euro/kg, Offshore Wind 1,7 Euro/kg) </w:t>
      </w:r>
      <w:r w:rsidRPr="00CD7673">
        <w:t>und</w:t>
      </w:r>
      <w:r>
        <w:t>, später einmal,</w:t>
      </w:r>
      <w:r w:rsidRPr="00CD7673">
        <w:t xml:space="preserve"> größere Kavernenspeicher günstiger</w:t>
      </w:r>
      <w:r>
        <w:t xml:space="preserve"> (1 Euro/kg) (</w:t>
      </w:r>
      <w:proofErr w:type="spellStart"/>
      <w:r>
        <w:t>Levelized</w:t>
      </w:r>
      <w:proofErr w:type="spellEnd"/>
      <w:r>
        <w:t xml:space="preserve"> </w:t>
      </w:r>
      <w:proofErr w:type="spellStart"/>
      <w:r>
        <w:t>Cost</w:t>
      </w:r>
      <w:proofErr w:type="spellEnd"/>
      <w:r>
        <w:t xml:space="preserve"> </w:t>
      </w:r>
      <w:proofErr w:type="spellStart"/>
      <w:r>
        <w:t>of</w:t>
      </w:r>
      <w:proofErr w:type="spellEnd"/>
      <w:r>
        <w:t xml:space="preserve"> Storage). Gefordert wird grauen oder blauen Wasserstoff in der Übergangsphase zusätzlich zuzulassen: </w:t>
      </w:r>
      <w:hyperlink r:id="rId1828" w:history="1">
        <w:r w:rsidRPr="003E7CA8">
          <w:rPr>
            <w:rStyle w:val="Hyperlink"/>
          </w:rPr>
          <w:t>https://www.ewi.uni-koeln.de/cms/wp-content/uploads/2025/03/20250228_PB_H2_Strukturierung-1.pdf</w:t>
        </w:r>
      </w:hyperlink>
      <w:r>
        <w:t xml:space="preserve"> - Zugegriffen: 28.06.2025. </w:t>
      </w:r>
    </w:p>
  </w:footnote>
  <w:footnote w:id="2490">
    <w:p w14:paraId="234ECA82" w14:textId="77777777" w:rsidR="00CC0A14" w:rsidRDefault="00CC0A14" w:rsidP="00CC0A14">
      <w:pPr>
        <w:pStyle w:val="Funotentext"/>
      </w:pPr>
      <w:r>
        <w:rPr>
          <w:rStyle w:val="Funotenzeichen"/>
        </w:rPr>
        <w:footnoteRef/>
      </w:r>
      <w:r>
        <w:t xml:space="preserve"> Ich habe den Preisvorschlag 10 Cent / kWh Erdgas für Haushalte von ChatGPT genommen. Siehe für die beiden weiteren Preise: Statistisches Bundesamt, Gaspreise für Haushalte, hier kein Link dazu, er ist zu lang, bitte selbst suchen. </w:t>
      </w:r>
    </w:p>
  </w:footnote>
  <w:footnote w:id="2491">
    <w:p w14:paraId="20BBB4F8" w14:textId="77777777" w:rsidR="00CC0A14" w:rsidRPr="00073D12" w:rsidRDefault="00CC0A14" w:rsidP="00CC0A14">
      <w:pPr>
        <w:pStyle w:val="Funotentext"/>
      </w:pPr>
      <w:r>
        <w:rPr>
          <w:rStyle w:val="Funotenzeichen"/>
        </w:rPr>
        <w:footnoteRef/>
      </w:r>
      <w:r w:rsidRPr="00073D12">
        <w:t xml:space="preserve"> Für Großkunden werden tatsächlich 3,3 C</w:t>
      </w:r>
      <w:r>
        <w:t xml:space="preserve">ent erreicht, weniger hoher Verbrauch liegt bei 7,9 Cent, siehe Statistisches Bundesamt Erdgaspreise für Nicht Haushalte. Link ist zu lang, bitte selbst suchen. </w:t>
      </w:r>
    </w:p>
  </w:footnote>
  <w:footnote w:id="2492">
    <w:p w14:paraId="06F90BEA" w14:textId="77777777" w:rsidR="00CC0A14" w:rsidRPr="00CC0A14" w:rsidRDefault="00CC0A14" w:rsidP="00CC0A14">
      <w:pPr>
        <w:pStyle w:val="Funotentext"/>
      </w:pPr>
      <w:r>
        <w:rPr>
          <w:rStyle w:val="Funotenzeichen"/>
        </w:rPr>
        <w:footnoteRef/>
      </w:r>
      <w:r w:rsidRPr="00CC0A14">
        <w:t xml:space="preserve"> Vergleich Wasserstoff / Erdgas: </w:t>
      </w:r>
    </w:p>
    <w:p w14:paraId="1B4AD1CC" w14:textId="77777777" w:rsidR="00CC0A14" w:rsidRPr="00CC0A14" w:rsidRDefault="00CC0A14" w:rsidP="00CC0A14">
      <w:pPr>
        <w:pStyle w:val="Funotentext"/>
      </w:pPr>
      <w:r w:rsidRPr="00CC0A14">
        <w:t>1 Tonne Wasserstoff hat einen Heizwert von 33.330 kWh = 33,33 MWh</w:t>
      </w:r>
    </w:p>
    <w:p w14:paraId="205F4505" w14:textId="77777777" w:rsidR="00CC0A14" w:rsidRPr="00CC0A14" w:rsidRDefault="00CC0A14" w:rsidP="00CC0A14">
      <w:pPr>
        <w:pStyle w:val="Funotentext"/>
      </w:pPr>
      <w:r w:rsidRPr="00CC0A14">
        <w:t>1 Tonne Erdgas hat einen Heizwert von 13.100 kWh = 13,1 MWh</w:t>
      </w:r>
    </w:p>
    <w:p w14:paraId="01E7965B" w14:textId="77777777" w:rsidR="00CC0A14" w:rsidRPr="00CC0A14" w:rsidRDefault="00CC0A14" w:rsidP="00CC0A14">
      <w:pPr>
        <w:pStyle w:val="Funotentext"/>
      </w:pPr>
      <w:r w:rsidRPr="00CC0A14">
        <w:t xml:space="preserve">Wasserstoff hat damit pro kg bzw. pro Tonne </w:t>
      </w:r>
      <w:proofErr w:type="gramStart"/>
      <w:r w:rsidRPr="00CC0A14">
        <w:t>2,54 mal</w:t>
      </w:r>
      <w:proofErr w:type="gramEnd"/>
      <w:r w:rsidRPr="00CC0A14">
        <w:t xml:space="preserve"> mehr Energie (33,33 kWh/ 13,1 KWh = 2,54 …).</w:t>
      </w:r>
    </w:p>
    <w:p w14:paraId="3FC67906" w14:textId="2C7FC3C0" w:rsidR="00CC0A14" w:rsidRPr="00CC0A14" w:rsidRDefault="00CC0A14">
      <w:pPr>
        <w:pStyle w:val="Funotentext"/>
      </w:pPr>
    </w:p>
  </w:footnote>
  <w:footnote w:id="2493">
    <w:p w14:paraId="73F0D7F4" w14:textId="77777777" w:rsidR="00197110" w:rsidRDefault="00197110" w:rsidP="00197110">
      <w:pPr>
        <w:pStyle w:val="Funotentext"/>
      </w:pPr>
      <w:r>
        <w:rPr>
          <w:rStyle w:val="Funotenzeichen"/>
        </w:rPr>
        <w:footnoteRef/>
      </w:r>
      <w:r w:rsidRPr="00CC0A14">
        <w:rPr>
          <w:lang w:val="en-GB"/>
        </w:rPr>
        <w:t xml:space="preserve"> S. 22, Clean Energy Technology Observatory. </w:t>
      </w:r>
      <w:r w:rsidRPr="007430CD">
        <w:rPr>
          <w:lang w:val="en-GB"/>
        </w:rPr>
        <w:t xml:space="preserve">Water Electrolysis and Hydrogen in Europa 2024. Clean Energy Technology Observatory. </w:t>
      </w:r>
      <w:r w:rsidRPr="00891AD8">
        <w:t xml:space="preserve">Water Electrolysis and Hydrogen in Europa 2024. </w:t>
      </w:r>
      <w:r w:rsidRPr="007430CD">
        <w:t xml:space="preserve">Siehe: </w:t>
      </w:r>
      <w:hyperlink r:id="rId1829" w:history="1">
        <w:r w:rsidRPr="007430CD">
          <w:rPr>
            <w:rStyle w:val="Hyperlink"/>
          </w:rPr>
          <w:t>https://setis.ec.europa.eu/publications-and-documents/clean-energy-technology-observatory/ceto-reports-2024_en</w:t>
        </w:r>
      </w:hyperlink>
      <w:r w:rsidRPr="007430CD">
        <w:t xml:space="preserve"> - Zugegriffen: 26.06.2025.</w:t>
      </w:r>
    </w:p>
  </w:footnote>
  <w:footnote w:id="2494">
    <w:p w14:paraId="19E227ED" w14:textId="77777777" w:rsidR="00AA7A8A" w:rsidRDefault="00AA7A8A" w:rsidP="00AA7A8A">
      <w:pPr>
        <w:pStyle w:val="Funotentext"/>
      </w:pPr>
      <w:r>
        <w:rPr>
          <w:rStyle w:val="Funotenzeichen"/>
        </w:rPr>
        <w:footnoteRef/>
      </w:r>
      <w:r>
        <w:t xml:space="preserve"> </w:t>
      </w:r>
      <w:r w:rsidRPr="00B869D4">
        <w:t>Stefan Paravicini. Ein Meilenstein für die Wasserstoffpipeline. FAZ, 25.04.2025</w:t>
      </w:r>
      <w:r>
        <w:t>.</w:t>
      </w:r>
    </w:p>
  </w:footnote>
  <w:footnote w:id="2495">
    <w:p w14:paraId="7335F5C8" w14:textId="77777777" w:rsidR="007E4CF4" w:rsidRDefault="007E4CF4" w:rsidP="007E4CF4">
      <w:pPr>
        <w:pStyle w:val="Funotentext"/>
      </w:pPr>
      <w:r>
        <w:rPr>
          <w:rStyle w:val="Funotenzeichen"/>
        </w:rPr>
        <w:footnoteRef/>
      </w:r>
      <w:r>
        <w:t xml:space="preserve"> Siehe: </w:t>
      </w:r>
      <w:hyperlink r:id="rId1830" w:history="1">
        <w:r w:rsidRPr="00376C32">
          <w:rPr>
            <w:rStyle w:val="Hyperlink"/>
          </w:rPr>
          <w:t>https://ammoniaenergy.org/articles/neom-project-reaches-financial-close-30-year-offtake-secured/</w:t>
        </w:r>
      </w:hyperlink>
      <w:r>
        <w:t xml:space="preserve"> - Zugegriffen: 06.03.2025.</w:t>
      </w:r>
    </w:p>
  </w:footnote>
  <w:footnote w:id="2496">
    <w:p w14:paraId="6D5A46D0" w14:textId="77777777" w:rsidR="007E4CF4" w:rsidRDefault="007E4CF4" w:rsidP="007E4CF4">
      <w:pPr>
        <w:pStyle w:val="Funotentext"/>
      </w:pPr>
      <w:r>
        <w:rPr>
          <w:rStyle w:val="Funotenzeichen"/>
        </w:rPr>
        <w:footnoteRef/>
      </w:r>
      <w:r>
        <w:t xml:space="preserve"> S. 17, siehe: </w:t>
      </w:r>
      <w:hyperlink r:id="rId1831" w:history="1">
        <w:r w:rsidRPr="00935F25">
          <w:rPr>
            <w:rStyle w:val="Hyperlink"/>
          </w:rPr>
          <w:t>https://www.bmwk.de/Redaktion/DE/Dossier/ses.html</w:t>
        </w:r>
      </w:hyperlink>
      <w:r>
        <w:t xml:space="preserve"> - Zugegriffen: 31.05.2025. </w:t>
      </w:r>
    </w:p>
  </w:footnote>
  <w:footnote w:id="2497">
    <w:p w14:paraId="3B5B82B0" w14:textId="77777777" w:rsidR="007E4CF4" w:rsidRDefault="007E4CF4" w:rsidP="007E4CF4">
      <w:pPr>
        <w:pStyle w:val="Funotentext"/>
      </w:pPr>
      <w:r>
        <w:rPr>
          <w:rStyle w:val="Funotenzeichen"/>
        </w:rPr>
        <w:footnoteRef/>
      </w:r>
      <w:r>
        <w:t xml:space="preserve"> S. 17, Genehmigung des </w:t>
      </w:r>
      <w:proofErr w:type="spellStart"/>
      <w:r>
        <w:t>Szenariorahmens</w:t>
      </w:r>
      <w:proofErr w:type="spellEnd"/>
      <w:r>
        <w:t xml:space="preserve"> für den Netzentwicklungsplan Strom 2025-2037 / 2045, Bundesnetzagentur April 2025.</w:t>
      </w:r>
    </w:p>
  </w:footnote>
  <w:footnote w:id="2498">
    <w:p w14:paraId="40B16DC8" w14:textId="77777777" w:rsidR="007E4CF4" w:rsidRDefault="007E4CF4" w:rsidP="007E4CF4">
      <w:pPr>
        <w:pStyle w:val="Funotentext"/>
      </w:pPr>
      <w:r>
        <w:rPr>
          <w:rStyle w:val="Funotenzeichen"/>
        </w:rPr>
        <w:footnoteRef/>
      </w:r>
      <w:r>
        <w:t xml:space="preserve"> </w:t>
      </w:r>
      <w:proofErr w:type="gramStart"/>
      <w:r>
        <w:t>BMWK Systementwicklungsstrategie</w:t>
      </w:r>
      <w:proofErr w:type="gramEnd"/>
      <w:r>
        <w:t xml:space="preserve"> 2024: 17.</w:t>
      </w:r>
    </w:p>
  </w:footnote>
  <w:footnote w:id="2499">
    <w:p w14:paraId="07BFAD5F" w14:textId="77777777" w:rsidR="00406619" w:rsidRDefault="00406619" w:rsidP="00406619">
      <w:pPr>
        <w:pStyle w:val="Funotentext"/>
      </w:pPr>
      <w:r>
        <w:rPr>
          <w:rStyle w:val="Funotenzeichen"/>
        </w:rPr>
        <w:footnoteRef/>
      </w:r>
      <w:r>
        <w:t xml:space="preserve"> Also, mal gerechnet, wie viel ist das in Tonnen Wasserstoff: 1 kg Wasserstoff hat 33 kWh, 1 Tonne hat 33.333 kWh. Dreisatz: 1 Terawattstunde Wasserstoff: 1.000.000.000 / 33.333 = 30.000 Tonnen Wasserstoff. </w:t>
      </w:r>
    </w:p>
    <w:p w14:paraId="239AAF74" w14:textId="19EFC056" w:rsidR="00406619" w:rsidRDefault="00406619" w:rsidP="00406619">
      <w:pPr>
        <w:pStyle w:val="Funotentext"/>
      </w:pPr>
      <w:r>
        <w:t xml:space="preserve">15 mal 30.000 = 450.000 Tonnen Wasserstoff für Ammoniak. 450 mal 30.000 = 13.500.000 Tonnen Wasserstoff, das sind 13,5 Mill. Tonnen Wasserstoff sei für die Industrie nötig. Dies ist ein realistischer Wert, in Transformation der Chemie 2023, gab es unterschiedliche Wert, hängengeblieben sind hier 6 Mill. für die grüne Fischer-Tropsch-Produktion. Jedenfalls kann man mit 13.500.000 Tonnen Wasserstoff etwas anfangen, die Industrie funktioniert, es gibt keine Deindustrialisierung Deutschland </w:t>
      </w:r>
      <w:proofErr w:type="gramStart"/>
      <w:r>
        <w:t>…</w:t>
      </w:r>
      <w:proofErr w:type="gramEnd"/>
      <w:r>
        <w:t xml:space="preserve"> wenn dann doch noch etwas fehlen sollte, weil bis dahin nicht genug erneuerbare Energien aufgebaut worden sind, dann ist das Schicksal, dann muss </w:t>
      </w:r>
      <w:proofErr w:type="gramStart"/>
      <w:r>
        <w:t>der dementsprechend Betrieb</w:t>
      </w:r>
      <w:proofErr w:type="gramEnd"/>
      <w:r>
        <w:t xml:space="preserve"> schließen, bis diese zur Verfügung stehen. Gob gerechnet: 13,5 Mill. das sind, siehe die Tabelle in Teil 1: 800 TWh und die dementsprechenden erneuerbaren Energien.</w:t>
      </w:r>
    </w:p>
  </w:footnote>
  <w:footnote w:id="2500">
    <w:p w14:paraId="2B983E0D" w14:textId="77777777" w:rsidR="00406619" w:rsidRPr="006C37A5" w:rsidRDefault="00406619" w:rsidP="00406619">
      <w:pPr>
        <w:pStyle w:val="Funotentext"/>
      </w:pPr>
      <w:r>
        <w:rPr>
          <w:rStyle w:val="Funotenzeichen"/>
        </w:rPr>
        <w:footnoteRef/>
      </w:r>
      <w:r w:rsidRPr="006C37A5">
        <w:t xml:space="preserve"> Transformation der Chemie </w:t>
      </w:r>
      <w:proofErr w:type="gramStart"/>
      <w:r w:rsidRPr="006C37A5">
        <w:t>2023 :</w:t>
      </w:r>
      <w:proofErr w:type="gramEnd"/>
      <w:r w:rsidRPr="006C37A5">
        <w:t xml:space="preserve"> 92.</w:t>
      </w:r>
    </w:p>
  </w:footnote>
  <w:footnote w:id="2501">
    <w:p w14:paraId="66B7A649" w14:textId="77777777" w:rsidR="00791890" w:rsidRDefault="00791890" w:rsidP="00791890">
      <w:pPr>
        <w:pStyle w:val="Funotentext"/>
      </w:pPr>
      <w:r>
        <w:rPr>
          <w:rStyle w:val="Funotenzeichen"/>
        </w:rPr>
        <w:footnoteRef/>
      </w:r>
      <w:r>
        <w:t xml:space="preserve"> Präambel, Erwägungsgründe 31-40, siehe:</w:t>
      </w:r>
      <w:r w:rsidRPr="002C4D63">
        <w:t xml:space="preserve"> </w:t>
      </w:r>
      <w:proofErr w:type="gramStart"/>
      <w:r w:rsidRPr="002C4D63">
        <w:t>CBAM Verordnung</w:t>
      </w:r>
      <w:proofErr w:type="gramEnd"/>
      <w:r w:rsidRPr="002C4D63">
        <w:t xml:space="preserve"> (EU) 2023/956, 10. Mai 2023, Originalversion: </w:t>
      </w:r>
      <w:hyperlink r:id="rId1832" w:history="1">
        <w:r w:rsidRPr="002C4D63">
          <w:rPr>
            <w:rStyle w:val="Hyperlink"/>
          </w:rPr>
          <w:t>https://eur-lex.europa.eu/legal-content/DE/TXT/?uri=uriserv:OJ.L_.2023.130.01.0052.01.DEU</w:t>
        </w:r>
      </w:hyperlink>
      <w:r w:rsidRPr="002C4D63">
        <w:t xml:space="preserve"> – Zugegriffen: 24.03.</w:t>
      </w:r>
      <w:r>
        <w:t>2024</w:t>
      </w:r>
      <w:r w:rsidRPr="002C4D63">
        <w:t xml:space="preserve">. </w:t>
      </w:r>
      <w:r>
        <w:t>Zitat: „(32) Bei Anwendung des ersten Kriteriums würden sich die folgenden Industriesektoren nach kumulierten Emissionen auflisten lassen: Eisen und Stahl, Raffinerien, Zement, Aluminium, organische Grundchemikalien, Wasserstoff und Düngemittel. (33) Aufgrund ihrer besonderen Merkmale sollten jedoch bestimmte in dem Delegierten Beschluss (EU) 2019/708 aufgelistete Sektoren zum jetzigen Zeitpunkt nicht Gegenstand der vorliegenden Verordnung sein. (34) Insbesondere sollten organische chemische Erzeugnisse nicht unter die vorliegende Verordnung fallen, da es aufgrund technischer Einschränkungen zum Zeitpunkt der Annahme der vorliegenden Verordnung nicht möglich ist, die mit diesen eingeführten Waren verbundenen grauen Emissionen klar festzulegen. Der für diese Waren nach dem EU-EHS anwendbare Richtwert ist ein Parameter, der keine eindeutige Zuordnung der grauen Emissionen, die mit einzelnen eingeführten Waren verbunden sind, ermöglicht. Für eine genauere Zuordnung zu organischen chemischen Erzeugnissen werden mehr Daten und Analysen benötigt. (35) Ähnliche technische Einschränkungen bestehen auch bei Raffinerieerzeugnissen; auch hier ist eine eindeutige Zuordnung von Treibhausgasemissionen zu den einzelnen gewonnenen Erzeugnissen nicht möglich. Gleichzeitig sind die betreffenden Richtwerte im EU-EHS nicht direkt auf spezifische Erzeugnisse wie Benzin, Diesel oder Kerosin bezogen, sondern auf die gesamte Raffinerieproduktion. (36) Aluminiumerzeugnisse sollten im CBAM erfasst werden, da hier ein hohes Risiko der Verlagerung von CO2-Emissionen besteht. Darüber hinaus stehen Aluminiumerzeugnisse in manchen industriellen Anwendungen wegen ihrer sehr ähnlichen Merkmale in direkter Konkurrenz zu Stahlerzeugnissen. (37) Zum Zeitpunkt der Annahme der vorliegenden Verordnung waren die Einfuhren von Wasserstoff in die Union relativ gering. Es wird jedoch davon ausgegangen, dass sich diese Situation in den kommenden Jahren erheblich ändern wird, da mit dem Paket „Fit für 55“ der Union die Nutzung von erneuerbarem Wasserstoff gefördert wird. Was die Dekarbonisierung der Industrie insgesamt betrifft, so wird die Nachfrage nach erneuerbarem Wasserstoff zunehmen und folglich zu nicht integrierten Herstellungsverfahren bei nachgelagerten Erzeugnissen führen, bei denen Wasserstoff ein Vorläufer ist. Die Aufnahme von Wasserstoff in den Anwendungsbereich des CBAM ist das geeignete Mittel, um die Dekarbonisierung von Wasserstoff weiter zu fördern. (38) Entsprechend sollten bestimmte Erzeugnisse trotz der geringen Menge an verbundenen grauen Emissionen, die während ihres Herstellungsverfahrens entstehen, in den Anwendungsbereich des CBAM fallen, da es im Ausschlussfall wahrscheinlicher wäre, dass versucht wird, die Einbeziehung von Stahlerzeugnissen in das System zu umgehen, indem das Handelsgefüge in Richtung nachgelagerter Erzeugnisse verschoben wird. (39) Andererseits sollte die vorliegende Verordnung zunächst nicht für bestimmte Waren gelten, deren Herstellung keine bedeutenden Emissionen erzeugt, wie beispielsweise Eisenschrott, einige Ferrolegierungen und bestimmte Düngemittel. (40) Die Einfuhr von Strom sollte unter die vorliegende Verordnung fallen, da dieser Sektor für 30 Prozent der gesamten Treibhausgasemissionen in der Union verantwortlich ist. Die angehobenen Klimaziele der Union würden die Differenz bei den CO2-Kosten zwischen der Stromerzeugung in der Union und in Drittländern noch vergrößern. Diese Differenz sowie die Fortschritte bei der Vernetzung des Stromnetzes der Union mit dem der Nachbarländer würde das Risiko der Verlagerung von CO2-Emissionen durch wachsende Einfuhren von Strom, von denen ein wesentlicher Teil in Kohlekraftwerken erzeugt wird, noch erhöhen.“</w:t>
      </w:r>
    </w:p>
  </w:footnote>
  <w:footnote w:id="2502">
    <w:p w14:paraId="0386825F" w14:textId="77777777" w:rsidR="00F669A8" w:rsidRDefault="00F669A8" w:rsidP="00F669A8">
      <w:pPr>
        <w:pStyle w:val="Funotentext"/>
      </w:pPr>
      <w:r>
        <w:rPr>
          <w:rStyle w:val="Funotenzeichen"/>
        </w:rPr>
        <w:footnoteRef/>
      </w:r>
      <w:r>
        <w:t xml:space="preserve"> Siehe: </w:t>
      </w:r>
      <w:hyperlink r:id="rId1833" w:history="1">
        <w:r w:rsidRPr="00276A71">
          <w:rPr>
            <w:rStyle w:val="Hyperlink"/>
          </w:rPr>
          <w:t>https://www.klimaschutzvertraege.info/thema/informationen_fuer_unternehmen_konkret</w:t>
        </w:r>
      </w:hyperlink>
      <w:r>
        <w:t xml:space="preserve"> - Zugegriffen: 19.03.2025.</w:t>
      </w:r>
    </w:p>
  </w:footnote>
  <w:footnote w:id="2503">
    <w:p w14:paraId="5A443813" w14:textId="77777777" w:rsidR="00F669A8" w:rsidRDefault="00F669A8" w:rsidP="00F669A8">
      <w:pPr>
        <w:pStyle w:val="Funotentext"/>
      </w:pPr>
      <w:r>
        <w:rPr>
          <w:rStyle w:val="Funotenzeichen"/>
        </w:rPr>
        <w:footnoteRef/>
      </w:r>
      <w:r>
        <w:t xml:space="preserve"> Julia Löhr, Jakob Krembzow. Milliarden für eine grüne Produktion, FAZ, 13.03.2024. Siehe, eine leicht andere Version, hier: </w:t>
      </w:r>
      <w:hyperlink r:id="rId1834" w:history="1">
        <w:r w:rsidRPr="001344B6">
          <w:rPr>
            <w:rStyle w:val="Hyperlink"/>
          </w:rPr>
          <w:t>https://www.faz.net/-iu4-bnoyy</w:t>
        </w:r>
      </w:hyperlink>
      <w:r>
        <w:t xml:space="preserve"> – Zugegriffen: 24.03.2024.</w:t>
      </w:r>
    </w:p>
  </w:footnote>
  <w:footnote w:id="2504">
    <w:p w14:paraId="5A54A6F1" w14:textId="77777777" w:rsidR="00EF471D" w:rsidRDefault="00EF471D" w:rsidP="00EF471D">
      <w:pPr>
        <w:pStyle w:val="Funotentext"/>
      </w:pPr>
      <w:r>
        <w:rPr>
          <w:rStyle w:val="Funotenzeichen"/>
        </w:rPr>
        <w:footnoteRef/>
      </w:r>
      <w:r>
        <w:t xml:space="preserve"> Siehe: </w:t>
      </w:r>
      <w:hyperlink r:id="rId1835" w:history="1">
        <w:r w:rsidRPr="007A4366">
          <w:rPr>
            <w:rStyle w:val="Hyperlink"/>
          </w:rPr>
          <w:t>https://www.klimaschutzvertraege.info/news/notifizierung-bruessel-europaeische-kommission-zweites-gebotsverfahren-klimaschutzvertraege</w:t>
        </w:r>
      </w:hyperlink>
      <w:r>
        <w:t xml:space="preserve"> - Zugegriffen: 12.06.2025. </w:t>
      </w:r>
    </w:p>
  </w:footnote>
  <w:footnote w:id="2505">
    <w:p w14:paraId="06280846" w14:textId="77777777" w:rsidR="00F669A8" w:rsidRDefault="00F669A8" w:rsidP="00F669A8">
      <w:pPr>
        <w:pStyle w:val="Funotentext"/>
      </w:pPr>
      <w:r>
        <w:rPr>
          <w:rStyle w:val="Funotenzeichen"/>
        </w:rPr>
        <w:footnoteRef/>
      </w:r>
      <w:r>
        <w:t xml:space="preserve"> Siehe die Webseite Klimaschutzverträge: </w:t>
      </w:r>
      <w:hyperlink r:id="rId1836" w:history="1">
        <w:r w:rsidRPr="00AC26BA">
          <w:rPr>
            <w:rStyle w:val="Hyperlink"/>
          </w:rPr>
          <w:t>https://www.klimaschutzvertraege.info/</w:t>
        </w:r>
      </w:hyperlink>
    </w:p>
  </w:footnote>
  <w:footnote w:id="2506">
    <w:p w14:paraId="292B7163" w14:textId="41AB3EE3" w:rsidR="00B66357" w:rsidRDefault="00B66357">
      <w:pPr>
        <w:pStyle w:val="Funotentext"/>
      </w:pPr>
      <w:r>
        <w:rPr>
          <w:rStyle w:val="Funotenzeichen"/>
        </w:rPr>
        <w:footnoteRef/>
      </w:r>
      <w:r>
        <w:t xml:space="preserve"> Siehe: </w:t>
      </w:r>
      <w:hyperlink r:id="rId1837" w:history="1">
        <w:r w:rsidRPr="00E10A02">
          <w:rPr>
            <w:rStyle w:val="Hyperlink"/>
          </w:rPr>
          <w:t>https://www.zdfheute.de/politik/deutschland/klimawandel-schutz-transformationsfonds-sondervermoegen-milliarden-100.html</w:t>
        </w:r>
      </w:hyperlink>
      <w:r>
        <w:t xml:space="preserve"> - Zugegriffen: 14.06.2025.</w:t>
      </w:r>
    </w:p>
  </w:footnote>
  <w:footnote w:id="2507">
    <w:p w14:paraId="33DFFE28" w14:textId="131740E5" w:rsidR="005C5561" w:rsidRDefault="005C5561">
      <w:pPr>
        <w:pStyle w:val="Funotentext"/>
      </w:pPr>
      <w:r>
        <w:rPr>
          <w:rStyle w:val="Funotenzeichen"/>
        </w:rPr>
        <w:footnoteRef/>
      </w:r>
      <w:r>
        <w:t xml:space="preserve"> Siehe: </w:t>
      </w:r>
      <w:hyperlink r:id="rId1838" w:history="1">
        <w:r w:rsidRPr="007A4366">
          <w:rPr>
            <w:rStyle w:val="Hyperlink"/>
          </w:rPr>
          <w:t>https://www.svp.de/steamcracker-das-herz-des-chemieparks-wird-elektrisch/</w:t>
        </w:r>
      </w:hyperlink>
      <w:r>
        <w:t xml:space="preserve"> - Zugegriffen: 12.06.2025. </w:t>
      </w:r>
    </w:p>
  </w:footnote>
  <w:footnote w:id="2508">
    <w:p w14:paraId="6ECC29B5" w14:textId="6805AA51" w:rsidR="005C5561" w:rsidRDefault="005C5561">
      <w:pPr>
        <w:pStyle w:val="Funotentext"/>
      </w:pPr>
      <w:r>
        <w:rPr>
          <w:rStyle w:val="Funotenzeichen"/>
        </w:rPr>
        <w:footnoteRef/>
      </w:r>
      <w:r>
        <w:t xml:space="preserve"> Siehe: </w:t>
      </w:r>
      <w:hyperlink r:id="rId1839" w:history="1">
        <w:r w:rsidRPr="007A4366">
          <w:rPr>
            <w:rStyle w:val="Hyperlink"/>
          </w:rPr>
          <w:t>https://www.vdz-online.de/zementindustrie/zahlen-und-daten/zementindustrie-in-deutschland</w:t>
        </w:r>
      </w:hyperlink>
      <w:r>
        <w:t xml:space="preserve"> - Zugegriffen: 12.06.2025. </w:t>
      </w:r>
    </w:p>
  </w:footnote>
  <w:footnote w:id="2509">
    <w:p w14:paraId="162BDF79" w14:textId="77777777" w:rsidR="005C5561" w:rsidRDefault="005C5561" w:rsidP="005C5561">
      <w:pPr>
        <w:pStyle w:val="Funotentext"/>
      </w:pPr>
      <w:r>
        <w:rPr>
          <w:rStyle w:val="Funotenzeichen"/>
        </w:rPr>
        <w:footnoteRef/>
      </w:r>
      <w:r>
        <w:t xml:space="preserve"> Siehe: </w:t>
      </w:r>
      <w:hyperlink r:id="rId1840" w:history="1">
        <w:r w:rsidRPr="00B65313">
          <w:rPr>
            <w:rStyle w:val="Hyperlink"/>
          </w:rPr>
          <w:t>https://www.klimaschutzvertraege.info/news/grosses_interesse_an_ksv</w:t>
        </w:r>
      </w:hyperlink>
      <w:r w:rsidRPr="00F26135">
        <w:t xml:space="preserve"> </w:t>
      </w:r>
      <w:r>
        <w:t xml:space="preserve">– Zugegriffen: 19.07.2024. Siehe auch: Hohes Interesse an </w:t>
      </w:r>
      <w:proofErr w:type="spellStart"/>
      <w:r>
        <w:t>Kimaschutzprojekten</w:t>
      </w:r>
      <w:proofErr w:type="spellEnd"/>
      <w:r>
        <w:t xml:space="preserve">. FAZ, 15.07.2024. </w:t>
      </w:r>
    </w:p>
  </w:footnote>
  <w:footnote w:id="2510">
    <w:p w14:paraId="2C28DBBB" w14:textId="77777777" w:rsidR="005C5561" w:rsidRDefault="005C5561" w:rsidP="005C5561">
      <w:pPr>
        <w:pStyle w:val="Funotentext"/>
      </w:pPr>
      <w:r>
        <w:rPr>
          <w:rStyle w:val="Funotenzeichen"/>
        </w:rPr>
        <w:footnoteRef/>
      </w:r>
      <w:r>
        <w:t xml:space="preserve"> BASF SE, DREWSEN SPEZIALPAPIERE GmbH &amp; Co. KG, H&amp;R Chemisch-Pharmazeutische Spezialitäten GmbH, Kimberley-Clark GmbH, Knauf </w:t>
      </w:r>
      <w:proofErr w:type="spellStart"/>
      <w:r>
        <w:t>Insulation</w:t>
      </w:r>
      <w:proofErr w:type="spellEnd"/>
      <w:r>
        <w:t xml:space="preserve"> GmbH, Nordenham Metall GmbH, Papierfabrik Adolf Jass GmbH &amp; Co. KG, Saint-Gobain Glass Deutschland GmbH, </w:t>
      </w:r>
      <w:r w:rsidRPr="006C36CD">
        <w:t>Saint-Gobain ISOVER G+H AG</w:t>
      </w:r>
      <w:r>
        <w:t xml:space="preserve">, Schmiedewerke Gröditz GmbH, Schumacher Packaging GmbH, Südzucker AG, tesa Werk Hamburg GmbH, Wienerberger GmbH, Ziegel- und Klinkerwerke </w:t>
      </w:r>
      <w:proofErr w:type="spellStart"/>
      <w:r>
        <w:t>Janinhoff</w:t>
      </w:r>
      <w:proofErr w:type="spellEnd"/>
      <w:r>
        <w:t xml:space="preserve"> GmbH &amp; Co. KG. Siehe: </w:t>
      </w:r>
      <w:hyperlink r:id="rId1841" w:history="1">
        <w:r w:rsidRPr="00BB293A">
          <w:rPr>
            <w:rStyle w:val="Hyperlink"/>
          </w:rPr>
          <w:t>https://www.klimaschutzvertraege.info/news/habeck_ueberreicht_klimaschutzvertraege</w:t>
        </w:r>
      </w:hyperlink>
      <w:r>
        <w:t xml:space="preserve"> - Zugegriffen: 23.10.2024. </w:t>
      </w:r>
    </w:p>
  </w:footnote>
  <w:footnote w:id="2511">
    <w:p w14:paraId="3682664E" w14:textId="77777777" w:rsidR="005C5561" w:rsidRDefault="005C5561" w:rsidP="005C5561">
      <w:pPr>
        <w:pStyle w:val="Funotentext"/>
      </w:pPr>
      <w:r>
        <w:rPr>
          <w:rStyle w:val="Funotenzeichen"/>
        </w:rPr>
        <w:footnoteRef/>
      </w:r>
      <w:r>
        <w:t xml:space="preserve"> Julia Löhr. Habecks gewagte Klima-Wette. FAZ, 16.10.2024. </w:t>
      </w:r>
    </w:p>
  </w:footnote>
  <w:footnote w:id="2512">
    <w:p w14:paraId="439BA237" w14:textId="77777777" w:rsidR="005C5561" w:rsidRDefault="005C5561" w:rsidP="005C5561">
      <w:pPr>
        <w:pStyle w:val="Funotentext"/>
      </w:pPr>
      <w:r>
        <w:rPr>
          <w:rStyle w:val="Funotenzeichen"/>
        </w:rPr>
        <w:footnoteRef/>
      </w:r>
      <w:r>
        <w:t xml:space="preserve"> Siehe: </w:t>
      </w:r>
      <w:hyperlink r:id="rId1842" w:history="1">
        <w:r w:rsidRPr="00BB293A">
          <w:rPr>
            <w:rStyle w:val="Hyperlink"/>
          </w:rPr>
          <w:t>https://www.die-bbh-gruppe.de/de/aktuelles/news/360-mio-euro-fuer-die-dekarbonisierung-industrieller-prozesse-die-bbh-gruppe-begleitet-glencore-nordenham-erfolgreich-bei-ihrem-foerderantrag-klimaschutzvertraege</w:t>
        </w:r>
      </w:hyperlink>
      <w:r>
        <w:t xml:space="preserve"> – siehe weiterhin: </w:t>
      </w:r>
      <w:hyperlink r:id="rId1843" w:history="1">
        <w:r w:rsidRPr="00BB293A">
          <w:rPr>
            <w:rStyle w:val="Hyperlink"/>
          </w:rPr>
          <w:t>https://www.mw.niedersachsen.de/startseite/uber_uns/presse/presseinformationen/glencore-nordenham-erhalt-rund-360-millionen-euro-im-rahmen-des-bundesforderprogramms-klimaschutzvertrage-236450.html</w:t>
        </w:r>
      </w:hyperlink>
      <w:r>
        <w:t xml:space="preserve"> - Zugegriffen: 23.10.2024. </w:t>
      </w:r>
    </w:p>
  </w:footnote>
  <w:footnote w:id="2513">
    <w:p w14:paraId="44AAF6B1" w14:textId="77777777" w:rsidR="005C5561" w:rsidRDefault="005C5561" w:rsidP="005C5561">
      <w:pPr>
        <w:pStyle w:val="Funotentext"/>
      </w:pPr>
      <w:r>
        <w:rPr>
          <w:rStyle w:val="Funotenzeichen"/>
        </w:rPr>
        <w:footnoteRef/>
      </w:r>
      <w:r>
        <w:t xml:space="preserve"> Siehe: </w:t>
      </w:r>
      <w:hyperlink r:id="rId1844" w:history="1">
        <w:r w:rsidRPr="00BB293A">
          <w:rPr>
            <w:rStyle w:val="Hyperlink"/>
          </w:rPr>
          <w:t>https://www.kunststoffe.de/a/news/habeck-ueberreicht-basf-klimaschutzvertr-6205260</w:t>
        </w:r>
      </w:hyperlink>
      <w:r>
        <w:t xml:space="preserve"> - Zugegriffen: 23.10.2024. </w:t>
      </w:r>
    </w:p>
  </w:footnote>
  <w:footnote w:id="2514">
    <w:p w14:paraId="6DC6AE8D" w14:textId="77777777" w:rsidR="005C5561" w:rsidRDefault="005C5561" w:rsidP="005C5561">
      <w:pPr>
        <w:pStyle w:val="Funotentext"/>
      </w:pPr>
      <w:r>
        <w:rPr>
          <w:rStyle w:val="Funotenzeichen"/>
        </w:rPr>
        <w:footnoteRef/>
      </w:r>
      <w:r>
        <w:t xml:space="preserve"> Siehe: </w:t>
      </w:r>
      <w:hyperlink r:id="rId1845" w:history="1">
        <w:r w:rsidRPr="00BB293A">
          <w:rPr>
            <w:rStyle w:val="Hyperlink"/>
          </w:rPr>
          <w:t>https://www.energie-kreis-meissen.de/index.php?object=tx,3837.5.1&amp;ModID=7&amp;FID=3837.94.1</w:t>
        </w:r>
      </w:hyperlink>
      <w:r>
        <w:t xml:space="preserve"> – Zugegriffen: 23.10.2024. </w:t>
      </w:r>
    </w:p>
  </w:footnote>
  <w:footnote w:id="2515">
    <w:p w14:paraId="7A2357A6" w14:textId="77777777" w:rsidR="005C5561" w:rsidRDefault="005C5561" w:rsidP="005C5561">
      <w:pPr>
        <w:pStyle w:val="Funotentext"/>
      </w:pPr>
      <w:r>
        <w:rPr>
          <w:rStyle w:val="Funotenzeichen"/>
        </w:rPr>
        <w:footnoteRef/>
      </w:r>
      <w:r>
        <w:t xml:space="preserve"> Siehe: </w:t>
      </w:r>
      <w:hyperlink r:id="rId1846" w:history="1">
        <w:r w:rsidRPr="00BB293A">
          <w:rPr>
            <w:rStyle w:val="Hyperlink"/>
          </w:rPr>
          <w:t>https://www.gmh-gruppe.de/pressemitteilungen/schmiedewerke-groeditz-gmbh-weiht-hochmodernen-schmiedeofen-ein/</w:t>
        </w:r>
      </w:hyperlink>
      <w:r>
        <w:t xml:space="preserve"> - Zugegriffen: 23.10.2024. </w:t>
      </w:r>
    </w:p>
  </w:footnote>
  <w:footnote w:id="2516">
    <w:p w14:paraId="38E66208" w14:textId="77777777" w:rsidR="005C5561" w:rsidRDefault="005C5561" w:rsidP="005C5561">
      <w:pPr>
        <w:pStyle w:val="Funotentext"/>
      </w:pPr>
      <w:r>
        <w:rPr>
          <w:rStyle w:val="Funotenzeichen"/>
        </w:rPr>
        <w:footnoteRef/>
      </w:r>
      <w:r>
        <w:t xml:space="preserve"> Siehe: </w:t>
      </w:r>
      <w:hyperlink r:id="rId1847" w:history="1">
        <w:r w:rsidRPr="00BB293A">
          <w:rPr>
            <w:rStyle w:val="Hyperlink"/>
          </w:rPr>
          <w:t>https://weser-ems-wirtschaft.de/index.php/2024/10/17/statement-von-ihk-geschaeftsbereichsleiterin-anke-schweda-zum-klimaschutzvertrag-fuer-die-hr-chemisch-pharmazeutische-spezialitaeten-gmbh-aus-salzber/</w:t>
        </w:r>
      </w:hyperlink>
      <w:r>
        <w:t xml:space="preserve"> - Zugegriffen: 23.10.2024. </w:t>
      </w:r>
    </w:p>
  </w:footnote>
  <w:footnote w:id="2517">
    <w:p w14:paraId="794BA7F1" w14:textId="77777777" w:rsidR="005C5561" w:rsidRDefault="005C5561" w:rsidP="005C5561">
      <w:pPr>
        <w:pStyle w:val="Funotentext"/>
      </w:pPr>
      <w:r>
        <w:rPr>
          <w:rStyle w:val="Funotenzeichen"/>
        </w:rPr>
        <w:footnoteRef/>
      </w:r>
      <w:r>
        <w:t xml:space="preserve"> Siehe: </w:t>
      </w:r>
      <w:hyperlink r:id="rId1848" w:history="1">
        <w:r w:rsidRPr="00BB293A">
          <w:rPr>
            <w:rStyle w:val="Hyperlink"/>
          </w:rPr>
          <w:t>https://www.wn.de/muenster/ziegelwerk-janinhoff-wasserstoff-umstieg-foerderung-habeck-3169735?pid=true&amp;npg</w:t>
        </w:r>
      </w:hyperlink>
      <w:r>
        <w:t xml:space="preserve"> – Zugegriffen: 23.10.2024. </w:t>
      </w:r>
    </w:p>
  </w:footnote>
  <w:footnote w:id="2518">
    <w:p w14:paraId="6676BCFD" w14:textId="77777777" w:rsidR="005C5561" w:rsidRDefault="005C5561" w:rsidP="005C5561">
      <w:pPr>
        <w:pStyle w:val="Funotentext"/>
      </w:pPr>
      <w:r>
        <w:rPr>
          <w:rStyle w:val="Funotenzeichen"/>
        </w:rPr>
        <w:footnoteRef/>
      </w:r>
      <w:r>
        <w:t xml:space="preserve"> Siehe: </w:t>
      </w:r>
      <w:hyperlink r:id="rId1849" w:history="1">
        <w:r w:rsidRPr="00BB293A">
          <w:rPr>
            <w:rStyle w:val="Hyperlink"/>
          </w:rPr>
          <w:t>https://www.tagesschau.de/inland/innenpolitik/klimaschutz-industrie-habeck-100.html</w:t>
        </w:r>
      </w:hyperlink>
      <w:r>
        <w:t xml:space="preserve"> - siehe auch: </w:t>
      </w:r>
      <w:hyperlink r:id="rId1850" w:history="1">
        <w:r w:rsidRPr="00BB293A">
          <w:rPr>
            <w:rStyle w:val="Hyperlink"/>
          </w:rPr>
          <w:t>https://www.wienerberger.de/informationen/wand/klimaneutrale_ziegel.html</w:t>
        </w:r>
      </w:hyperlink>
      <w:r>
        <w:t xml:space="preserve"> - Zugegriffen: 23.10.2024. </w:t>
      </w:r>
    </w:p>
  </w:footnote>
  <w:footnote w:id="2519">
    <w:p w14:paraId="743D1A3C" w14:textId="77777777" w:rsidR="005C5561" w:rsidRDefault="005C5561" w:rsidP="005C5561">
      <w:pPr>
        <w:pStyle w:val="Funotentext"/>
      </w:pPr>
      <w:r>
        <w:rPr>
          <w:rStyle w:val="Funotenzeichen"/>
        </w:rPr>
        <w:footnoteRef/>
      </w:r>
      <w:r>
        <w:t xml:space="preserve"> Siehe: </w:t>
      </w:r>
      <w:hyperlink r:id="rId1851" w:history="1">
        <w:r w:rsidRPr="00BB293A">
          <w:rPr>
            <w:rStyle w:val="Hyperlink"/>
          </w:rPr>
          <w:t>https://www.architekturblatt.de/bundeswirtschaftsminister-robert-habeck-uebergibt-klimaschutzvertrag-an-isover-und-saint-gobain-glass/</w:t>
        </w:r>
      </w:hyperlink>
      <w:r>
        <w:t xml:space="preserve"> - Zugegriffen: 23.10.2024. </w:t>
      </w:r>
    </w:p>
  </w:footnote>
  <w:footnote w:id="2520">
    <w:p w14:paraId="67247850" w14:textId="77777777" w:rsidR="005C5561" w:rsidRDefault="005C5561" w:rsidP="005C5561">
      <w:pPr>
        <w:pStyle w:val="Funotentext"/>
      </w:pPr>
      <w:r>
        <w:rPr>
          <w:rStyle w:val="Funotenzeichen"/>
        </w:rPr>
        <w:footnoteRef/>
      </w:r>
      <w:r>
        <w:t xml:space="preserve"> Siehe: </w:t>
      </w:r>
      <w:hyperlink r:id="rId1852" w:history="1">
        <w:r w:rsidRPr="00BB293A">
          <w:rPr>
            <w:rStyle w:val="Hyperlink"/>
          </w:rPr>
          <w:t>https://www.flexotiefdruck.de/oekologie-nachhaltigkeit/schumacher-packaging-auf-dem-weg-zur-klimaneutralitaet/</w:t>
        </w:r>
      </w:hyperlink>
      <w:r>
        <w:t xml:space="preserve"> - Zugegriffen: 23.10.2024. </w:t>
      </w:r>
    </w:p>
  </w:footnote>
  <w:footnote w:id="2521">
    <w:p w14:paraId="7D289377" w14:textId="77777777" w:rsidR="005C5561" w:rsidRDefault="005C5561" w:rsidP="005C5561">
      <w:pPr>
        <w:pStyle w:val="Funotentext"/>
      </w:pPr>
      <w:r>
        <w:rPr>
          <w:rStyle w:val="Funotenzeichen"/>
        </w:rPr>
        <w:footnoteRef/>
      </w:r>
      <w:r>
        <w:t xml:space="preserve"> Siehe: </w:t>
      </w:r>
      <w:hyperlink r:id="rId1853" w:history="1">
        <w:r w:rsidRPr="00BB293A">
          <w:rPr>
            <w:rStyle w:val="Hyperlink"/>
          </w:rPr>
          <w:t>https://www.flexotiefdruck.de/menschen-maerkte/bundeswirtschaftsminister-robert-habeck-uebergibt-klimaschutzvertrag-an-schumacher-packaging/</w:t>
        </w:r>
      </w:hyperlink>
      <w:r>
        <w:t xml:space="preserve"> - Zugegriffen: 23.10.2024. </w:t>
      </w:r>
    </w:p>
  </w:footnote>
  <w:footnote w:id="2522">
    <w:p w14:paraId="18AE267B" w14:textId="77777777" w:rsidR="005C5561" w:rsidRDefault="005C5561" w:rsidP="005C5561">
      <w:pPr>
        <w:pStyle w:val="Funotentext"/>
      </w:pPr>
      <w:r>
        <w:rPr>
          <w:rStyle w:val="Funotenzeichen"/>
        </w:rPr>
        <w:footnoteRef/>
      </w:r>
      <w:r>
        <w:t xml:space="preserve"> Siehe: </w:t>
      </w:r>
      <w:hyperlink r:id="rId1854" w:history="1">
        <w:r w:rsidRPr="00BB293A">
          <w:rPr>
            <w:rStyle w:val="Hyperlink"/>
          </w:rPr>
          <w:t>https://www.tesa.com/de-de/ueber-uns/press-insights/presse/nachhaltigere-produktion-tesa-setzt-auf-gruenen-wasserstoff-fuer-eine-klimaneutrale-zukunft.html</w:t>
        </w:r>
      </w:hyperlink>
      <w:r>
        <w:t xml:space="preserve"> - Zugegriffen: 23.10.2024. </w:t>
      </w:r>
    </w:p>
  </w:footnote>
  <w:footnote w:id="2523">
    <w:p w14:paraId="53CF9CDE" w14:textId="77777777" w:rsidR="00491F72" w:rsidRDefault="00491F72" w:rsidP="00491F72">
      <w:pPr>
        <w:pStyle w:val="Funotentext"/>
      </w:pPr>
      <w:r>
        <w:rPr>
          <w:rStyle w:val="Funotenzeichen"/>
        </w:rPr>
        <w:footnoteRef/>
      </w:r>
      <w:r>
        <w:t xml:space="preserve"> Hier wurden die Werke an einem Ort zusammengeschrieben, in der Tabelle vom WWF sind die Werksteile getrennt verzeichnet. WWF 2023: 12-14.</w:t>
      </w:r>
    </w:p>
  </w:footnote>
  <w:footnote w:id="2524">
    <w:p w14:paraId="5EC1CDDC" w14:textId="77777777" w:rsidR="00491F72" w:rsidRDefault="00491F72" w:rsidP="00491F72">
      <w:pPr>
        <w:pStyle w:val="Funotentext"/>
      </w:pPr>
      <w:r>
        <w:rPr>
          <w:rStyle w:val="Funotenzeichen"/>
        </w:rPr>
        <w:footnoteRef/>
      </w:r>
      <w:r>
        <w:t xml:space="preserve"> Emissionen in Deutschland, siehe dazu die </w:t>
      </w:r>
      <w:r w:rsidRPr="00DE23BC">
        <w:t xml:space="preserve">Excel-Tabelle des Bundesumweltamtes. Emissionsübersichten nach Sektoren des Klimaschutzgesetzes 1990-2020. Datum: 15.03.2023. Quelle: </w:t>
      </w:r>
      <w:hyperlink r:id="rId1855" w:history="1">
        <w:r w:rsidRPr="00DE23BC">
          <w:rPr>
            <w:rStyle w:val="Hyperlink"/>
          </w:rPr>
          <w:t>https://www.umweltbundesamt.de/presse/pressemitteilungen/uba-prognose-treibhausgasemissionen-sanken-2022-um</w:t>
        </w:r>
      </w:hyperlink>
      <w:r w:rsidRPr="00DE23BC">
        <w:t xml:space="preserve"> - Zugegriffen: 16.10.2023.</w:t>
      </w:r>
      <w:r>
        <w:t xml:space="preserve"> Es gibt dort nun eine neue Excel Tabelle mit leicht geänderten Werten.</w:t>
      </w:r>
    </w:p>
  </w:footnote>
  <w:footnote w:id="2525">
    <w:p w14:paraId="6EB6A7A8" w14:textId="77777777" w:rsidR="00716E09" w:rsidRDefault="00716E09" w:rsidP="00716E09">
      <w:pPr>
        <w:pStyle w:val="Funotentext"/>
      </w:pPr>
      <w:r>
        <w:rPr>
          <w:rStyle w:val="Funotenzeichen"/>
        </w:rPr>
        <w:footnoteRef/>
      </w:r>
      <w:r>
        <w:t xml:space="preserve"> Siehe: </w:t>
      </w:r>
      <w:hyperlink r:id="rId1856" w:history="1">
        <w:r w:rsidRPr="00E92795">
          <w:rPr>
            <w:rStyle w:val="Hyperlink"/>
          </w:rPr>
          <w:t>https://www.h2-global.de/post/900-million-eur-market-ramp-up-green-hydrogen</w:t>
        </w:r>
      </w:hyperlink>
      <w:r>
        <w:t xml:space="preserve"> - Zugegriffen: 22.12.2023. </w:t>
      </w:r>
    </w:p>
  </w:footnote>
  <w:footnote w:id="2526">
    <w:p w14:paraId="3762AA42" w14:textId="77777777" w:rsidR="009408FC" w:rsidRDefault="009408FC" w:rsidP="009408FC">
      <w:pPr>
        <w:pStyle w:val="Funotentext"/>
      </w:pPr>
      <w:r>
        <w:rPr>
          <w:rStyle w:val="Funotenzeichen"/>
        </w:rPr>
        <w:footnoteRef/>
      </w:r>
      <w:r>
        <w:t xml:space="preserve"> Vertrag für Wasserstoff. FAZ, 12.07.2024. </w:t>
      </w:r>
    </w:p>
  </w:footnote>
  <w:footnote w:id="2527">
    <w:p w14:paraId="335F8BB9" w14:textId="77777777" w:rsidR="00D03354" w:rsidRDefault="00D03354" w:rsidP="00D03354">
      <w:pPr>
        <w:pStyle w:val="Funotentext"/>
      </w:pPr>
      <w:r>
        <w:rPr>
          <w:rStyle w:val="Funotenzeichen"/>
        </w:rPr>
        <w:footnoteRef/>
      </w:r>
      <w:r>
        <w:t xml:space="preserve"> Siehe: </w:t>
      </w:r>
      <w:hyperlink r:id="rId1857" w:history="1">
        <w:r w:rsidRPr="00DC0190">
          <w:rPr>
            <w:rStyle w:val="Hyperlink"/>
          </w:rPr>
          <w:t>https://www.sefe-energy.eu/blog/detail/wasserstoffbedarf-waechst-erzeugung-und-import-heute-und-morgen.html</w:t>
        </w:r>
      </w:hyperlink>
      <w:r>
        <w:t xml:space="preserve"> - Zugegriffen: 06.02.2025.</w:t>
      </w:r>
    </w:p>
  </w:footnote>
  <w:footnote w:id="2528">
    <w:p w14:paraId="1FF2D317" w14:textId="77777777" w:rsidR="0045071F" w:rsidRDefault="0045071F" w:rsidP="0045071F">
      <w:pPr>
        <w:pStyle w:val="Funotentext"/>
      </w:pPr>
      <w:r>
        <w:rPr>
          <w:rStyle w:val="Funotenzeichen"/>
        </w:rPr>
        <w:footnoteRef/>
      </w:r>
      <w:r>
        <w:t xml:space="preserve"> Siehe: </w:t>
      </w:r>
      <w:hyperlink r:id="rId1858" w:history="1">
        <w:r w:rsidRPr="00E936A8">
          <w:rPr>
            <w:rStyle w:val="Hyperlink"/>
          </w:rPr>
          <w:t>https://geo.om/</w:t>
        </w:r>
      </w:hyperlink>
    </w:p>
  </w:footnote>
  <w:footnote w:id="2529">
    <w:p w14:paraId="745F5F06" w14:textId="77777777" w:rsidR="00AA0EC2" w:rsidRDefault="00AA0EC2" w:rsidP="00AA0EC2">
      <w:pPr>
        <w:pStyle w:val="Funotentext"/>
      </w:pPr>
      <w:r>
        <w:rPr>
          <w:rStyle w:val="Funotenzeichen"/>
        </w:rPr>
        <w:footnoteRef/>
      </w:r>
      <w:r>
        <w:t xml:space="preserve"> Siehe: </w:t>
      </w:r>
      <w:hyperlink r:id="rId1859" w:history="1">
        <w:r w:rsidRPr="00FD1CE6">
          <w:rPr>
            <w:rStyle w:val="Hyperlink"/>
          </w:rPr>
          <w:t>https://geo.om/news-details-03.php</w:t>
        </w:r>
      </w:hyperlink>
      <w:r>
        <w:t xml:space="preserve"> - Zugegriffen: 23.01.2025. </w:t>
      </w:r>
    </w:p>
  </w:footnote>
  <w:footnote w:id="2530">
    <w:p w14:paraId="4A6D99F7" w14:textId="77777777" w:rsidR="002D7959" w:rsidRPr="008176B5" w:rsidRDefault="002D7959" w:rsidP="002D7959">
      <w:pPr>
        <w:pStyle w:val="Funotentext"/>
      </w:pPr>
      <w:r>
        <w:rPr>
          <w:rStyle w:val="Funotenzeichen"/>
        </w:rPr>
        <w:footnoteRef/>
      </w:r>
      <w:r w:rsidRPr="008176B5">
        <w:t xml:space="preserve"> Smil 2022: 29.</w:t>
      </w:r>
    </w:p>
  </w:footnote>
  <w:footnote w:id="2531">
    <w:p w14:paraId="7ACAB832" w14:textId="36E92748" w:rsidR="002D7959" w:rsidRDefault="002D7959" w:rsidP="002D7959">
      <w:pPr>
        <w:pStyle w:val="Funotentext"/>
      </w:pPr>
      <w:r>
        <w:rPr>
          <w:rStyle w:val="Funotenzeichen"/>
        </w:rPr>
        <w:footnoteRef/>
      </w:r>
      <w:r>
        <w:t xml:space="preserve"> ChatGPT. Wie viel kostet ein Kohlekraftwerk. Soweit ich mich erinnere, habe ich anderswo noch niedrigere Preise für ein Kraftwerk gebunden z.B. 600 Mill. Euro/US$.</w:t>
      </w:r>
    </w:p>
  </w:footnote>
  <w:footnote w:id="2532">
    <w:p w14:paraId="5776E391" w14:textId="77777777" w:rsidR="002D7959" w:rsidRDefault="002D7959" w:rsidP="002D7959">
      <w:pPr>
        <w:pStyle w:val="Funotentext"/>
      </w:pPr>
      <w:r>
        <w:rPr>
          <w:rStyle w:val="Funotenzeichen"/>
        </w:rPr>
        <w:footnoteRef/>
      </w:r>
      <w:r>
        <w:t xml:space="preserve"> 10 neue Reaktoren möchte China im Jahr 2025 bauen. China baut weitere Reaktoren. FAZ, 30.04.2025. </w:t>
      </w:r>
    </w:p>
  </w:footnote>
  <w:footnote w:id="2533">
    <w:p w14:paraId="2EB99F0F" w14:textId="61DFFC0F" w:rsidR="00CC0BB8" w:rsidRDefault="00CC0BB8">
      <w:pPr>
        <w:pStyle w:val="Funotentext"/>
      </w:pPr>
      <w:r>
        <w:rPr>
          <w:rStyle w:val="Funotenzeichen"/>
        </w:rPr>
        <w:footnoteRef/>
      </w:r>
      <w:r>
        <w:t xml:space="preserve"> </w:t>
      </w:r>
      <w:r w:rsidRPr="00CC0BB8">
        <w:t xml:space="preserve">Bei Kohlekraftwerken und Kernkraftwerken kommt der Brennstoff noch hinzu, aber meist kommt Kohle direkt auf Bändern dem Tagebau, wie in </w:t>
      </w:r>
      <w:proofErr w:type="spellStart"/>
      <w:r w:rsidRPr="00CC0BB8">
        <w:t>Inden</w:t>
      </w:r>
      <w:proofErr w:type="spellEnd"/>
      <w:r w:rsidRPr="00CC0BB8">
        <w:t xml:space="preserve"> oder in Fabrikzügen über kurze Distanz, wie vom Tagebau Hambach nach Niederaußem oder wird sogar ebenerdig abgebaut, wie in China in der Shanxi Provinz (habe ich mit eigenen Augen gesehen). Braunkohle hat dann letztlich gar keinen Preis, außer den Betriebskosten, so kann man niedrige Strompreise erreichen.</w:t>
      </w:r>
    </w:p>
  </w:footnote>
  <w:footnote w:id="2534">
    <w:p w14:paraId="5C10D48F" w14:textId="44F5AC42" w:rsidR="00184DA5" w:rsidRDefault="00184DA5">
      <w:pPr>
        <w:pStyle w:val="Funotentext"/>
      </w:pPr>
      <w:r>
        <w:rPr>
          <w:rStyle w:val="Funotenzeichen"/>
        </w:rPr>
        <w:footnoteRef/>
      </w:r>
      <w:r>
        <w:t xml:space="preserve"> </w:t>
      </w:r>
      <w:r w:rsidR="000F41EB">
        <w:t>Siehe: Winand von Petersdorff-Campen. Die Welt schwimmt bald wieder in Öl. FAZ, 29.10.2024.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83976"/>
    <w:multiLevelType w:val="hybridMultilevel"/>
    <w:tmpl w:val="78607676"/>
    <w:lvl w:ilvl="0" w:tplc="0407000F">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B45D08"/>
    <w:multiLevelType w:val="hybridMultilevel"/>
    <w:tmpl w:val="D5024A5E"/>
    <w:lvl w:ilvl="0" w:tplc="1A0E136E">
      <w:start w:val="4000"/>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527BAF"/>
    <w:multiLevelType w:val="hybridMultilevel"/>
    <w:tmpl w:val="5B5C57E2"/>
    <w:lvl w:ilvl="0" w:tplc="0407000F">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CB24D10"/>
    <w:multiLevelType w:val="hybridMultilevel"/>
    <w:tmpl w:val="CD7C958C"/>
    <w:lvl w:ilvl="0" w:tplc="A4E8C254">
      <w:start w:val="2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BF11772"/>
    <w:multiLevelType w:val="hybridMultilevel"/>
    <w:tmpl w:val="57F60110"/>
    <w:lvl w:ilvl="0" w:tplc="8E16542A">
      <w:start w:val="53"/>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2EC7D27"/>
    <w:multiLevelType w:val="hybridMultilevel"/>
    <w:tmpl w:val="0C36F528"/>
    <w:lvl w:ilvl="0" w:tplc="09DA2CE0">
      <w:start w:val="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8E34E20"/>
    <w:multiLevelType w:val="hybridMultilevel"/>
    <w:tmpl w:val="783031A0"/>
    <w:lvl w:ilvl="0" w:tplc="55982E6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DAC569F"/>
    <w:multiLevelType w:val="hybridMultilevel"/>
    <w:tmpl w:val="4E629C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1A95DE0"/>
    <w:multiLevelType w:val="hybridMultilevel"/>
    <w:tmpl w:val="4140A75C"/>
    <w:lvl w:ilvl="0" w:tplc="D78835AA">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31E0181C"/>
    <w:multiLevelType w:val="hybridMultilevel"/>
    <w:tmpl w:val="83CA451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36612DD"/>
    <w:multiLevelType w:val="hybridMultilevel"/>
    <w:tmpl w:val="10AAA6E6"/>
    <w:lvl w:ilvl="0" w:tplc="474200DA">
      <w:start w:val="5"/>
      <w:numFmt w:val="bullet"/>
      <w:lvlText w:val="-"/>
      <w:lvlJc w:val="left"/>
      <w:pPr>
        <w:ind w:left="495" w:hanging="360"/>
      </w:pPr>
      <w:rPr>
        <w:rFonts w:ascii="Calibri" w:eastAsiaTheme="minorHAnsi" w:hAnsi="Calibri" w:cs="Calibri" w:hint="default"/>
      </w:rPr>
    </w:lvl>
    <w:lvl w:ilvl="1" w:tplc="04070003" w:tentative="1">
      <w:start w:val="1"/>
      <w:numFmt w:val="bullet"/>
      <w:lvlText w:val="o"/>
      <w:lvlJc w:val="left"/>
      <w:pPr>
        <w:ind w:left="1215" w:hanging="360"/>
      </w:pPr>
      <w:rPr>
        <w:rFonts w:ascii="Courier New" w:hAnsi="Courier New" w:cs="Courier New" w:hint="default"/>
      </w:rPr>
    </w:lvl>
    <w:lvl w:ilvl="2" w:tplc="04070005" w:tentative="1">
      <w:start w:val="1"/>
      <w:numFmt w:val="bullet"/>
      <w:lvlText w:val=""/>
      <w:lvlJc w:val="left"/>
      <w:pPr>
        <w:ind w:left="1935" w:hanging="360"/>
      </w:pPr>
      <w:rPr>
        <w:rFonts w:ascii="Wingdings" w:hAnsi="Wingdings" w:hint="default"/>
      </w:rPr>
    </w:lvl>
    <w:lvl w:ilvl="3" w:tplc="04070001" w:tentative="1">
      <w:start w:val="1"/>
      <w:numFmt w:val="bullet"/>
      <w:lvlText w:val=""/>
      <w:lvlJc w:val="left"/>
      <w:pPr>
        <w:ind w:left="2655" w:hanging="360"/>
      </w:pPr>
      <w:rPr>
        <w:rFonts w:ascii="Symbol" w:hAnsi="Symbol" w:hint="default"/>
      </w:rPr>
    </w:lvl>
    <w:lvl w:ilvl="4" w:tplc="04070003" w:tentative="1">
      <w:start w:val="1"/>
      <w:numFmt w:val="bullet"/>
      <w:lvlText w:val="o"/>
      <w:lvlJc w:val="left"/>
      <w:pPr>
        <w:ind w:left="3375" w:hanging="360"/>
      </w:pPr>
      <w:rPr>
        <w:rFonts w:ascii="Courier New" w:hAnsi="Courier New" w:cs="Courier New" w:hint="default"/>
      </w:rPr>
    </w:lvl>
    <w:lvl w:ilvl="5" w:tplc="04070005" w:tentative="1">
      <w:start w:val="1"/>
      <w:numFmt w:val="bullet"/>
      <w:lvlText w:val=""/>
      <w:lvlJc w:val="left"/>
      <w:pPr>
        <w:ind w:left="4095" w:hanging="360"/>
      </w:pPr>
      <w:rPr>
        <w:rFonts w:ascii="Wingdings" w:hAnsi="Wingdings" w:hint="default"/>
      </w:rPr>
    </w:lvl>
    <w:lvl w:ilvl="6" w:tplc="04070001" w:tentative="1">
      <w:start w:val="1"/>
      <w:numFmt w:val="bullet"/>
      <w:lvlText w:val=""/>
      <w:lvlJc w:val="left"/>
      <w:pPr>
        <w:ind w:left="4815" w:hanging="360"/>
      </w:pPr>
      <w:rPr>
        <w:rFonts w:ascii="Symbol" w:hAnsi="Symbol" w:hint="default"/>
      </w:rPr>
    </w:lvl>
    <w:lvl w:ilvl="7" w:tplc="04070003" w:tentative="1">
      <w:start w:val="1"/>
      <w:numFmt w:val="bullet"/>
      <w:lvlText w:val="o"/>
      <w:lvlJc w:val="left"/>
      <w:pPr>
        <w:ind w:left="5535" w:hanging="360"/>
      </w:pPr>
      <w:rPr>
        <w:rFonts w:ascii="Courier New" w:hAnsi="Courier New" w:cs="Courier New" w:hint="default"/>
      </w:rPr>
    </w:lvl>
    <w:lvl w:ilvl="8" w:tplc="04070005" w:tentative="1">
      <w:start w:val="1"/>
      <w:numFmt w:val="bullet"/>
      <w:lvlText w:val=""/>
      <w:lvlJc w:val="left"/>
      <w:pPr>
        <w:ind w:left="6255" w:hanging="360"/>
      </w:pPr>
      <w:rPr>
        <w:rFonts w:ascii="Wingdings" w:hAnsi="Wingdings" w:hint="default"/>
      </w:rPr>
    </w:lvl>
  </w:abstractNum>
  <w:abstractNum w:abstractNumId="11" w15:restartNumberingAfterBreak="0">
    <w:nsid w:val="34CF397F"/>
    <w:multiLevelType w:val="hybridMultilevel"/>
    <w:tmpl w:val="1652AFAC"/>
    <w:lvl w:ilvl="0" w:tplc="2A2C305E">
      <w:start w:val="1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7101223"/>
    <w:multiLevelType w:val="hybridMultilevel"/>
    <w:tmpl w:val="282443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B4B6B27"/>
    <w:multiLevelType w:val="hybridMultilevel"/>
    <w:tmpl w:val="028C1774"/>
    <w:lvl w:ilvl="0" w:tplc="30941CEC">
      <w:start w:val="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C2506DC"/>
    <w:multiLevelType w:val="hybridMultilevel"/>
    <w:tmpl w:val="A50681EA"/>
    <w:lvl w:ilvl="0" w:tplc="60C4966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F554F26"/>
    <w:multiLevelType w:val="hybridMultilevel"/>
    <w:tmpl w:val="BFAA6AB8"/>
    <w:lvl w:ilvl="0" w:tplc="E01882C2">
      <w:start w:val="1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1D0013C"/>
    <w:multiLevelType w:val="multilevel"/>
    <w:tmpl w:val="0D0CCFCA"/>
    <w:lvl w:ilvl="0">
      <w:start w:val="1"/>
      <w:numFmt w:val="decimal"/>
      <w:lvlText w:val="%1"/>
      <w:lvlJc w:val="left"/>
      <w:pPr>
        <w:ind w:left="1755" w:hanging="1755"/>
      </w:pPr>
      <w:rPr>
        <w:rFonts w:hint="default"/>
      </w:rPr>
    </w:lvl>
    <w:lvl w:ilvl="1">
      <w:numFmt w:val="decimalZero"/>
      <w:lvlText w:val="%1.%2"/>
      <w:lvlJc w:val="left"/>
      <w:pPr>
        <w:ind w:left="1755" w:hanging="1755"/>
      </w:pPr>
      <w:rPr>
        <w:rFonts w:hint="default"/>
      </w:rPr>
    </w:lvl>
    <w:lvl w:ilvl="2">
      <w:numFmt w:val="decimalZero"/>
      <w:lvlText w:val="%1.%2.%3"/>
      <w:lvlJc w:val="left"/>
      <w:pPr>
        <w:ind w:left="1755" w:hanging="1755"/>
      </w:pPr>
      <w:rPr>
        <w:rFonts w:hint="default"/>
      </w:rPr>
    </w:lvl>
    <w:lvl w:ilvl="3">
      <w:numFmt w:val="decimalZero"/>
      <w:lvlText w:val="%1.%2.%3.%4.0"/>
      <w:lvlJc w:val="left"/>
      <w:pPr>
        <w:ind w:left="1755" w:hanging="1755"/>
      </w:pPr>
      <w:rPr>
        <w:rFonts w:hint="default"/>
      </w:rPr>
    </w:lvl>
    <w:lvl w:ilvl="4">
      <w:start w:val="1"/>
      <w:numFmt w:val="decimalZero"/>
      <w:lvlText w:val="%1.%2.%3.%4.%5"/>
      <w:lvlJc w:val="left"/>
      <w:pPr>
        <w:ind w:left="1755" w:hanging="1755"/>
      </w:pPr>
      <w:rPr>
        <w:rFonts w:hint="default"/>
      </w:rPr>
    </w:lvl>
    <w:lvl w:ilvl="5">
      <w:start w:val="1"/>
      <w:numFmt w:val="decimal"/>
      <w:lvlText w:val="%1.%2.%3.%4.%5.%6"/>
      <w:lvlJc w:val="left"/>
      <w:pPr>
        <w:ind w:left="1755" w:hanging="1755"/>
      </w:pPr>
      <w:rPr>
        <w:rFonts w:hint="default"/>
      </w:rPr>
    </w:lvl>
    <w:lvl w:ilvl="6">
      <w:start w:val="1"/>
      <w:numFmt w:val="decimal"/>
      <w:lvlText w:val="%1.%2.%3.%4.%5.%6.%7"/>
      <w:lvlJc w:val="left"/>
      <w:pPr>
        <w:ind w:left="1755" w:hanging="1755"/>
      </w:pPr>
      <w:rPr>
        <w:rFonts w:hint="default"/>
      </w:rPr>
    </w:lvl>
    <w:lvl w:ilvl="7">
      <w:start w:val="1"/>
      <w:numFmt w:val="decimal"/>
      <w:lvlText w:val="%1.%2.%3.%4.%5.%6.%7.%8"/>
      <w:lvlJc w:val="left"/>
      <w:pPr>
        <w:ind w:left="1755" w:hanging="1755"/>
      </w:pPr>
      <w:rPr>
        <w:rFonts w:hint="default"/>
      </w:rPr>
    </w:lvl>
    <w:lvl w:ilvl="8">
      <w:start w:val="1"/>
      <w:numFmt w:val="decimal"/>
      <w:lvlText w:val="%1.%2.%3.%4.%5.%6.%7.%8.%9"/>
      <w:lvlJc w:val="left"/>
      <w:pPr>
        <w:ind w:left="1755" w:hanging="1755"/>
      </w:pPr>
      <w:rPr>
        <w:rFonts w:hint="default"/>
      </w:rPr>
    </w:lvl>
  </w:abstractNum>
  <w:abstractNum w:abstractNumId="17" w15:restartNumberingAfterBreak="0">
    <w:nsid w:val="46E04B53"/>
    <w:multiLevelType w:val="hybridMultilevel"/>
    <w:tmpl w:val="6F0A7200"/>
    <w:lvl w:ilvl="0" w:tplc="8F089884">
      <w:start w:val="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A6D02D2"/>
    <w:multiLevelType w:val="hybridMultilevel"/>
    <w:tmpl w:val="12BAE580"/>
    <w:lvl w:ilvl="0" w:tplc="2CCE3330">
      <w:start w:val="1"/>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C1D4405"/>
    <w:multiLevelType w:val="hybridMultilevel"/>
    <w:tmpl w:val="6EA4E394"/>
    <w:lvl w:ilvl="0" w:tplc="E312EADA">
      <w:start w:val="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EAB4DF4"/>
    <w:multiLevelType w:val="hybridMultilevel"/>
    <w:tmpl w:val="268E67FC"/>
    <w:lvl w:ilvl="0" w:tplc="4A10D782">
      <w:start w:val="1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4284F63"/>
    <w:multiLevelType w:val="hybridMultilevel"/>
    <w:tmpl w:val="5802D58A"/>
    <w:lvl w:ilvl="0" w:tplc="C0089AD4">
      <w:start w:val="50"/>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7536621"/>
    <w:multiLevelType w:val="hybridMultilevel"/>
    <w:tmpl w:val="B55C051C"/>
    <w:lvl w:ilvl="0" w:tplc="AE98886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81A2792"/>
    <w:multiLevelType w:val="hybridMultilevel"/>
    <w:tmpl w:val="10FE4D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D94470A"/>
    <w:multiLevelType w:val="hybridMultilevel"/>
    <w:tmpl w:val="3D46F634"/>
    <w:lvl w:ilvl="0" w:tplc="4E06A6D2">
      <w:start w:val="2500"/>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E330333"/>
    <w:multiLevelType w:val="hybridMultilevel"/>
    <w:tmpl w:val="91A4C95A"/>
    <w:lvl w:ilvl="0" w:tplc="C2D04A9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2A173F0"/>
    <w:multiLevelType w:val="hybridMultilevel"/>
    <w:tmpl w:val="A522913A"/>
    <w:lvl w:ilvl="0" w:tplc="8E746D32">
      <w:start w:val="9"/>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5B21EDD"/>
    <w:multiLevelType w:val="hybridMultilevel"/>
    <w:tmpl w:val="10E8F616"/>
    <w:lvl w:ilvl="0" w:tplc="ABFA1A44">
      <w:start w:val="1"/>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0762B04"/>
    <w:multiLevelType w:val="hybridMultilevel"/>
    <w:tmpl w:val="5EBCB77C"/>
    <w:lvl w:ilvl="0" w:tplc="9FBA1BD6">
      <w:start w:val="1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5BE5322"/>
    <w:multiLevelType w:val="hybridMultilevel"/>
    <w:tmpl w:val="E5187ED8"/>
    <w:lvl w:ilvl="0" w:tplc="08B69ECE">
      <w:start w:val="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AF71B0A"/>
    <w:multiLevelType w:val="hybridMultilevel"/>
    <w:tmpl w:val="455A0DF0"/>
    <w:lvl w:ilvl="0" w:tplc="C9208142">
      <w:start w:val="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D7B24CD"/>
    <w:multiLevelType w:val="hybridMultilevel"/>
    <w:tmpl w:val="FD9E60B8"/>
    <w:lvl w:ilvl="0" w:tplc="1C8432E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46068696">
    <w:abstractNumId w:val="4"/>
  </w:num>
  <w:num w:numId="2" w16cid:durableId="181015262">
    <w:abstractNumId w:val="23"/>
  </w:num>
  <w:num w:numId="3" w16cid:durableId="315455237">
    <w:abstractNumId w:val="26"/>
  </w:num>
  <w:num w:numId="4" w16cid:durableId="2035381897">
    <w:abstractNumId w:val="0"/>
  </w:num>
  <w:num w:numId="5" w16cid:durableId="1771925749">
    <w:abstractNumId w:val="2"/>
  </w:num>
  <w:num w:numId="6" w16cid:durableId="1422681949">
    <w:abstractNumId w:val="11"/>
  </w:num>
  <w:num w:numId="7" w16cid:durableId="1674137537">
    <w:abstractNumId w:val="22"/>
  </w:num>
  <w:num w:numId="8" w16cid:durableId="1927380129">
    <w:abstractNumId w:val="31"/>
  </w:num>
  <w:num w:numId="9" w16cid:durableId="366174593">
    <w:abstractNumId w:val="16"/>
  </w:num>
  <w:num w:numId="10" w16cid:durableId="425466505">
    <w:abstractNumId w:val="24"/>
  </w:num>
  <w:num w:numId="11" w16cid:durableId="747309374">
    <w:abstractNumId w:val="3"/>
  </w:num>
  <w:num w:numId="12" w16cid:durableId="443578790">
    <w:abstractNumId w:val="20"/>
  </w:num>
  <w:num w:numId="13" w16cid:durableId="243800399">
    <w:abstractNumId w:val="7"/>
  </w:num>
  <w:num w:numId="14" w16cid:durableId="1378319236">
    <w:abstractNumId w:val="9"/>
  </w:num>
  <w:num w:numId="15" w16cid:durableId="57365245">
    <w:abstractNumId w:val="8"/>
  </w:num>
  <w:num w:numId="16" w16cid:durableId="1096437978">
    <w:abstractNumId w:val="12"/>
  </w:num>
  <w:num w:numId="17" w16cid:durableId="1899394594">
    <w:abstractNumId w:val="28"/>
  </w:num>
  <w:num w:numId="18" w16cid:durableId="1488284811">
    <w:abstractNumId w:val="15"/>
  </w:num>
  <w:num w:numId="19" w16cid:durableId="409543267">
    <w:abstractNumId w:val="19"/>
  </w:num>
  <w:num w:numId="20" w16cid:durableId="1317801780">
    <w:abstractNumId w:val="30"/>
  </w:num>
  <w:num w:numId="21" w16cid:durableId="1208494584">
    <w:abstractNumId w:val="17"/>
  </w:num>
  <w:num w:numId="22" w16cid:durableId="1057123001">
    <w:abstractNumId w:val="13"/>
  </w:num>
  <w:num w:numId="23" w16cid:durableId="1218277230">
    <w:abstractNumId w:val="14"/>
  </w:num>
  <w:num w:numId="24" w16cid:durableId="492306541">
    <w:abstractNumId w:val="5"/>
  </w:num>
  <w:num w:numId="25" w16cid:durableId="434443498">
    <w:abstractNumId w:val="1"/>
  </w:num>
  <w:num w:numId="26" w16cid:durableId="1143472344">
    <w:abstractNumId w:val="29"/>
  </w:num>
  <w:num w:numId="27" w16cid:durableId="675811114">
    <w:abstractNumId w:val="21"/>
  </w:num>
  <w:num w:numId="28" w16cid:durableId="1421482443">
    <w:abstractNumId w:val="10"/>
  </w:num>
  <w:num w:numId="29" w16cid:durableId="1285387924">
    <w:abstractNumId w:val="27"/>
  </w:num>
  <w:num w:numId="30" w16cid:durableId="468129519">
    <w:abstractNumId w:val="18"/>
  </w:num>
  <w:num w:numId="31" w16cid:durableId="1614894758">
    <w:abstractNumId w:val="25"/>
  </w:num>
  <w:num w:numId="32" w16cid:durableId="15068946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190"/>
    <w:rsid w:val="00000081"/>
    <w:rsid w:val="000001DA"/>
    <w:rsid w:val="00000AC7"/>
    <w:rsid w:val="000020F8"/>
    <w:rsid w:val="0000335D"/>
    <w:rsid w:val="0000355D"/>
    <w:rsid w:val="00003E19"/>
    <w:rsid w:val="00003E46"/>
    <w:rsid w:val="00003FFF"/>
    <w:rsid w:val="00004509"/>
    <w:rsid w:val="0000459C"/>
    <w:rsid w:val="000045D2"/>
    <w:rsid w:val="0000494B"/>
    <w:rsid w:val="00005C35"/>
    <w:rsid w:val="00005F3A"/>
    <w:rsid w:val="00007662"/>
    <w:rsid w:val="000076B7"/>
    <w:rsid w:val="000079C2"/>
    <w:rsid w:val="00010498"/>
    <w:rsid w:val="00010DB4"/>
    <w:rsid w:val="00010DBE"/>
    <w:rsid w:val="00011294"/>
    <w:rsid w:val="000114C7"/>
    <w:rsid w:val="00011D60"/>
    <w:rsid w:val="00012093"/>
    <w:rsid w:val="00012BDA"/>
    <w:rsid w:val="0001329F"/>
    <w:rsid w:val="000132DB"/>
    <w:rsid w:val="000134E3"/>
    <w:rsid w:val="000148EF"/>
    <w:rsid w:val="00014AFA"/>
    <w:rsid w:val="00016629"/>
    <w:rsid w:val="000175C1"/>
    <w:rsid w:val="00017694"/>
    <w:rsid w:val="000202EC"/>
    <w:rsid w:val="000206E5"/>
    <w:rsid w:val="000208DF"/>
    <w:rsid w:val="000226E0"/>
    <w:rsid w:val="0002340C"/>
    <w:rsid w:val="00023EAD"/>
    <w:rsid w:val="000244DA"/>
    <w:rsid w:val="000246C3"/>
    <w:rsid w:val="00024AEF"/>
    <w:rsid w:val="00024C48"/>
    <w:rsid w:val="00025473"/>
    <w:rsid w:val="00025C0F"/>
    <w:rsid w:val="00025CD2"/>
    <w:rsid w:val="00026A55"/>
    <w:rsid w:val="000275E3"/>
    <w:rsid w:val="00030F97"/>
    <w:rsid w:val="0003109A"/>
    <w:rsid w:val="00032468"/>
    <w:rsid w:val="0003257C"/>
    <w:rsid w:val="00032E24"/>
    <w:rsid w:val="00033219"/>
    <w:rsid w:val="00033256"/>
    <w:rsid w:val="000332B7"/>
    <w:rsid w:val="000338E0"/>
    <w:rsid w:val="00033EA9"/>
    <w:rsid w:val="00034741"/>
    <w:rsid w:val="000356EA"/>
    <w:rsid w:val="00036209"/>
    <w:rsid w:val="00036F91"/>
    <w:rsid w:val="0003769A"/>
    <w:rsid w:val="00040F9D"/>
    <w:rsid w:val="000420DC"/>
    <w:rsid w:val="00042131"/>
    <w:rsid w:val="00042788"/>
    <w:rsid w:val="00042C6D"/>
    <w:rsid w:val="000438BB"/>
    <w:rsid w:val="000443A7"/>
    <w:rsid w:val="000452D7"/>
    <w:rsid w:val="000455D2"/>
    <w:rsid w:val="00045916"/>
    <w:rsid w:val="00046070"/>
    <w:rsid w:val="00046D39"/>
    <w:rsid w:val="00047B48"/>
    <w:rsid w:val="00047B90"/>
    <w:rsid w:val="00047CF6"/>
    <w:rsid w:val="0005045C"/>
    <w:rsid w:val="000508F7"/>
    <w:rsid w:val="0005099A"/>
    <w:rsid w:val="00050AD6"/>
    <w:rsid w:val="00052004"/>
    <w:rsid w:val="00052666"/>
    <w:rsid w:val="0005280F"/>
    <w:rsid w:val="0005315C"/>
    <w:rsid w:val="000533D3"/>
    <w:rsid w:val="0005363D"/>
    <w:rsid w:val="00053A62"/>
    <w:rsid w:val="00053CCD"/>
    <w:rsid w:val="0005554D"/>
    <w:rsid w:val="00055946"/>
    <w:rsid w:val="000575CF"/>
    <w:rsid w:val="0005762C"/>
    <w:rsid w:val="000577A2"/>
    <w:rsid w:val="0006076F"/>
    <w:rsid w:val="00061211"/>
    <w:rsid w:val="000612E6"/>
    <w:rsid w:val="0006156B"/>
    <w:rsid w:val="00062045"/>
    <w:rsid w:val="0006259A"/>
    <w:rsid w:val="000625A0"/>
    <w:rsid w:val="000627D0"/>
    <w:rsid w:val="00062BCD"/>
    <w:rsid w:val="000639B0"/>
    <w:rsid w:val="000644C6"/>
    <w:rsid w:val="00066681"/>
    <w:rsid w:val="00066B11"/>
    <w:rsid w:val="000679B9"/>
    <w:rsid w:val="0007016A"/>
    <w:rsid w:val="0007110C"/>
    <w:rsid w:val="00071A0E"/>
    <w:rsid w:val="000724DB"/>
    <w:rsid w:val="00073DA6"/>
    <w:rsid w:val="00073DFA"/>
    <w:rsid w:val="00074946"/>
    <w:rsid w:val="00075EDF"/>
    <w:rsid w:val="00076C59"/>
    <w:rsid w:val="00076F3C"/>
    <w:rsid w:val="00077BE9"/>
    <w:rsid w:val="000801A8"/>
    <w:rsid w:val="00080816"/>
    <w:rsid w:val="000811A0"/>
    <w:rsid w:val="0008141E"/>
    <w:rsid w:val="000815E5"/>
    <w:rsid w:val="00084063"/>
    <w:rsid w:val="000845FB"/>
    <w:rsid w:val="00084B52"/>
    <w:rsid w:val="00085084"/>
    <w:rsid w:val="000854C5"/>
    <w:rsid w:val="00086A3D"/>
    <w:rsid w:val="00086AE4"/>
    <w:rsid w:val="00086C22"/>
    <w:rsid w:val="0008715A"/>
    <w:rsid w:val="00087919"/>
    <w:rsid w:val="00087BFF"/>
    <w:rsid w:val="000903A8"/>
    <w:rsid w:val="000907A0"/>
    <w:rsid w:val="000912E1"/>
    <w:rsid w:val="000913CE"/>
    <w:rsid w:val="000916CD"/>
    <w:rsid w:val="00091B9F"/>
    <w:rsid w:val="00091BE3"/>
    <w:rsid w:val="00091E6B"/>
    <w:rsid w:val="00092032"/>
    <w:rsid w:val="00092772"/>
    <w:rsid w:val="00092D6B"/>
    <w:rsid w:val="00093702"/>
    <w:rsid w:val="00093E7D"/>
    <w:rsid w:val="000940F3"/>
    <w:rsid w:val="00094E5F"/>
    <w:rsid w:val="00095631"/>
    <w:rsid w:val="00096010"/>
    <w:rsid w:val="0009673B"/>
    <w:rsid w:val="00096949"/>
    <w:rsid w:val="00096C5F"/>
    <w:rsid w:val="00096CFF"/>
    <w:rsid w:val="00097143"/>
    <w:rsid w:val="00097374"/>
    <w:rsid w:val="00097EA2"/>
    <w:rsid w:val="000A0400"/>
    <w:rsid w:val="000A2390"/>
    <w:rsid w:val="000A2930"/>
    <w:rsid w:val="000A2F97"/>
    <w:rsid w:val="000A30AA"/>
    <w:rsid w:val="000A36A5"/>
    <w:rsid w:val="000A3884"/>
    <w:rsid w:val="000A39CF"/>
    <w:rsid w:val="000A3F7F"/>
    <w:rsid w:val="000A404E"/>
    <w:rsid w:val="000A562C"/>
    <w:rsid w:val="000A5A30"/>
    <w:rsid w:val="000A688D"/>
    <w:rsid w:val="000A6FC2"/>
    <w:rsid w:val="000A71F6"/>
    <w:rsid w:val="000A7C34"/>
    <w:rsid w:val="000A7CAD"/>
    <w:rsid w:val="000A7FA6"/>
    <w:rsid w:val="000B0542"/>
    <w:rsid w:val="000B05A3"/>
    <w:rsid w:val="000B0923"/>
    <w:rsid w:val="000B0AEC"/>
    <w:rsid w:val="000B0DE7"/>
    <w:rsid w:val="000B10F5"/>
    <w:rsid w:val="000B20C9"/>
    <w:rsid w:val="000B2FE8"/>
    <w:rsid w:val="000B360F"/>
    <w:rsid w:val="000B3964"/>
    <w:rsid w:val="000B4953"/>
    <w:rsid w:val="000B5051"/>
    <w:rsid w:val="000B5BB2"/>
    <w:rsid w:val="000B609F"/>
    <w:rsid w:val="000B61A8"/>
    <w:rsid w:val="000B6547"/>
    <w:rsid w:val="000B65C3"/>
    <w:rsid w:val="000B6BC5"/>
    <w:rsid w:val="000B7922"/>
    <w:rsid w:val="000C1801"/>
    <w:rsid w:val="000C1CBB"/>
    <w:rsid w:val="000C1DDC"/>
    <w:rsid w:val="000C1FA2"/>
    <w:rsid w:val="000C2467"/>
    <w:rsid w:val="000C2AB7"/>
    <w:rsid w:val="000C33F3"/>
    <w:rsid w:val="000C3D2C"/>
    <w:rsid w:val="000C4524"/>
    <w:rsid w:val="000C4780"/>
    <w:rsid w:val="000C484A"/>
    <w:rsid w:val="000C4949"/>
    <w:rsid w:val="000C5444"/>
    <w:rsid w:val="000C54B3"/>
    <w:rsid w:val="000C5600"/>
    <w:rsid w:val="000C5F05"/>
    <w:rsid w:val="000C6DD7"/>
    <w:rsid w:val="000C7193"/>
    <w:rsid w:val="000C75D2"/>
    <w:rsid w:val="000C7BBF"/>
    <w:rsid w:val="000D099F"/>
    <w:rsid w:val="000D2503"/>
    <w:rsid w:val="000D2AA3"/>
    <w:rsid w:val="000D328F"/>
    <w:rsid w:val="000D32F7"/>
    <w:rsid w:val="000D3653"/>
    <w:rsid w:val="000D3C43"/>
    <w:rsid w:val="000D3D2B"/>
    <w:rsid w:val="000D3F25"/>
    <w:rsid w:val="000D4063"/>
    <w:rsid w:val="000D43AE"/>
    <w:rsid w:val="000D47DB"/>
    <w:rsid w:val="000D484B"/>
    <w:rsid w:val="000D4D9B"/>
    <w:rsid w:val="000D4EC8"/>
    <w:rsid w:val="000D50FB"/>
    <w:rsid w:val="000D5E81"/>
    <w:rsid w:val="000D653E"/>
    <w:rsid w:val="000D65E9"/>
    <w:rsid w:val="000D6A47"/>
    <w:rsid w:val="000D6C74"/>
    <w:rsid w:val="000D6D7C"/>
    <w:rsid w:val="000D6E49"/>
    <w:rsid w:val="000D7048"/>
    <w:rsid w:val="000D7ABA"/>
    <w:rsid w:val="000E00E2"/>
    <w:rsid w:val="000E00ED"/>
    <w:rsid w:val="000E0482"/>
    <w:rsid w:val="000E1339"/>
    <w:rsid w:val="000E2590"/>
    <w:rsid w:val="000E2CCC"/>
    <w:rsid w:val="000E2CF2"/>
    <w:rsid w:val="000E3AD0"/>
    <w:rsid w:val="000E3F58"/>
    <w:rsid w:val="000E3FDD"/>
    <w:rsid w:val="000E45E5"/>
    <w:rsid w:val="000E4C20"/>
    <w:rsid w:val="000E57DC"/>
    <w:rsid w:val="000E5939"/>
    <w:rsid w:val="000E63C3"/>
    <w:rsid w:val="000E65B3"/>
    <w:rsid w:val="000E6726"/>
    <w:rsid w:val="000E6B09"/>
    <w:rsid w:val="000E74AC"/>
    <w:rsid w:val="000E77FD"/>
    <w:rsid w:val="000F0411"/>
    <w:rsid w:val="000F0A67"/>
    <w:rsid w:val="000F0F3E"/>
    <w:rsid w:val="000F25E9"/>
    <w:rsid w:val="000F26E2"/>
    <w:rsid w:val="000F27B9"/>
    <w:rsid w:val="000F2D40"/>
    <w:rsid w:val="000F316D"/>
    <w:rsid w:val="000F41EB"/>
    <w:rsid w:val="000F444F"/>
    <w:rsid w:val="000F5197"/>
    <w:rsid w:val="000F6EA7"/>
    <w:rsid w:val="000F727B"/>
    <w:rsid w:val="00100764"/>
    <w:rsid w:val="00100AEB"/>
    <w:rsid w:val="00100AEE"/>
    <w:rsid w:val="00100EB0"/>
    <w:rsid w:val="001016BE"/>
    <w:rsid w:val="001026A0"/>
    <w:rsid w:val="0010277B"/>
    <w:rsid w:val="0010353F"/>
    <w:rsid w:val="001035C7"/>
    <w:rsid w:val="00103DBB"/>
    <w:rsid w:val="00104064"/>
    <w:rsid w:val="00104726"/>
    <w:rsid w:val="00104741"/>
    <w:rsid w:val="00104D1A"/>
    <w:rsid w:val="001060CF"/>
    <w:rsid w:val="00106331"/>
    <w:rsid w:val="001074CF"/>
    <w:rsid w:val="001078EC"/>
    <w:rsid w:val="0010794A"/>
    <w:rsid w:val="001100F6"/>
    <w:rsid w:val="0011198C"/>
    <w:rsid w:val="00112190"/>
    <w:rsid w:val="00113034"/>
    <w:rsid w:val="0011378E"/>
    <w:rsid w:val="00113EBA"/>
    <w:rsid w:val="0011437E"/>
    <w:rsid w:val="00114B2E"/>
    <w:rsid w:val="001154F5"/>
    <w:rsid w:val="001159CE"/>
    <w:rsid w:val="00115D18"/>
    <w:rsid w:val="0011720E"/>
    <w:rsid w:val="001201BF"/>
    <w:rsid w:val="00120B16"/>
    <w:rsid w:val="0012173C"/>
    <w:rsid w:val="00121987"/>
    <w:rsid w:val="001219CC"/>
    <w:rsid w:val="001230E6"/>
    <w:rsid w:val="00123106"/>
    <w:rsid w:val="00124E9A"/>
    <w:rsid w:val="00124F7A"/>
    <w:rsid w:val="001253A4"/>
    <w:rsid w:val="001258E5"/>
    <w:rsid w:val="0012620A"/>
    <w:rsid w:val="0012632C"/>
    <w:rsid w:val="00126E56"/>
    <w:rsid w:val="00127660"/>
    <w:rsid w:val="00127A47"/>
    <w:rsid w:val="00127C02"/>
    <w:rsid w:val="00127E03"/>
    <w:rsid w:val="00130558"/>
    <w:rsid w:val="00130912"/>
    <w:rsid w:val="00130BB5"/>
    <w:rsid w:val="00130EE7"/>
    <w:rsid w:val="0013173B"/>
    <w:rsid w:val="00131B86"/>
    <w:rsid w:val="00131C6F"/>
    <w:rsid w:val="00131E28"/>
    <w:rsid w:val="00133FB7"/>
    <w:rsid w:val="00134A94"/>
    <w:rsid w:val="00134A9B"/>
    <w:rsid w:val="00135230"/>
    <w:rsid w:val="00135898"/>
    <w:rsid w:val="00135D52"/>
    <w:rsid w:val="00135DA2"/>
    <w:rsid w:val="00137818"/>
    <w:rsid w:val="001402D5"/>
    <w:rsid w:val="00140A5B"/>
    <w:rsid w:val="00141913"/>
    <w:rsid w:val="00141B4F"/>
    <w:rsid w:val="00141C28"/>
    <w:rsid w:val="001420F8"/>
    <w:rsid w:val="0014252F"/>
    <w:rsid w:val="00142B9D"/>
    <w:rsid w:val="00143077"/>
    <w:rsid w:val="001434D0"/>
    <w:rsid w:val="001436B4"/>
    <w:rsid w:val="00143890"/>
    <w:rsid w:val="00143C9C"/>
    <w:rsid w:val="00144929"/>
    <w:rsid w:val="00144CDB"/>
    <w:rsid w:val="001451E2"/>
    <w:rsid w:val="00145917"/>
    <w:rsid w:val="00145D47"/>
    <w:rsid w:val="00145E7C"/>
    <w:rsid w:val="00146013"/>
    <w:rsid w:val="001465F6"/>
    <w:rsid w:val="00146752"/>
    <w:rsid w:val="001472C5"/>
    <w:rsid w:val="001474FA"/>
    <w:rsid w:val="00147BFA"/>
    <w:rsid w:val="00147E0B"/>
    <w:rsid w:val="00150496"/>
    <w:rsid w:val="0015072D"/>
    <w:rsid w:val="0015131F"/>
    <w:rsid w:val="00151322"/>
    <w:rsid w:val="001515E0"/>
    <w:rsid w:val="00151613"/>
    <w:rsid w:val="00151D46"/>
    <w:rsid w:val="00151F82"/>
    <w:rsid w:val="00151FAE"/>
    <w:rsid w:val="001521F6"/>
    <w:rsid w:val="0015245A"/>
    <w:rsid w:val="00152DF0"/>
    <w:rsid w:val="00153C95"/>
    <w:rsid w:val="00154A8E"/>
    <w:rsid w:val="00154CD9"/>
    <w:rsid w:val="0015581F"/>
    <w:rsid w:val="001565AB"/>
    <w:rsid w:val="0015743D"/>
    <w:rsid w:val="00157A25"/>
    <w:rsid w:val="00157C24"/>
    <w:rsid w:val="00160022"/>
    <w:rsid w:val="00160024"/>
    <w:rsid w:val="00161314"/>
    <w:rsid w:val="00161E37"/>
    <w:rsid w:val="00161F1B"/>
    <w:rsid w:val="001627A1"/>
    <w:rsid w:val="001627CF"/>
    <w:rsid w:val="0016288E"/>
    <w:rsid w:val="001630A3"/>
    <w:rsid w:val="00163B2A"/>
    <w:rsid w:val="00164028"/>
    <w:rsid w:val="00164790"/>
    <w:rsid w:val="0016518D"/>
    <w:rsid w:val="00165535"/>
    <w:rsid w:val="00165767"/>
    <w:rsid w:val="00165D23"/>
    <w:rsid w:val="00167136"/>
    <w:rsid w:val="0016726F"/>
    <w:rsid w:val="001674DB"/>
    <w:rsid w:val="001675C5"/>
    <w:rsid w:val="00167839"/>
    <w:rsid w:val="00167B20"/>
    <w:rsid w:val="00167CF3"/>
    <w:rsid w:val="001700B2"/>
    <w:rsid w:val="00170A6B"/>
    <w:rsid w:val="00171633"/>
    <w:rsid w:val="00171A9C"/>
    <w:rsid w:val="00172057"/>
    <w:rsid w:val="001723DB"/>
    <w:rsid w:val="00172B68"/>
    <w:rsid w:val="00172BB9"/>
    <w:rsid w:val="00173F69"/>
    <w:rsid w:val="001751AB"/>
    <w:rsid w:val="001755B1"/>
    <w:rsid w:val="00175605"/>
    <w:rsid w:val="00175856"/>
    <w:rsid w:val="00175BE6"/>
    <w:rsid w:val="00176157"/>
    <w:rsid w:val="001777F4"/>
    <w:rsid w:val="00177839"/>
    <w:rsid w:val="001778A7"/>
    <w:rsid w:val="0018092C"/>
    <w:rsid w:val="00180961"/>
    <w:rsid w:val="001811CA"/>
    <w:rsid w:val="00182743"/>
    <w:rsid w:val="001839F8"/>
    <w:rsid w:val="00183EDF"/>
    <w:rsid w:val="00184970"/>
    <w:rsid w:val="00184DA5"/>
    <w:rsid w:val="00184ED8"/>
    <w:rsid w:val="001857B9"/>
    <w:rsid w:val="00185BCE"/>
    <w:rsid w:val="00185F3D"/>
    <w:rsid w:val="00185FCC"/>
    <w:rsid w:val="001868E8"/>
    <w:rsid w:val="001872B0"/>
    <w:rsid w:val="001876A5"/>
    <w:rsid w:val="00187BD4"/>
    <w:rsid w:val="00187BE6"/>
    <w:rsid w:val="001900F0"/>
    <w:rsid w:val="00190741"/>
    <w:rsid w:val="0019077D"/>
    <w:rsid w:val="00191212"/>
    <w:rsid w:val="001914CF"/>
    <w:rsid w:val="00191D0C"/>
    <w:rsid w:val="00191DF9"/>
    <w:rsid w:val="00192268"/>
    <w:rsid w:val="001926E2"/>
    <w:rsid w:val="00192D87"/>
    <w:rsid w:val="00193B04"/>
    <w:rsid w:val="001945D4"/>
    <w:rsid w:val="001946E5"/>
    <w:rsid w:val="001949C7"/>
    <w:rsid w:val="00194AA0"/>
    <w:rsid w:val="00194DB3"/>
    <w:rsid w:val="00194F62"/>
    <w:rsid w:val="0019572E"/>
    <w:rsid w:val="001959F2"/>
    <w:rsid w:val="001962B0"/>
    <w:rsid w:val="00196DAB"/>
    <w:rsid w:val="00197110"/>
    <w:rsid w:val="0019740A"/>
    <w:rsid w:val="001A0618"/>
    <w:rsid w:val="001A0CA4"/>
    <w:rsid w:val="001A0FED"/>
    <w:rsid w:val="001A1186"/>
    <w:rsid w:val="001A182A"/>
    <w:rsid w:val="001A1969"/>
    <w:rsid w:val="001A2D1D"/>
    <w:rsid w:val="001A322A"/>
    <w:rsid w:val="001A3FC7"/>
    <w:rsid w:val="001A4896"/>
    <w:rsid w:val="001A59A3"/>
    <w:rsid w:val="001A6434"/>
    <w:rsid w:val="001A6449"/>
    <w:rsid w:val="001A662E"/>
    <w:rsid w:val="001A66FF"/>
    <w:rsid w:val="001A6C63"/>
    <w:rsid w:val="001A7097"/>
    <w:rsid w:val="001A7E9C"/>
    <w:rsid w:val="001A7FD7"/>
    <w:rsid w:val="001B00FF"/>
    <w:rsid w:val="001B0647"/>
    <w:rsid w:val="001B07FB"/>
    <w:rsid w:val="001B0853"/>
    <w:rsid w:val="001B1725"/>
    <w:rsid w:val="001B1F1C"/>
    <w:rsid w:val="001B2296"/>
    <w:rsid w:val="001B22A8"/>
    <w:rsid w:val="001B2492"/>
    <w:rsid w:val="001B2B24"/>
    <w:rsid w:val="001B2B5C"/>
    <w:rsid w:val="001B2F61"/>
    <w:rsid w:val="001B2FB9"/>
    <w:rsid w:val="001B3780"/>
    <w:rsid w:val="001B3BCF"/>
    <w:rsid w:val="001B3CD7"/>
    <w:rsid w:val="001B3D1E"/>
    <w:rsid w:val="001B3E01"/>
    <w:rsid w:val="001B3E76"/>
    <w:rsid w:val="001B3F49"/>
    <w:rsid w:val="001B423A"/>
    <w:rsid w:val="001B479B"/>
    <w:rsid w:val="001B623B"/>
    <w:rsid w:val="001B6976"/>
    <w:rsid w:val="001B718E"/>
    <w:rsid w:val="001B7657"/>
    <w:rsid w:val="001B785E"/>
    <w:rsid w:val="001C0520"/>
    <w:rsid w:val="001C07B8"/>
    <w:rsid w:val="001C0C74"/>
    <w:rsid w:val="001C1C00"/>
    <w:rsid w:val="001C1C8A"/>
    <w:rsid w:val="001C2455"/>
    <w:rsid w:val="001C4499"/>
    <w:rsid w:val="001C5DEE"/>
    <w:rsid w:val="001C6BC3"/>
    <w:rsid w:val="001C7BDF"/>
    <w:rsid w:val="001C7F06"/>
    <w:rsid w:val="001D00F3"/>
    <w:rsid w:val="001D020A"/>
    <w:rsid w:val="001D056E"/>
    <w:rsid w:val="001D17FC"/>
    <w:rsid w:val="001D2757"/>
    <w:rsid w:val="001D295E"/>
    <w:rsid w:val="001D3749"/>
    <w:rsid w:val="001D4CA5"/>
    <w:rsid w:val="001D51C3"/>
    <w:rsid w:val="001D52F0"/>
    <w:rsid w:val="001D596F"/>
    <w:rsid w:val="001D5F0C"/>
    <w:rsid w:val="001D6723"/>
    <w:rsid w:val="001D6B67"/>
    <w:rsid w:val="001D7230"/>
    <w:rsid w:val="001D7452"/>
    <w:rsid w:val="001D7E7C"/>
    <w:rsid w:val="001E04B3"/>
    <w:rsid w:val="001E0543"/>
    <w:rsid w:val="001E06E2"/>
    <w:rsid w:val="001E0921"/>
    <w:rsid w:val="001E0E3D"/>
    <w:rsid w:val="001E21C7"/>
    <w:rsid w:val="001E3B3D"/>
    <w:rsid w:val="001E3E1F"/>
    <w:rsid w:val="001E3F22"/>
    <w:rsid w:val="001E4008"/>
    <w:rsid w:val="001E429A"/>
    <w:rsid w:val="001E43A4"/>
    <w:rsid w:val="001E4603"/>
    <w:rsid w:val="001E49AF"/>
    <w:rsid w:val="001E56EA"/>
    <w:rsid w:val="001E5828"/>
    <w:rsid w:val="001E5B98"/>
    <w:rsid w:val="001E63AB"/>
    <w:rsid w:val="001E6413"/>
    <w:rsid w:val="001E6465"/>
    <w:rsid w:val="001E73FF"/>
    <w:rsid w:val="001E7691"/>
    <w:rsid w:val="001E79FF"/>
    <w:rsid w:val="001E7BE6"/>
    <w:rsid w:val="001F0711"/>
    <w:rsid w:val="001F0EAF"/>
    <w:rsid w:val="001F20CB"/>
    <w:rsid w:val="001F2391"/>
    <w:rsid w:val="001F2768"/>
    <w:rsid w:val="001F2BD5"/>
    <w:rsid w:val="001F2BDD"/>
    <w:rsid w:val="001F30A5"/>
    <w:rsid w:val="001F339D"/>
    <w:rsid w:val="001F3C5A"/>
    <w:rsid w:val="001F3F50"/>
    <w:rsid w:val="001F422D"/>
    <w:rsid w:val="001F4723"/>
    <w:rsid w:val="001F55CA"/>
    <w:rsid w:val="001F5742"/>
    <w:rsid w:val="001F5950"/>
    <w:rsid w:val="001F5EA7"/>
    <w:rsid w:val="001F6143"/>
    <w:rsid w:val="001F6D33"/>
    <w:rsid w:val="001F71CE"/>
    <w:rsid w:val="00200A31"/>
    <w:rsid w:val="00200C92"/>
    <w:rsid w:val="002010CA"/>
    <w:rsid w:val="002013BB"/>
    <w:rsid w:val="00202077"/>
    <w:rsid w:val="00202117"/>
    <w:rsid w:val="002021E8"/>
    <w:rsid w:val="00202202"/>
    <w:rsid w:val="00202724"/>
    <w:rsid w:val="00202FEF"/>
    <w:rsid w:val="00203593"/>
    <w:rsid w:val="00204181"/>
    <w:rsid w:val="0020420B"/>
    <w:rsid w:val="00204912"/>
    <w:rsid w:val="00204F00"/>
    <w:rsid w:val="002050D3"/>
    <w:rsid w:val="0020679D"/>
    <w:rsid w:val="002073EC"/>
    <w:rsid w:val="00210159"/>
    <w:rsid w:val="002105A7"/>
    <w:rsid w:val="00210D92"/>
    <w:rsid w:val="00210EE0"/>
    <w:rsid w:val="00211FA3"/>
    <w:rsid w:val="0021221A"/>
    <w:rsid w:val="0021284F"/>
    <w:rsid w:val="002135B6"/>
    <w:rsid w:val="00213879"/>
    <w:rsid w:val="00214021"/>
    <w:rsid w:val="00214230"/>
    <w:rsid w:val="002146F8"/>
    <w:rsid w:val="00215161"/>
    <w:rsid w:val="00215258"/>
    <w:rsid w:val="002156A1"/>
    <w:rsid w:val="00215A99"/>
    <w:rsid w:val="00215AC2"/>
    <w:rsid w:val="00215B0F"/>
    <w:rsid w:val="0021708E"/>
    <w:rsid w:val="00217425"/>
    <w:rsid w:val="00220226"/>
    <w:rsid w:val="00221942"/>
    <w:rsid w:val="00221EB5"/>
    <w:rsid w:val="00222268"/>
    <w:rsid w:val="0022284A"/>
    <w:rsid w:val="00222921"/>
    <w:rsid w:val="0022292C"/>
    <w:rsid w:val="00222AD6"/>
    <w:rsid w:val="00223C46"/>
    <w:rsid w:val="00223CAE"/>
    <w:rsid w:val="00223EC9"/>
    <w:rsid w:val="00224A2F"/>
    <w:rsid w:val="0022504B"/>
    <w:rsid w:val="00225252"/>
    <w:rsid w:val="0022670E"/>
    <w:rsid w:val="002269D5"/>
    <w:rsid w:val="0022773F"/>
    <w:rsid w:val="00227C78"/>
    <w:rsid w:val="00230B6D"/>
    <w:rsid w:val="00231290"/>
    <w:rsid w:val="00231DC0"/>
    <w:rsid w:val="002323D7"/>
    <w:rsid w:val="00232D34"/>
    <w:rsid w:val="00233211"/>
    <w:rsid w:val="00233A22"/>
    <w:rsid w:val="00233A42"/>
    <w:rsid w:val="0023400B"/>
    <w:rsid w:val="00234161"/>
    <w:rsid w:val="0023480F"/>
    <w:rsid w:val="00234B65"/>
    <w:rsid w:val="00234C27"/>
    <w:rsid w:val="00235611"/>
    <w:rsid w:val="00236C00"/>
    <w:rsid w:val="00236D45"/>
    <w:rsid w:val="00237771"/>
    <w:rsid w:val="002378C8"/>
    <w:rsid w:val="00237E0F"/>
    <w:rsid w:val="00240B8B"/>
    <w:rsid w:val="00241BD4"/>
    <w:rsid w:val="00241C22"/>
    <w:rsid w:val="0024207E"/>
    <w:rsid w:val="00242086"/>
    <w:rsid w:val="0024233F"/>
    <w:rsid w:val="00242506"/>
    <w:rsid w:val="0024273B"/>
    <w:rsid w:val="00243804"/>
    <w:rsid w:val="00244CA0"/>
    <w:rsid w:val="00244FDA"/>
    <w:rsid w:val="002457DB"/>
    <w:rsid w:val="00245AFC"/>
    <w:rsid w:val="00245BDD"/>
    <w:rsid w:val="00245DDD"/>
    <w:rsid w:val="00246FDD"/>
    <w:rsid w:val="00246FF3"/>
    <w:rsid w:val="002474AC"/>
    <w:rsid w:val="002476D9"/>
    <w:rsid w:val="00247700"/>
    <w:rsid w:val="00250341"/>
    <w:rsid w:val="002505EE"/>
    <w:rsid w:val="00250817"/>
    <w:rsid w:val="0025081F"/>
    <w:rsid w:val="00250CA4"/>
    <w:rsid w:val="00251305"/>
    <w:rsid w:val="00251787"/>
    <w:rsid w:val="0025195A"/>
    <w:rsid w:val="0025222D"/>
    <w:rsid w:val="00252720"/>
    <w:rsid w:val="002530A3"/>
    <w:rsid w:val="00253EEA"/>
    <w:rsid w:val="00254EFD"/>
    <w:rsid w:val="0025521C"/>
    <w:rsid w:val="002552A4"/>
    <w:rsid w:val="00256679"/>
    <w:rsid w:val="00256EFF"/>
    <w:rsid w:val="002601E7"/>
    <w:rsid w:val="002602E3"/>
    <w:rsid w:val="00260F52"/>
    <w:rsid w:val="0026216C"/>
    <w:rsid w:val="0026219D"/>
    <w:rsid w:val="00262A28"/>
    <w:rsid w:val="00262ABE"/>
    <w:rsid w:val="00262FF6"/>
    <w:rsid w:val="00264305"/>
    <w:rsid w:val="00264A16"/>
    <w:rsid w:val="00266947"/>
    <w:rsid w:val="00266967"/>
    <w:rsid w:val="00266C12"/>
    <w:rsid w:val="00266FB8"/>
    <w:rsid w:val="0026704E"/>
    <w:rsid w:val="0027082A"/>
    <w:rsid w:val="00270FFE"/>
    <w:rsid w:val="00271C18"/>
    <w:rsid w:val="00271C41"/>
    <w:rsid w:val="00271EFA"/>
    <w:rsid w:val="00272261"/>
    <w:rsid w:val="002733A6"/>
    <w:rsid w:val="002733AB"/>
    <w:rsid w:val="00273503"/>
    <w:rsid w:val="002735DF"/>
    <w:rsid w:val="002748A2"/>
    <w:rsid w:val="002752C1"/>
    <w:rsid w:val="002757BC"/>
    <w:rsid w:val="00275BFB"/>
    <w:rsid w:val="00275D84"/>
    <w:rsid w:val="00275D8F"/>
    <w:rsid w:val="0027628A"/>
    <w:rsid w:val="002765A1"/>
    <w:rsid w:val="0027749F"/>
    <w:rsid w:val="002807DF"/>
    <w:rsid w:val="002811F5"/>
    <w:rsid w:val="0028198F"/>
    <w:rsid w:val="00283304"/>
    <w:rsid w:val="00283585"/>
    <w:rsid w:val="002837D8"/>
    <w:rsid w:val="00283828"/>
    <w:rsid w:val="002839D9"/>
    <w:rsid w:val="00284D75"/>
    <w:rsid w:val="00284E50"/>
    <w:rsid w:val="00285271"/>
    <w:rsid w:val="002854F6"/>
    <w:rsid w:val="002860B7"/>
    <w:rsid w:val="00286706"/>
    <w:rsid w:val="00287B37"/>
    <w:rsid w:val="00290441"/>
    <w:rsid w:val="00290484"/>
    <w:rsid w:val="00290A8E"/>
    <w:rsid w:val="00291425"/>
    <w:rsid w:val="00292598"/>
    <w:rsid w:val="00292A6D"/>
    <w:rsid w:val="00294101"/>
    <w:rsid w:val="00294786"/>
    <w:rsid w:val="00294A16"/>
    <w:rsid w:val="00295141"/>
    <w:rsid w:val="002954B1"/>
    <w:rsid w:val="00295575"/>
    <w:rsid w:val="00295A38"/>
    <w:rsid w:val="00295F5E"/>
    <w:rsid w:val="00296D6C"/>
    <w:rsid w:val="00296E77"/>
    <w:rsid w:val="0029769A"/>
    <w:rsid w:val="00297EC5"/>
    <w:rsid w:val="002A0441"/>
    <w:rsid w:val="002A0C49"/>
    <w:rsid w:val="002A0EAE"/>
    <w:rsid w:val="002A10EB"/>
    <w:rsid w:val="002A29C2"/>
    <w:rsid w:val="002A2E6D"/>
    <w:rsid w:val="002A310A"/>
    <w:rsid w:val="002A342A"/>
    <w:rsid w:val="002A39F6"/>
    <w:rsid w:val="002A3A05"/>
    <w:rsid w:val="002A4116"/>
    <w:rsid w:val="002A4767"/>
    <w:rsid w:val="002A4E95"/>
    <w:rsid w:val="002A6805"/>
    <w:rsid w:val="002A6C0C"/>
    <w:rsid w:val="002A7132"/>
    <w:rsid w:val="002A7A8A"/>
    <w:rsid w:val="002A7F2B"/>
    <w:rsid w:val="002B044D"/>
    <w:rsid w:val="002B04D2"/>
    <w:rsid w:val="002B2CE8"/>
    <w:rsid w:val="002B2F16"/>
    <w:rsid w:val="002B3A79"/>
    <w:rsid w:val="002B3BB3"/>
    <w:rsid w:val="002B49CD"/>
    <w:rsid w:val="002B4E77"/>
    <w:rsid w:val="002B54CF"/>
    <w:rsid w:val="002B55DD"/>
    <w:rsid w:val="002B5C86"/>
    <w:rsid w:val="002B5D0E"/>
    <w:rsid w:val="002B70B5"/>
    <w:rsid w:val="002B7140"/>
    <w:rsid w:val="002B7553"/>
    <w:rsid w:val="002B788E"/>
    <w:rsid w:val="002C057C"/>
    <w:rsid w:val="002C160B"/>
    <w:rsid w:val="002C18D7"/>
    <w:rsid w:val="002C1FD1"/>
    <w:rsid w:val="002C366C"/>
    <w:rsid w:val="002C37DA"/>
    <w:rsid w:val="002C4998"/>
    <w:rsid w:val="002C4A51"/>
    <w:rsid w:val="002C4D6E"/>
    <w:rsid w:val="002C4EA5"/>
    <w:rsid w:val="002C4F58"/>
    <w:rsid w:val="002C58EF"/>
    <w:rsid w:val="002C58F7"/>
    <w:rsid w:val="002C5F71"/>
    <w:rsid w:val="002C6F68"/>
    <w:rsid w:val="002C7005"/>
    <w:rsid w:val="002C7754"/>
    <w:rsid w:val="002C7B42"/>
    <w:rsid w:val="002D0005"/>
    <w:rsid w:val="002D052E"/>
    <w:rsid w:val="002D0BD7"/>
    <w:rsid w:val="002D1881"/>
    <w:rsid w:val="002D19FC"/>
    <w:rsid w:val="002D2774"/>
    <w:rsid w:val="002D2C96"/>
    <w:rsid w:val="002D30D9"/>
    <w:rsid w:val="002D35C2"/>
    <w:rsid w:val="002D48A5"/>
    <w:rsid w:val="002D497C"/>
    <w:rsid w:val="002D57CB"/>
    <w:rsid w:val="002D64AF"/>
    <w:rsid w:val="002D69CE"/>
    <w:rsid w:val="002D7341"/>
    <w:rsid w:val="002D78BB"/>
    <w:rsid w:val="002D7959"/>
    <w:rsid w:val="002E0484"/>
    <w:rsid w:val="002E0553"/>
    <w:rsid w:val="002E0994"/>
    <w:rsid w:val="002E1458"/>
    <w:rsid w:val="002E1D1B"/>
    <w:rsid w:val="002E205B"/>
    <w:rsid w:val="002E2F77"/>
    <w:rsid w:val="002E36A8"/>
    <w:rsid w:val="002E37A5"/>
    <w:rsid w:val="002E41AB"/>
    <w:rsid w:val="002E5469"/>
    <w:rsid w:val="002E581D"/>
    <w:rsid w:val="002E592D"/>
    <w:rsid w:val="002E6787"/>
    <w:rsid w:val="002E6925"/>
    <w:rsid w:val="002E75E8"/>
    <w:rsid w:val="002E7BE7"/>
    <w:rsid w:val="002E7C0E"/>
    <w:rsid w:val="002E7D44"/>
    <w:rsid w:val="002F035D"/>
    <w:rsid w:val="002F048E"/>
    <w:rsid w:val="002F0506"/>
    <w:rsid w:val="002F0C97"/>
    <w:rsid w:val="002F1013"/>
    <w:rsid w:val="002F1594"/>
    <w:rsid w:val="002F1818"/>
    <w:rsid w:val="002F1FC8"/>
    <w:rsid w:val="002F21F1"/>
    <w:rsid w:val="002F2C31"/>
    <w:rsid w:val="002F2C4C"/>
    <w:rsid w:val="002F356C"/>
    <w:rsid w:val="002F3784"/>
    <w:rsid w:val="002F3EA9"/>
    <w:rsid w:val="002F487C"/>
    <w:rsid w:val="002F51C9"/>
    <w:rsid w:val="002F614B"/>
    <w:rsid w:val="002F7265"/>
    <w:rsid w:val="002F7794"/>
    <w:rsid w:val="00300BAC"/>
    <w:rsid w:val="00300C07"/>
    <w:rsid w:val="00300DB8"/>
    <w:rsid w:val="0030146D"/>
    <w:rsid w:val="00301BA4"/>
    <w:rsid w:val="00301CF8"/>
    <w:rsid w:val="00302242"/>
    <w:rsid w:val="00302766"/>
    <w:rsid w:val="00303163"/>
    <w:rsid w:val="003042FA"/>
    <w:rsid w:val="0030436D"/>
    <w:rsid w:val="003055F8"/>
    <w:rsid w:val="00305CA9"/>
    <w:rsid w:val="00306E11"/>
    <w:rsid w:val="0030702C"/>
    <w:rsid w:val="00307089"/>
    <w:rsid w:val="00307412"/>
    <w:rsid w:val="00307684"/>
    <w:rsid w:val="00307CB3"/>
    <w:rsid w:val="00310A05"/>
    <w:rsid w:val="003110E9"/>
    <w:rsid w:val="00311954"/>
    <w:rsid w:val="00311D4A"/>
    <w:rsid w:val="00311E23"/>
    <w:rsid w:val="0031258E"/>
    <w:rsid w:val="00313C40"/>
    <w:rsid w:val="003141BD"/>
    <w:rsid w:val="00314B04"/>
    <w:rsid w:val="00315E22"/>
    <w:rsid w:val="00315ED7"/>
    <w:rsid w:val="00316049"/>
    <w:rsid w:val="003173B9"/>
    <w:rsid w:val="003174E2"/>
    <w:rsid w:val="00317635"/>
    <w:rsid w:val="00317CD1"/>
    <w:rsid w:val="00320E2E"/>
    <w:rsid w:val="003211C8"/>
    <w:rsid w:val="0032162C"/>
    <w:rsid w:val="00321CB6"/>
    <w:rsid w:val="00322208"/>
    <w:rsid w:val="00322533"/>
    <w:rsid w:val="00323324"/>
    <w:rsid w:val="00323D82"/>
    <w:rsid w:val="00323E20"/>
    <w:rsid w:val="00324074"/>
    <w:rsid w:val="0032496B"/>
    <w:rsid w:val="00324D85"/>
    <w:rsid w:val="00324F1C"/>
    <w:rsid w:val="003261A8"/>
    <w:rsid w:val="0032789F"/>
    <w:rsid w:val="003317A8"/>
    <w:rsid w:val="003324A4"/>
    <w:rsid w:val="003325A7"/>
    <w:rsid w:val="00332CA3"/>
    <w:rsid w:val="00332FEA"/>
    <w:rsid w:val="00333425"/>
    <w:rsid w:val="003335EE"/>
    <w:rsid w:val="00333B10"/>
    <w:rsid w:val="00334152"/>
    <w:rsid w:val="0033496A"/>
    <w:rsid w:val="00334E2A"/>
    <w:rsid w:val="003362C1"/>
    <w:rsid w:val="00336331"/>
    <w:rsid w:val="00337325"/>
    <w:rsid w:val="0033754D"/>
    <w:rsid w:val="00337C19"/>
    <w:rsid w:val="00340143"/>
    <w:rsid w:val="00340273"/>
    <w:rsid w:val="00340CF0"/>
    <w:rsid w:val="00340D67"/>
    <w:rsid w:val="00340DD5"/>
    <w:rsid w:val="00341A3A"/>
    <w:rsid w:val="00341DC6"/>
    <w:rsid w:val="00342972"/>
    <w:rsid w:val="00342E28"/>
    <w:rsid w:val="00343365"/>
    <w:rsid w:val="00343624"/>
    <w:rsid w:val="00343EFF"/>
    <w:rsid w:val="003444E3"/>
    <w:rsid w:val="003451BB"/>
    <w:rsid w:val="003457E2"/>
    <w:rsid w:val="003458C7"/>
    <w:rsid w:val="003464E3"/>
    <w:rsid w:val="003465A5"/>
    <w:rsid w:val="00346813"/>
    <w:rsid w:val="00346978"/>
    <w:rsid w:val="00346D18"/>
    <w:rsid w:val="003477A9"/>
    <w:rsid w:val="00350D90"/>
    <w:rsid w:val="00350E69"/>
    <w:rsid w:val="0035119F"/>
    <w:rsid w:val="0035173D"/>
    <w:rsid w:val="00352275"/>
    <w:rsid w:val="0035284D"/>
    <w:rsid w:val="00352A4F"/>
    <w:rsid w:val="00353AFC"/>
    <w:rsid w:val="00353F84"/>
    <w:rsid w:val="00354174"/>
    <w:rsid w:val="0035430A"/>
    <w:rsid w:val="003551B1"/>
    <w:rsid w:val="003558F0"/>
    <w:rsid w:val="003565EF"/>
    <w:rsid w:val="00356C2A"/>
    <w:rsid w:val="00357068"/>
    <w:rsid w:val="00357DB5"/>
    <w:rsid w:val="003600E4"/>
    <w:rsid w:val="00360206"/>
    <w:rsid w:val="0036112D"/>
    <w:rsid w:val="00361474"/>
    <w:rsid w:val="0036170E"/>
    <w:rsid w:val="00361C32"/>
    <w:rsid w:val="0036303F"/>
    <w:rsid w:val="0036370E"/>
    <w:rsid w:val="00363A9C"/>
    <w:rsid w:val="003645C2"/>
    <w:rsid w:val="003648F6"/>
    <w:rsid w:val="003665AA"/>
    <w:rsid w:val="003665AD"/>
    <w:rsid w:val="0036667E"/>
    <w:rsid w:val="00367811"/>
    <w:rsid w:val="00367D72"/>
    <w:rsid w:val="003701A5"/>
    <w:rsid w:val="00370D14"/>
    <w:rsid w:val="00371138"/>
    <w:rsid w:val="003716FF"/>
    <w:rsid w:val="00371B7F"/>
    <w:rsid w:val="003722B1"/>
    <w:rsid w:val="003739CA"/>
    <w:rsid w:val="003744E5"/>
    <w:rsid w:val="00374563"/>
    <w:rsid w:val="0037465A"/>
    <w:rsid w:val="003749BF"/>
    <w:rsid w:val="00375386"/>
    <w:rsid w:val="0037564E"/>
    <w:rsid w:val="00375ED8"/>
    <w:rsid w:val="003762E8"/>
    <w:rsid w:val="00376AB0"/>
    <w:rsid w:val="00376C06"/>
    <w:rsid w:val="00377B3D"/>
    <w:rsid w:val="003804C7"/>
    <w:rsid w:val="0038075D"/>
    <w:rsid w:val="00380D28"/>
    <w:rsid w:val="00381022"/>
    <w:rsid w:val="0038176E"/>
    <w:rsid w:val="00381DA3"/>
    <w:rsid w:val="0038204A"/>
    <w:rsid w:val="003823F1"/>
    <w:rsid w:val="0038319B"/>
    <w:rsid w:val="003831DB"/>
    <w:rsid w:val="00383ACA"/>
    <w:rsid w:val="00383B2A"/>
    <w:rsid w:val="00383C23"/>
    <w:rsid w:val="00384AF1"/>
    <w:rsid w:val="00385354"/>
    <w:rsid w:val="003863F6"/>
    <w:rsid w:val="003868E0"/>
    <w:rsid w:val="00386DFD"/>
    <w:rsid w:val="003876A1"/>
    <w:rsid w:val="0039004D"/>
    <w:rsid w:val="00390192"/>
    <w:rsid w:val="0039024E"/>
    <w:rsid w:val="003903B4"/>
    <w:rsid w:val="003906A5"/>
    <w:rsid w:val="0039072D"/>
    <w:rsid w:val="00390BC9"/>
    <w:rsid w:val="00390F99"/>
    <w:rsid w:val="00391065"/>
    <w:rsid w:val="0039307B"/>
    <w:rsid w:val="003933F4"/>
    <w:rsid w:val="0039370C"/>
    <w:rsid w:val="0039385E"/>
    <w:rsid w:val="00393F57"/>
    <w:rsid w:val="003952D7"/>
    <w:rsid w:val="0039550D"/>
    <w:rsid w:val="003957AB"/>
    <w:rsid w:val="0039606F"/>
    <w:rsid w:val="00396629"/>
    <w:rsid w:val="003970A7"/>
    <w:rsid w:val="00397368"/>
    <w:rsid w:val="003975AF"/>
    <w:rsid w:val="0039771C"/>
    <w:rsid w:val="00397BEB"/>
    <w:rsid w:val="003A07C0"/>
    <w:rsid w:val="003A0BBB"/>
    <w:rsid w:val="003A139A"/>
    <w:rsid w:val="003A1B58"/>
    <w:rsid w:val="003A1C39"/>
    <w:rsid w:val="003A1D33"/>
    <w:rsid w:val="003A20FD"/>
    <w:rsid w:val="003A2F36"/>
    <w:rsid w:val="003A3C76"/>
    <w:rsid w:val="003A3DF2"/>
    <w:rsid w:val="003A3F53"/>
    <w:rsid w:val="003A4F28"/>
    <w:rsid w:val="003A546F"/>
    <w:rsid w:val="003A5F68"/>
    <w:rsid w:val="003A61AC"/>
    <w:rsid w:val="003A68C5"/>
    <w:rsid w:val="003A69F3"/>
    <w:rsid w:val="003A7927"/>
    <w:rsid w:val="003A7E64"/>
    <w:rsid w:val="003A7FA2"/>
    <w:rsid w:val="003A7FEF"/>
    <w:rsid w:val="003B12DC"/>
    <w:rsid w:val="003B2030"/>
    <w:rsid w:val="003B2BFC"/>
    <w:rsid w:val="003B2F3D"/>
    <w:rsid w:val="003B3A85"/>
    <w:rsid w:val="003B423C"/>
    <w:rsid w:val="003B4ACB"/>
    <w:rsid w:val="003B4BC9"/>
    <w:rsid w:val="003B4D83"/>
    <w:rsid w:val="003B63D4"/>
    <w:rsid w:val="003B68DA"/>
    <w:rsid w:val="003B6A59"/>
    <w:rsid w:val="003B6CA3"/>
    <w:rsid w:val="003B76DE"/>
    <w:rsid w:val="003B79BB"/>
    <w:rsid w:val="003C0115"/>
    <w:rsid w:val="003C0380"/>
    <w:rsid w:val="003C06CC"/>
    <w:rsid w:val="003C0F7C"/>
    <w:rsid w:val="003C23C6"/>
    <w:rsid w:val="003C26F3"/>
    <w:rsid w:val="003C3651"/>
    <w:rsid w:val="003C4312"/>
    <w:rsid w:val="003C53A8"/>
    <w:rsid w:val="003C655C"/>
    <w:rsid w:val="003C6F3E"/>
    <w:rsid w:val="003C7526"/>
    <w:rsid w:val="003C7778"/>
    <w:rsid w:val="003D0790"/>
    <w:rsid w:val="003D0AAD"/>
    <w:rsid w:val="003D0B7F"/>
    <w:rsid w:val="003D1171"/>
    <w:rsid w:val="003D151B"/>
    <w:rsid w:val="003D195A"/>
    <w:rsid w:val="003D21AF"/>
    <w:rsid w:val="003D2879"/>
    <w:rsid w:val="003D29A4"/>
    <w:rsid w:val="003D3395"/>
    <w:rsid w:val="003D3BFE"/>
    <w:rsid w:val="003D58F1"/>
    <w:rsid w:val="003D59D3"/>
    <w:rsid w:val="003D5C64"/>
    <w:rsid w:val="003D64B8"/>
    <w:rsid w:val="003D6FC2"/>
    <w:rsid w:val="003D7E4C"/>
    <w:rsid w:val="003E054E"/>
    <w:rsid w:val="003E2A03"/>
    <w:rsid w:val="003E2E2C"/>
    <w:rsid w:val="003E373B"/>
    <w:rsid w:val="003E4889"/>
    <w:rsid w:val="003E491D"/>
    <w:rsid w:val="003E5125"/>
    <w:rsid w:val="003E5804"/>
    <w:rsid w:val="003E6A56"/>
    <w:rsid w:val="003E6B10"/>
    <w:rsid w:val="003E73E7"/>
    <w:rsid w:val="003F050E"/>
    <w:rsid w:val="003F0865"/>
    <w:rsid w:val="003F142E"/>
    <w:rsid w:val="003F2B3B"/>
    <w:rsid w:val="003F331E"/>
    <w:rsid w:val="003F3B56"/>
    <w:rsid w:val="003F5214"/>
    <w:rsid w:val="003F5684"/>
    <w:rsid w:val="003F57CA"/>
    <w:rsid w:val="003F5981"/>
    <w:rsid w:val="003F5D7F"/>
    <w:rsid w:val="003F6D2D"/>
    <w:rsid w:val="00400228"/>
    <w:rsid w:val="00400396"/>
    <w:rsid w:val="00400B27"/>
    <w:rsid w:val="00400D9D"/>
    <w:rsid w:val="00401D02"/>
    <w:rsid w:val="00403838"/>
    <w:rsid w:val="00403F32"/>
    <w:rsid w:val="00404E4E"/>
    <w:rsid w:val="00405EFE"/>
    <w:rsid w:val="00406619"/>
    <w:rsid w:val="0040690D"/>
    <w:rsid w:val="00406BC0"/>
    <w:rsid w:val="0040723B"/>
    <w:rsid w:val="004076A4"/>
    <w:rsid w:val="00407B66"/>
    <w:rsid w:val="00407CCB"/>
    <w:rsid w:val="00410A31"/>
    <w:rsid w:val="0041110F"/>
    <w:rsid w:val="00411233"/>
    <w:rsid w:val="004118BD"/>
    <w:rsid w:val="00412520"/>
    <w:rsid w:val="00412A3E"/>
    <w:rsid w:val="00412B20"/>
    <w:rsid w:val="00412BD0"/>
    <w:rsid w:val="0041305D"/>
    <w:rsid w:val="00413950"/>
    <w:rsid w:val="00413E2E"/>
    <w:rsid w:val="00415A1C"/>
    <w:rsid w:val="00415DB4"/>
    <w:rsid w:val="00416095"/>
    <w:rsid w:val="00416694"/>
    <w:rsid w:val="00416A9C"/>
    <w:rsid w:val="0041714E"/>
    <w:rsid w:val="004171AE"/>
    <w:rsid w:val="00417762"/>
    <w:rsid w:val="00420ADA"/>
    <w:rsid w:val="00420F6E"/>
    <w:rsid w:val="00420FAE"/>
    <w:rsid w:val="00420FEF"/>
    <w:rsid w:val="00421B77"/>
    <w:rsid w:val="00421FC7"/>
    <w:rsid w:val="0042208C"/>
    <w:rsid w:val="004230CF"/>
    <w:rsid w:val="00423BF0"/>
    <w:rsid w:val="00424180"/>
    <w:rsid w:val="00424228"/>
    <w:rsid w:val="0042441C"/>
    <w:rsid w:val="00424E87"/>
    <w:rsid w:val="0042504C"/>
    <w:rsid w:val="0042582D"/>
    <w:rsid w:val="0042593A"/>
    <w:rsid w:val="00425A22"/>
    <w:rsid w:val="00425AB3"/>
    <w:rsid w:val="004264C4"/>
    <w:rsid w:val="0042705A"/>
    <w:rsid w:val="0042720F"/>
    <w:rsid w:val="0042771F"/>
    <w:rsid w:val="00430645"/>
    <w:rsid w:val="00431087"/>
    <w:rsid w:val="00431226"/>
    <w:rsid w:val="0043159D"/>
    <w:rsid w:val="00432F07"/>
    <w:rsid w:val="00433A37"/>
    <w:rsid w:val="004340DC"/>
    <w:rsid w:val="00435052"/>
    <w:rsid w:val="0043519B"/>
    <w:rsid w:val="004362AF"/>
    <w:rsid w:val="00436DE0"/>
    <w:rsid w:val="00437740"/>
    <w:rsid w:val="00437CB6"/>
    <w:rsid w:val="00440BA4"/>
    <w:rsid w:val="00441138"/>
    <w:rsid w:val="00441169"/>
    <w:rsid w:val="004411FC"/>
    <w:rsid w:val="0044190C"/>
    <w:rsid w:val="00442430"/>
    <w:rsid w:val="00442700"/>
    <w:rsid w:val="00442A69"/>
    <w:rsid w:val="0044325C"/>
    <w:rsid w:val="00444C26"/>
    <w:rsid w:val="00444F3A"/>
    <w:rsid w:val="0044562E"/>
    <w:rsid w:val="004458DB"/>
    <w:rsid w:val="00445A9F"/>
    <w:rsid w:val="00445C66"/>
    <w:rsid w:val="00445CBD"/>
    <w:rsid w:val="00445D9F"/>
    <w:rsid w:val="00447B12"/>
    <w:rsid w:val="004501E9"/>
    <w:rsid w:val="0045071F"/>
    <w:rsid w:val="004510F3"/>
    <w:rsid w:val="0045135C"/>
    <w:rsid w:val="0045222A"/>
    <w:rsid w:val="0045227E"/>
    <w:rsid w:val="0045241E"/>
    <w:rsid w:val="00452708"/>
    <w:rsid w:val="00452D6D"/>
    <w:rsid w:val="004533DA"/>
    <w:rsid w:val="00455141"/>
    <w:rsid w:val="004557CE"/>
    <w:rsid w:val="004559F9"/>
    <w:rsid w:val="004566C6"/>
    <w:rsid w:val="004574C8"/>
    <w:rsid w:val="004575E4"/>
    <w:rsid w:val="00460180"/>
    <w:rsid w:val="00460559"/>
    <w:rsid w:val="0046061B"/>
    <w:rsid w:val="0046154A"/>
    <w:rsid w:val="0046160A"/>
    <w:rsid w:val="0046180F"/>
    <w:rsid w:val="00461923"/>
    <w:rsid w:val="00461EA7"/>
    <w:rsid w:val="00461F16"/>
    <w:rsid w:val="00462A31"/>
    <w:rsid w:val="00462ADA"/>
    <w:rsid w:val="00462DA8"/>
    <w:rsid w:val="004635DF"/>
    <w:rsid w:val="00463809"/>
    <w:rsid w:val="00463A51"/>
    <w:rsid w:val="00463E52"/>
    <w:rsid w:val="00463F76"/>
    <w:rsid w:val="004640D3"/>
    <w:rsid w:val="00464A2B"/>
    <w:rsid w:val="00465163"/>
    <w:rsid w:val="0046543A"/>
    <w:rsid w:val="00465492"/>
    <w:rsid w:val="004654D4"/>
    <w:rsid w:val="00465B88"/>
    <w:rsid w:val="00465C50"/>
    <w:rsid w:val="00466B2D"/>
    <w:rsid w:val="00466CD7"/>
    <w:rsid w:val="004672DE"/>
    <w:rsid w:val="00467615"/>
    <w:rsid w:val="00467A19"/>
    <w:rsid w:val="00467DA0"/>
    <w:rsid w:val="00467DB2"/>
    <w:rsid w:val="00470C23"/>
    <w:rsid w:val="00471718"/>
    <w:rsid w:val="004722B2"/>
    <w:rsid w:val="00472A19"/>
    <w:rsid w:val="00472DC0"/>
    <w:rsid w:val="0047334B"/>
    <w:rsid w:val="00473BED"/>
    <w:rsid w:val="004741A6"/>
    <w:rsid w:val="00474942"/>
    <w:rsid w:val="00474B98"/>
    <w:rsid w:val="00475085"/>
    <w:rsid w:val="00475ACE"/>
    <w:rsid w:val="00476432"/>
    <w:rsid w:val="00476506"/>
    <w:rsid w:val="0047683C"/>
    <w:rsid w:val="00476D56"/>
    <w:rsid w:val="00476D93"/>
    <w:rsid w:val="004771DB"/>
    <w:rsid w:val="004777AD"/>
    <w:rsid w:val="00477E07"/>
    <w:rsid w:val="00480086"/>
    <w:rsid w:val="0048023F"/>
    <w:rsid w:val="00480352"/>
    <w:rsid w:val="00480DD3"/>
    <w:rsid w:val="00480F97"/>
    <w:rsid w:val="00481319"/>
    <w:rsid w:val="004825A8"/>
    <w:rsid w:val="00482647"/>
    <w:rsid w:val="004828E4"/>
    <w:rsid w:val="00482E88"/>
    <w:rsid w:val="004835C1"/>
    <w:rsid w:val="00483ECD"/>
    <w:rsid w:val="004842C0"/>
    <w:rsid w:val="00484766"/>
    <w:rsid w:val="00484D9A"/>
    <w:rsid w:val="004850E7"/>
    <w:rsid w:val="004859C2"/>
    <w:rsid w:val="00486535"/>
    <w:rsid w:val="0048693F"/>
    <w:rsid w:val="00486AAC"/>
    <w:rsid w:val="0048715F"/>
    <w:rsid w:val="00487988"/>
    <w:rsid w:val="00487D37"/>
    <w:rsid w:val="00487EA4"/>
    <w:rsid w:val="0049037F"/>
    <w:rsid w:val="004907E9"/>
    <w:rsid w:val="00491118"/>
    <w:rsid w:val="004915C2"/>
    <w:rsid w:val="00491BB7"/>
    <w:rsid w:val="00491F3D"/>
    <w:rsid w:val="00491F72"/>
    <w:rsid w:val="0049273B"/>
    <w:rsid w:val="00492858"/>
    <w:rsid w:val="00492DC9"/>
    <w:rsid w:val="00492F7C"/>
    <w:rsid w:val="00493F01"/>
    <w:rsid w:val="00493F85"/>
    <w:rsid w:val="00497A29"/>
    <w:rsid w:val="004A01E2"/>
    <w:rsid w:val="004A08BE"/>
    <w:rsid w:val="004A0FFB"/>
    <w:rsid w:val="004A1020"/>
    <w:rsid w:val="004A17E7"/>
    <w:rsid w:val="004A2159"/>
    <w:rsid w:val="004A2867"/>
    <w:rsid w:val="004A2A86"/>
    <w:rsid w:val="004A36CE"/>
    <w:rsid w:val="004A3841"/>
    <w:rsid w:val="004A3A55"/>
    <w:rsid w:val="004A4580"/>
    <w:rsid w:val="004A4E99"/>
    <w:rsid w:val="004A50D4"/>
    <w:rsid w:val="004A55C3"/>
    <w:rsid w:val="004A5BB5"/>
    <w:rsid w:val="004A6357"/>
    <w:rsid w:val="004A6523"/>
    <w:rsid w:val="004A7BDF"/>
    <w:rsid w:val="004B002A"/>
    <w:rsid w:val="004B04D3"/>
    <w:rsid w:val="004B10CF"/>
    <w:rsid w:val="004B217F"/>
    <w:rsid w:val="004B2396"/>
    <w:rsid w:val="004B2440"/>
    <w:rsid w:val="004B3E12"/>
    <w:rsid w:val="004B45FC"/>
    <w:rsid w:val="004B4EBD"/>
    <w:rsid w:val="004B58F0"/>
    <w:rsid w:val="004B7AD1"/>
    <w:rsid w:val="004B7F4A"/>
    <w:rsid w:val="004C04A4"/>
    <w:rsid w:val="004C1441"/>
    <w:rsid w:val="004C1AB0"/>
    <w:rsid w:val="004C1C4E"/>
    <w:rsid w:val="004C1EA9"/>
    <w:rsid w:val="004C245F"/>
    <w:rsid w:val="004C2A40"/>
    <w:rsid w:val="004C2C6B"/>
    <w:rsid w:val="004C2E4C"/>
    <w:rsid w:val="004C354A"/>
    <w:rsid w:val="004C4B17"/>
    <w:rsid w:val="004C4C77"/>
    <w:rsid w:val="004C4FD1"/>
    <w:rsid w:val="004C59DA"/>
    <w:rsid w:val="004C5CF9"/>
    <w:rsid w:val="004C61DD"/>
    <w:rsid w:val="004C6F28"/>
    <w:rsid w:val="004C779D"/>
    <w:rsid w:val="004C7871"/>
    <w:rsid w:val="004C7950"/>
    <w:rsid w:val="004D0223"/>
    <w:rsid w:val="004D0249"/>
    <w:rsid w:val="004D06F4"/>
    <w:rsid w:val="004D0B1B"/>
    <w:rsid w:val="004D0B86"/>
    <w:rsid w:val="004D104B"/>
    <w:rsid w:val="004D12B2"/>
    <w:rsid w:val="004D140D"/>
    <w:rsid w:val="004D16BB"/>
    <w:rsid w:val="004D1A0D"/>
    <w:rsid w:val="004D243B"/>
    <w:rsid w:val="004D2D1D"/>
    <w:rsid w:val="004D318A"/>
    <w:rsid w:val="004D329C"/>
    <w:rsid w:val="004D3571"/>
    <w:rsid w:val="004D36D2"/>
    <w:rsid w:val="004D40A1"/>
    <w:rsid w:val="004D454E"/>
    <w:rsid w:val="004D4839"/>
    <w:rsid w:val="004D489D"/>
    <w:rsid w:val="004D54AC"/>
    <w:rsid w:val="004D5FC5"/>
    <w:rsid w:val="004D60E4"/>
    <w:rsid w:val="004D75FD"/>
    <w:rsid w:val="004D7DD3"/>
    <w:rsid w:val="004E0176"/>
    <w:rsid w:val="004E07DD"/>
    <w:rsid w:val="004E18C2"/>
    <w:rsid w:val="004E2CD3"/>
    <w:rsid w:val="004E3BD4"/>
    <w:rsid w:val="004E4948"/>
    <w:rsid w:val="004E49E6"/>
    <w:rsid w:val="004E4BA0"/>
    <w:rsid w:val="004E4CD8"/>
    <w:rsid w:val="004E6317"/>
    <w:rsid w:val="004E633E"/>
    <w:rsid w:val="004E6D55"/>
    <w:rsid w:val="004E78C0"/>
    <w:rsid w:val="004E7AAF"/>
    <w:rsid w:val="004E7BB4"/>
    <w:rsid w:val="004F0206"/>
    <w:rsid w:val="004F118C"/>
    <w:rsid w:val="004F2F18"/>
    <w:rsid w:val="004F3AA0"/>
    <w:rsid w:val="004F487E"/>
    <w:rsid w:val="004F54FD"/>
    <w:rsid w:val="004F582F"/>
    <w:rsid w:val="004F5DB8"/>
    <w:rsid w:val="004F691B"/>
    <w:rsid w:val="004F7048"/>
    <w:rsid w:val="004F7EEE"/>
    <w:rsid w:val="00500F8F"/>
    <w:rsid w:val="00501D3B"/>
    <w:rsid w:val="005024F8"/>
    <w:rsid w:val="00502730"/>
    <w:rsid w:val="00502D6B"/>
    <w:rsid w:val="005033F3"/>
    <w:rsid w:val="00503B27"/>
    <w:rsid w:val="00504BC7"/>
    <w:rsid w:val="00504EBF"/>
    <w:rsid w:val="005064A6"/>
    <w:rsid w:val="005066F5"/>
    <w:rsid w:val="0050683C"/>
    <w:rsid w:val="00506A85"/>
    <w:rsid w:val="0050732F"/>
    <w:rsid w:val="00510A4D"/>
    <w:rsid w:val="00511B31"/>
    <w:rsid w:val="00511BD5"/>
    <w:rsid w:val="00511E78"/>
    <w:rsid w:val="005125F8"/>
    <w:rsid w:val="00512EE8"/>
    <w:rsid w:val="00513256"/>
    <w:rsid w:val="00513791"/>
    <w:rsid w:val="005139BB"/>
    <w:rsid w:val="005143C1"/>
    <w:rsid w:val="005144FE"/>
    <w:rsid w:val="00514B52"/>
    <w:rsid w:val="00514D56"/>
    <w:rsid w:val="00514F44"/>
    <w:rsid w:val="00515110"/>
    <w:rsid w:val="00515485"/>
    <w:rsid w:val="0051556B"/>
    <w:rsid w:val="0051566A"/>
    <w:rsid w:val="0051694A"/>
    <w:rsid w:val="0051704F"/>
    <w:rsid w:val="00517954"/>
    <w:rsid w:val="00517C5F"/>
    <w:rsid w:val="005200DB"/>
    <w:rsid w:val="0052049D"/>
    <w:rsid w:val="0052051F"/>
    <w:rsid w:val="00520B38"/>
    <w:rsid w:val="00521752"/>
    <w:rsid w:val="00521804"/>
    <w:rsid w:val="00521B5E"/>
    <w:rsid w:val="00521BB2"/>
    <w:rsid w:val="00521D3B"/>
    <w:rsid w:val="00522034"/>
    <w:rsid w:val="00522901"/>
    <w:rsid w:val="00522BB5"/>
    <w:rsid w:val="00522EDD"/>
    <w:rsid w:val="005230C7"/>
    <w:rsid w:val="005240B4"/>
    <w:rsid w:val="005240E1"/>
    <w:rsid w:val="005248A6"/>
    <w:rsid w:val="00525059"/>
    <w:rsid w:val="005256F2"/>
    <w:rsid w:val="00525820"/>
    <w:rsid w:val="00525BB3"/>
    <w:rsid w:val="00526154"/>
    <w:rsid w:val="00526B1F"/>
    <w:rsid w:val="00527803"/>
    <w:rsid w:val="00527805"/>
    <w:rsid w:val="00527AD9"/>
    <w:rsid w:val="00527CD3"/>
    <w:rsid w:val="00531E5E"/>
    <w:rsid w:val="00532287"/>
    <w:rsid w:val="005330F1"/>
    <w:rsid w:val="00533667"/>
    <w:rsid w:val="0053426F"/>
    <w:rsid w:val="0053429C"/>
    <w:rsid w:val="0053468A"/>
    <w:rsid w:val="0053475B"/>
    <w:rsid w:val="0053503A"/>
    <w:rsid w:val="005358F5"/>
    <w:rsid w:val="00535C0C"/>
    <w:rsid w:val="00535C32"/>
    <w:rsid w:val="00535DBD"/>
    <w:rsid w:val="0053611C"/>
    <w:rsid w:val="00536A67"/>
    <w:rsid w:val="00537729"/>
    <w:rsid w:val="00537BD6"/>
    <w:rsid w:val="005401B2"/>
    <w:rsid w:val="00540266"/>
    <w:rsid w:val="005402B7"/>
    <w:rsid w:val="00540E95"/>
    <w:rsid w:val="00542415"/>
    <w:rsid w:val="00542EBE"/>
    <w:rsid w:val="005431E6"/>
    <w:rsid w:val="00543253"/>
    <w:rsid w:val="005433F0"/>
    <w:rsid w:val="00543492"/>
    <w:rsid w:val="0054349A"/>
    <w:rsid w:val="00544E39"/>
    <w:rsid w:val="00545015"/>
    <w:rsid w:val="0054579A"/>
    <w:rsid w:val="005460B2"/>
    <w:rsid w:val="00546595"/>
    <w:rsid w:val="005466A9"/>
    <w:rsid w:val="00546D7E"/>
    <w:rsid w:val="0054762B"/>
    <w:rsid w:val="0054762F"/>
    <w:rsid w:val="0054771A"/>
    <w:rsid w:val="00547843"/>
    <w:rsid w:val="005478A8"/>
    <w:rsid w:val="00547F68"/>
    <w:rsid w:val="00550090"/>
    <w:rsid w:val="0055128F"/>
    <w:rsid w:val="005512B2"/>
    <w:rsid w:val="005512EC"/>
    <w:rsid w:val="00551B2B"/>
    <w:rsid w:val="00551B7C"/>
    <w:rsid w:val="00551D4F"/>
    <w:rsid w:val="00551EF9"/>
    <w:rsid w:val="0055214F"/>
    <w:rsid w:val="0055219E"/>
    <w:rsid w:val="005525C5"/>
    <w:rsid w:val="005527E0"/>
    <w:rsid w:val="005527F8"/>
    <w:rsid w:val="00552C79"/>
    <w:rsid w:val="00553281"/>
    <w:rsid w:val="005532D1"/>
    <w:rsid w:val="00553795"/>
    <w:rsid w:val="00554641"/>
    <w:rsid w:val="005546FE"/>
    <w:rsid w:val="005557BC"/>
    <w:rsid w:val="0055582E"/>
    <w:rsid w:val="00555BA7"/>
    <w:rsid w:val="0055603D"/>
    <w:rsid w:val="005575FB"/>
    <w:rsid w:val="00560071"/>
    <w:rsid w:val="00560A05"/>
    <w:rsid w:val="00560F04"/>
    <w:rsid w:val="00561C3C"/>
    <w:rsid w:val="00561E82"/>
    <w:rsid w:val="00561F60"/>
    <w:rsid w:val="005627E6"/>
    <w:rsid w:val="005630DF"/>
    <w:rsid w:val="00563241"/>
    <w:rsid w:val="00564116"/>
    <w:rsid w:val="00564398"/>
    <w:rsid w:val="00564822"/>
    <w:rsid w:val="005662C6"/>
    <w:rsid w:val="00566656"/>
    <w:rsid w:val="00566D5F"/>
    <w:rsid w:val="00566F26"/>
    <w:rsid w:val="005679EB"/>
    <w:rsid w:val="00570018"/>
    <w:rsid w:val="00570A54"/>
    <w:rsid w:val="00570E3B"/>
    <w:rsid w:val="00571391"/>
    <w:rsid w:val="00571C4F"/>
    <w:rsid w:val="00572823"/>
    <w:rsid w:val="00573AD5"/>
    <w:rsid w:val="0057441E"/>
    <w:rsid w:val="00574620"/>
    <w:rsid w:val="00574843"/>
    <w:rsid w:val="00575C94"/>
    <w:rsid w:val="00576E18"/>
    <w:rsid w:val="0057767B"/>
    <w:rsid w:val="0057797F"/>
    <w:rsid w:val="005800C5"/>
    <w:rsid w:val="00580254"/>
    <w:rsid w:val="005807D9"/>
    <w:rsid w:val="005809B6"/>
    <w:rsid w:val="00580A14"/>
    <w:rsid w:val="00580E5B"/>
    <w:rsid w:val="00580ED4"/>
    <w:rsid w:val="0058124A"/>
    <w:rsid w:val="00582164"/>
    <w:rsid w:val="0058222D"/>
    <w:rsid w:val="005834E3"/>
    <w:rsid w:val="005838BE"/>
    <w:rsid w:val="00584121"/>
    <w:rsid w:val="0058428A"/>
    <w:rsid w:val="00586819"/>
    <w:rsid w:val="00586EB1"/>
    <w:rsid w:val="00586F73"/>
    <w:rsid w:val="005871BC"/>
    <w:rsid w:val="00587678"/>
    <w:rsid w:val="005902EE"/>
    <w:rsid w:val="00590A85"/>
    <w:rsid w:val="0059139E"/>
    <w:rsid w:val="00591B4B"/>
    <w:rsid w:val="00591B7E"/>
    <w:rsid w:val="005927D3"/>
    <w:rsid w:val="00593026"/>
    <w:rsid w:val="00593B50"/>
    <w:rsid w:val="00593E87"/>
    <w:rsid w:val="005940F2"/>
    <w:rsid w:val="00594827"/>
    <w:rsid w:val="005951AC"/>
    <w:rsid w:val="00595B98"/>
    <w:rsid w:val="00595E98"/>
    <w:rsid w:val="0059692C"/>
    <w:rsid w:val="00596FC9"/>
    <w:rsid w:val="005970F8"/>
    <w:rsid w:val="005A0634"/>
    <w:rsid w:val="005A0766"/>
    <w:rsid w:val="005A07D8"/>
    <w:rsid w:val="005A16F8"/>
    <w:rsid w:val="005A25B4"/>
    <w:rsid w:val="005A2C3F"/>
    <w:rsid w:val="005A401A"/>
    <w:rsid w:val="005A480D"/>
    <w:rsid w:val="005A4DA5"/>
    <w:rsid w:val="005A55C1"/>
    <w:rsid w:val="005A5929"/>
    <w:rsid w:val="005A5E4C"/>
    <w:rsid w:val="005A6961"/>
    <w:rsid w:val="005A69F4"/>
    <w:rsid w:val="005A6DD6"/>
    <w:rsid w:val="005A782B"/>
    <w:rsid w:val="005A7CDA"/>
    <w:rsid w:val="005B061B"/>
    <w:rsid w:val="005B0A79"/>
    <w:rsid w:val="005B1526"/>
    <w:rsid w:val="005B1563"/>
    <w:rsid w:val="005B167B"/>
    <w:rsid w:val="005B1BA0"/>
    <w:rsid w:val="005B2228"/>
    <w:rsid w:val="005B380E"/>
    <w:rsid w:val="005B39CE"/>
    <w:rsid w:val="005B4418"/>
    <w:rsid w:val="005B5C7F"/>
    <w:rsid w:val="005B6516"/>
    <w:rsid w:val="005B68BA"/>
    <w:rsid w:val="005B6C24"/>
    <w:rsid w:val="005B6DF3"/>
    <w:rsid w:val="005B71AC"/>
    <w:rsid w:val="005B7F31"/>
    <w:rsid w:val="005C1317"/>
    <w:rsid w:val="005C17E3"/>
    <w:rsid w:val="005C1865"/>
    <w:rsid w:val="005C1ABA"/>
    <w:rsid w:val="005C225E"/>
    <w:rsid w:val="005C3A7B"/>
    <w:rsid w:val="005C3ED4"/>
    <w:rsid w:val="005C4480"/>
    <w:rsid w:val="005C4FCE"/>
    <w:rsid w:val="005C5561"/>
    <w:rsid w:val="005C57ED"/>
    <w:rsid w:val="005C5943"/>
    <w:rsid w:val="005C5F85"/>
    <w:rsid w:val="005C61D5"/>
    <w:rsid w:val="005C7BCA"/>
    <w:rsid w:val="005D1A94"/>
    <w:rsid w:val="005D1C0A"/>
    <w:rsid w:val="005D1E78"/>
    <w:rsid w:val="005D2041"/>
    <w:rsid w:val="005D3034"/>
    <w:rsid w:val="005D328A"/>
    <w:rsid w:val="005D5DF3"/>
    <w:rsid w:val="005D6889"/>
    <w:rsid w:val="005D756D"/>
    <w:rsid w:val="005D77FB"/>
    <w:rsid w:val="005D7C89"/>
    <w:rsid w:val="005E0844"/>
    <w:rsid w:val="005E0E4C"/>
    <w:rsid w:val="005E1070"/>
    <w:rsid w:val="005E138A"/>
    <w:rsid w:val="005E18E5"/>
    <w:rsid w:val="005E1CC2"/>
    <w:rsid w:val="005E2144"/>
    <w:rsid w:val="005E2213"/>
    <w:rsid w:val="005E2346"/>
    <w:rsid w:val="005E24E7"/>
    <w:rsid w:val="005E2517"/>
    <w:rsid w:val="005E2A86"/>
    <w:rsid w:val="005E2FEA"/>
    <w:rsid w:val="005E3201"/>
    <w:rsid w:val="005E43F3"/>
    <w:rsid w:val="005E44EA"/>
    <w:rsid w:val="005E4AED"/>
    <w:rsid w:val="005E57EA"/>
    <w:rsid w:val="005E5A08"/>
    <w:rsid w:val="005E6B94"/>
    <w:rsid w:val="005E6DCD"/>
    <w:rsid w:val="005E6E3F"/>
    <w:rsid w:val="005E6E75"/>
    <w:rsid w:val="005E7C74"/>
    <w:rsid w:val="005F004A"/>
    <w:rsid w:val="005F00F4"/>
    <w:rsid w:val="005F0891"/>
    <w:rsid w:val="005F2D68"/>
    <w:rsid w:val="005F2F9C"/>
    <w:rsid w:val="005F3652"/>
    <w:rsid w:val="005F3755"/>
    <w:rsid w:val="005F3A94"/>
    <w:rsid w:val="005F4F75"/>
    <w:rsid w:val="005F543B"/>
    <w:rsid w:val="005F58A6"/>
    <w:rsid w:val="005F5CDC"/>
    <w:rsid w:val="005F6306"/>
    <w:rsid w:val="00600861"/>
    <w:rsid w:val="00600B3D"/>
    <w:rsid w:val="0060141C"/>
    <w:rsid w:val="00601FCC"/>
    <w:rsid w:val="006026AD"/>
    <w:rsid w:val="006033DB"/>
    <w:rsid w:val="0060383C"/>
    <w:rsid w:val="00603D37"/>
    <w:rsid w:val="00603DA0"/>
    <w:rsid w:val="00604BA7"/>
    <w:rsid w:val="00604DD7"/>
    <w:rsid w:val="00605049"/>
    <w:rsid w:val="00605C1C"/>
    <w:rsid w:val="0060604D"/>
    <w:rsid w:val="0060710E"/>
    <w:rsid w:val="0060769B"/>
    <w:rsid w:val="006103E9"/>
    <w:rsid w:val="00612C81"/>
    <w:rsid w:val="00612F4C"/>
    <w:rsid w:val="006134E5"/>
    <w:rsid w:val="006139BA"/>
    <w:rsid w:val="00614736"/>
    <w:rsid w:val="0061477A"/>
    <w:rsid w:val="00615D84"/>
    <w:rsid w:val="00616021"/>
    <w:rsid w:val="00616229"/>
    <w:rsid w:val="00616FB3"/>
    <w:rsid w:val="0061739F"/>
    <w:rsid w:val="0061795C"/>
    <w:rsid w:val="00620B29"/>
    <w:rsid w:val="00621860"/>
    <w:rsid w:val="00621D05"/>
    <w:rsid w:val="0062201E"/>
    <w:rsid w:val="006228DA"/>
    <w:rsid w:val="006228F4"/>
    <w:rsid w:val="00622B4E"/>
    <w:rsid w:val="006233C6"/>
    <w:rsid w:val="00624071"/>
    <w:rsid w:val="006242DC"/>
    <w:rsid w:val="00624BCB"/>
    <w:rsid w:val="006256D1"/>
    <w:rsid w:val="00625B95"/>
    <w:rsid w:val="00626B90"/>
    <w:rsid w:val="00626D20"/>
    <w:rsid w:val="00627547"/>
    <w:rsid w:val="00627A77"/>
    <w:rsid w:val="0063031B"/>
    <w:rsid w:val="006303A7"/>
    <w:rsid w:val="00630E7E"/>
    <w:rsid w:val="006311C6"/>
    <w:rsid w:val="00631A6F"/>
    <w:rsid w:val="0063238B"/>
    <w:rsid w:val="00632608"/>
    <w:rsid w:val="00632AF5"/>
    <w:rsid w:val="006339BB"/>
    <w:rsid w:val="006339E0"/>
    <w:rsid w:val="00633B29"/>
    <w:rsid w:val="0063411B"/>
    <w:rsid w:val="00634127"/>
    <w:rsid w:val="006344CC"/>
    <w:rsid w:val="00634C42"/>
    <w:rsid w:val="0063553C"/>
    <w:rsid w:val="00635C0E"/>
    <w:rsid w:val="00635E0D"/>
    <w:rsid w:val="006375B6"/>
    <w:rsid w:val="006406D1"/>
    <w:rsid w:val="00640BE6"/>
    <w:rsid w:val="006411DB"/>
    <w:rsid w:val="00641325"/>
    <w:rsid w:val="0064199D"/>
    <w:rsid w:val="006427D9"/>
    <w:rsid w:val="00642F56"/>
    <w:rsid w:val="00643291"/>
    <w:rsid w:val="006439A9"/>
    <w:rsid w:val="00643DF6"/>
    <w:rsid w:val="00644267"/>
    <w:rsid w:val="006457FE"/>
    <w:rsid w:val="00645AD8"/>
    <w:rsid w:val="00646641"/>
    <w:rsid w:val="0064680D"/>
    <w:rsid w:val="00647276"/>
    <w:rsid w:val="00647888"/>
    <w:rsid w:val="0065010C"/>
    <w:rsid w:val="00650C48"/>
    <w:rsid w:val="00650D76"/>
    <w:rsid w:val="00651697"/>
    <w:rsid w:val="0065179C"/>
    <w:rsid w:val="00651DCB"/>
    <w:rsid w:val="006520C2"/>
    <w:rsid w:val="00652556"/>
    <w:rsid w:val="006525D0"/>
    <w:rsid w:val="006526F9"/>
    <w:rsid w:val="00652A0E"/>
    <w:rsid w:val="00654DAE"/>
    <w:rsid w:val="00654F89"/>
    <w:rsid w:val="0065666F"/>
    <w:rsid w:val="0065668D"/>
    <w:rsid w:val="00656961"/>
    <w:rsid w:val="00657693"/>
    <w:rsid w:val="0066086F"/>
    <w:rsid w:val="00661308"/>
    <w:rsid w:val="006615DE"/>
    <w:rsid w:val="00661BE9"/>
    <w:rsid w:val="00662691"/>
    <w:rsid w:val="00662B6F"/>
    <w:rsid w:val="00663268"/>
    <w:rsid w:val="00663760"/>
    <w:rsid w:val="006645B5"/>
    <w:rsid w:val="006649C1"/>
    <w:rsid w:val="00664C5F"/>
    <w:rsid w:val="006667B0"/>
    <w:rsid w:val="00666FB1"/>
    <w:rsid w:val="0067001B"/>
    <w:rsid w:val="00670827"/>
    <w:rsid w:val="0067086C"/>
    <w:rsid w:val="00670C38"/>
    <w:rsid w:val="006712B9"/>
    <w:rsid w:val="00671AE5"/>
    <w:rsid w:val="00671E46"/>
    <w:rsid w:val="00671FA0"/>
    <w:rsid w:val="00672B78"/>
    <w:rsid w:val="00672D85"/>
    <w:rsid w:val="006734FC"/>
    <w:rsid w:val="0067361F"/>
    <w:rsid w:val="00673B9C"/>
    <w:rsid w:val="00674912"/>
    <w:rsid w:val="0067661D"/>
    <w:rsid w:val="00676958"/>
    <w:rsid w:val="00676F72"/>
    <w:rsid w:val="006770D1"/>
    <w:rsid w:val="00677E36"/>
    <w:rsid w:val="00677F45"/>
    <w:rsid w:val="006800F5"/>
    <w:rsid w:val="00680433"/>
    <w:rsid w:val="006809A3"/>
    <w:rsid w:val="00680D83"/>
    <w:rsid w:val="00681F56"/>
    <w:rsid w:val="00682A03"/>
    <w:rsid w:val="00682CC7"/>
    <w:rsid w:val="0068381C"/>
    <w:rsid w:val="00683F0C"/>
    <w:rsid w:val="00685220"/>
    <w:rsid w:val="00685C54"/>
    <w:rsid w:val="00685C5F"/>
    <w:rsid w:val="006863BF"/>
    <w:rsid w:val="00686A15"/>
    <w:rsid w:val="00686B11"/>
    <w:rsid w:val="00686B5B"/>
    <w:rsid w:val="00686F87"/>
    <w:rsid w:val="00687FA6"/>
    <w:rsid w:val="006902E2"/>
    <w:rsid w:val="00690C6C"/>
    <w:rsid w:val="006914B0"/>
    <w:rsid w:val="006918AD"/>
    <w:rsid w:val="00691A47"/>
    <w:rsid w:val="00691A66"/>
    <w:rsid w:val="00691E61"/>
    <w:rsid w:val="00692D0A"/>
    <w:rsid w:val="00693074"/>
    <w:rsid w:val="0069349D"/>
    <w:rsid w:val="006934EA"/>
    <w:rsid w:val="0069364A"/>
    <w:rsid w:val="006936F6"/>
    <w:rsid w:val="00693944"/>
    <w:rsid w:val="00693D64"/>
    <w:rsid w:val="00693E05"/>
    <w:rsid w:val="006945F0"/>
    <w:rsid w:val="00695005"/>
    <w:rsid w:val="00695313"/>
    <w:rsid w:val="00695ED2"/>
    <w:rsid w:val="00695FBD"/>
    <w:rsid w:val="00696A8C"/>
    <w:rsid w:val="006A0798"/>
    <w:rsid w:val="006A0891"/>
    <w:rsid w:val="006A0D91"/>
    <w:rsid w:val="006A1359"/>
    <w:rsid w:val="006A1470"/>
    <w:rsid w:val="006A28FB"/>
    <w:rsid w:val="006A2C25"/>
    <w:rsid w:val="006A3683"/>
    <w:rsid w:val="006A3736"/>
    <w:rsid w:val="006A3B4A"/>
    <w:rsid w:val="006A478D"/>
    <w:rsid w:val="006A5985"/>
    <w:rsid w:val="006A5CFD"/>
    <w:rsid w:val="006A70CB"/>
    <w:rsid w:val="006A73B1"/>
    <w:rsid w:val="006B0649"/>
    <w:rsid w:val="006B0C80"/>
    <w:rsid w:val="006B0EA9"/>
    <w:rsid w:val="006B132B"/>
    <w:rsid w:val="006B1540"/>
    <w:rsid w:val="006B1A6A"/>
    <w:rsid w:val="006B1C71"/>
    <w:rsid w:val="006B2AEF"/>
    <w:rsid w:val="006B2E00"/>
    <w:rsid w:val="006B43AB"/>
    <w:rsid w:val="006B4406"/>
    <w:rsid w:val="006B45BF"/>
    <w:rsid w:val="006B553F"/>
    <w:rsid w:val="006B5573"/>
    <w:rsid w:val="006B5779"/>
    <w:rsid w:val="006B5A9F"/>
    <w:rsid w:val="006B6A52"/>
    <w:rsid w:val="006B72A0"/>
    <w:rsid w:val="006B72B1"/>
    <w:rsid w:val="006B7AEB"/>
    <w:rsid w:val="006C077F"/>
    <w:rsid w:val="006C08F1"/>
    <w:rsid w:val="006C0F08"/>
    <w:rsid w:val="006C2215"/>
    <w:rsid w:val="006C2912"/>
    <w:rsid w:val="006C36CD"/>
    <w:rsid w:val="006C3DD9"/>
    <w:rsid w:val="006C3EF5"/>
    <w:rsid w:val="006C416A"/>
    <w:rsid w:val="006C4C11"/>
    <w:rsid w:val="006C5CA9"/>
    <w:rsid w:val="006C6397"/>
    <w:rsid w:val="006C6D5E"/>
    <w:rsid w:val="006C7372"/>
    <w:rsid w:val="006C789E"/>
    <w:rsid w:val="006C7ABA"/>
    <w:rsid w:val="006D04A7"/>
    <w:rsid w:val="006D0DA4"/>
    <w:rsid w:val="006D1DBD"/>
    <w:rsid w:val="006D2FA3"/>
    <w:rsid w:val="006D32E3"/>
    <w:rsid w:val="006D41E0"/>
    <w:rsid w:val="006D4CED"/>
    <w:rsid w:val="006D528C"/>
    <w:rsid w:val="006D5553"/>
    <w:rsid w:val="006D6AEF"/>
    <w:rsid w:val="006D7A89"/>
    <w:rsid w:val="006D7C69"/>
    <w:rsid w:val="006E0BF0"/>
    <w:rsid w:val="006E0CD2"/>
    <w:rsid w:val="006E1687"/>
    <w:rsid w:val="006E20E8"/>
    <w:rsid w:val="006E3C2D"/>
    <w:rsid w:val="006E4306"/>
    <w:rsid w:val="006E57C4"/>
    <w:rsid w:val="006E5843"/>
    <w:rsid w:val="006E5A34"/>
    <w:rsid w:val="006E5B97"/>
    <w:rsid w:val="006E5C8D"/>
    <w:rsid w:val="006E6250"/>
    <w:rsid w:val="006E62B8"/>
    <w:rsid w:val="006E6C02"/>
    <w:rsid w:val="006F17FE"/>
    <w:rsid w:val="006F1EA7"/>
    <w:rsid w:val="006F2E0A"/>
    <w:rsid w:val="006F38AA"/>
    <w:rsid w:val="006F3BD3"/>
    <w:rsid w:val="006F4311"/>
    <w:rsid w:val="006F5A88"/>
    <w:rsid w:val="006F5D41"/>
    <w:rsid w:val="006F5F8C"/>
    <w:rsid w:val="006F636F"/>
    <w:rsid w:val="006F7EAA"/>
    <w:rsid w:val="007002AC"/>
    <w:rsid w:val="00700AFC"/>
    <w:rsid w:val="00701404"/>
    <w:rsid w:val="00701406"/>
    <w:rsid w:val="0070190D"/>
    <w:rsid w:val="00701F67"/>
    <w:rsid w:val="00702263"/>
    <w:rsid w:val="007025FA"/>
    <w:rsid w:val="00702947"/>
    <w:rsid w:val="00702C6B"/>
    <w:rsid w:val="00704359"/>
    <w:rsid w:val="00704E74"/>
    <w:rsid w:val="00705629"/>
    <w:rsid w:val="007058DE"/>
    <w:rsid w:val="00706170"/>
    <w:rsid w:val="007068B7"/>
    <w:rsid w:val="00706D6E"/>
    <w:rsid w:val="007077A7"/>
    <w:rsid w:val="00707AA2"/>
    <w:rsid w:val="00707ADA"/>
    <w:rsid w:val="0071060E"/>
    <w:rsid w:val="0071083A"/>
    <w:rsid w:val="0071100F"/>
    <w:rsid w:val="007110C9"/>
    <w:rsid w:val="0071170D"/>
    <w:rsid w:val="00711ED6"/>
    <w:rsid w:val="00713DAF"/>
    <w:rsid w:val="00714527"/>
    <w:rsid w:val="0071484A"/>
    <w:rsid w:val="00714A3C"/>
    <w:rsid w:val="00714C7F"/>
    <w:rsid w:val="007157EF"/>
    <w:rsid w:val="00715AB3"/>
    <w:rsid w:val="00715D14"/>
    <w:rsid w:val="00715DE0"/>
    <w:rsid w:val="0071690A"/>
    <w:rsid w:val="00716E09"/>
    <w:rsid w:val="00717322"/>
    <w:rsid w:val="00717487"/>
    <w:rsid w:val="00717C30"/>
    <w:rsid w:val="00720E7A"/>
    <w:rsid w:val="00721464"/>
    <w:rsid w:val="0072253D"/>
    <w:rsid w:val="00722809"/>
    <w:rsid w:val="0072304A"/>
    <w:rsid w:val="00723BE4"/>
    <w:rsid w:val="00723FB1"/>
    <w:rsid w:val="00724171"/>
    <w:rsid w:val="00724E72"/>
    <w:rsid w:val="00725963"/>
    <w:rsid w:val="007265D4"/>
    <w:rsid w:val="00726EA9"/>
    <w:rsid w:val="00727577"/>
    <w:rsid w:val="0072779F"/>
    <w:rsid w:val="007312BE"/>
    <w:rsid w:val="00732300"/>
    <w:rsid w:val="00732FEB"/>
    <w:rsid w:val="007331D5"/>
    <w:rsid w:val="00733698"/>
    <w:rsid w:val="007339F0"/>
    <w:rsid w:val="00734344"/>
    <w:rsid w:val="007344C5"/>
    <w:rsid w:val="00735C26"/>
    <w:rsid w:val="00737524"/>
    <w:rsid w:val="007409F5"/>
    <w:rsid w:val="00740C87"/>
    <w:rsid w:val="00741D2F"/>
    <w:rsid w:val="0074242C"/>
    <w:rsid w:val="007430CD"/>
    <w:rsid w:val="007432C6"/>
    <w:rsid w:val="00743552"/>
    <w:rsid w:val="007437B9"/>
    <w:rsid w:val="00743CD4"/>
    <w:rsid w:val="00744078"/>
    <w:rsid w:val="00744F33"/>
    <w:rsid w:val="00746DA0"/>
    <w:rsid w:val="00746F58"/>
    <w:rsid w:val="0074743C"/>
    <w:rsid w:val="0075026D"/>
    <w:rsid w:val="0075033F"/>
    <w:rsid w:val="00750B86"/>
    <w:rsid w:val="00750C41"/>
    <w:rsid w:val="007515E4"/>
    <w:rsid w:val="00751841"/>
    <w:rsid w:val="007519EE"/>
    <w:rsid w:val="00751D3F"/>
    <w:rsid w:val="00751E35"/>
    <w:rsid w:val="00752AD1"/>
    <w:rsid w:val="00752BD1"/>
    <w:rsid w:val="00753636"/>
    <w:rsid w:val="00754098"/>
    <w:rsid w:val="00755EC6"/>
    <w:rsid w:val="00755ECF"/>
    <w:rsid w:val="00756B92"/>
    <w:rsid w:val="00756CFE"/>
    <w:rsid w:val="00757165"/>
    <w:rsid w:val="00757CF2"/>
    <w:rsid w:val="00757E9B"/>
    <w:rsid w:val="0076001F"/>
    <w:rsid w:val="007601D9"/>
    <w:rsid w:val="0076053F"/>
    <w:rsid w:val="00760924"/>
    <w:rsid w:val="00760C50"/>
    <w:rsid w:val="00761A49"/>
    <w:rsid w:val="00761B79"/>
    <w:rsid w:val="00761BC4"/>
    <w:rsid w:val="00761F23"/>
    <w:rsid w:val="00762543"/>
    <w:rsid w:val="00762F6B"/>
    <w:rsid w:val="00763771"/>
    <w:rsid w:val="0076377E"/>
    <w:rsid w:val="007639C4"/>
    <w:rsid w:val="00763D5D"/>
    <w:rsid w:val="007645DA"/>
    <w:rsid w:val="0076482E"/>
    <w:rsid w:val="00764DAC"/>
    <w:rsid w:val="007652A9"/>
    <w:rsid w:val="00765A97"/>
    <w:rsid w:val="0076611E"/>
    <w:rsid w:val="007661FF"/>
    <w:rsid w:val="00766257"/>
    <w:rsid w:val="00766E70"/>
    <w:rsid w:val="00767AAC"/>
    <w:rsid w:val="0077056F"/>
    <w:rsid w:val="0077087C"/>
    <w:rsid w:val="0077095B"/>
    <w:rsid w:val="00770CB9"/>
    <w:rsid w:val="00772366"/>
    <w:rsid w:val="00772495"/>
    <w:rsid w:val="007729DD"/>
    <w:rsid w:val="00772D83"/>
    <w:rsid w:val="00772FB3"/>
    <w:rsid w:val="0077376C"/>
    <w:rsid w:val="00773AF4"/>
    <w:rsid w:val="0077456A"/>
    <w:rsid w:val="007759CA"/>
    <w:rsid w:val="00775C08"/>
    <w:rsid w:val="00775E1E"/>
    <w:rsid w:val="0077635B"/>
    <w:rsid w:val="0077671D"/>
    <w:rsid w:val="00777EC0"/>
    <w:rsid w:val="00780946"/>
    <w:rsid w:val="00780FCB"/>
    <w:rsid w:val="00781631"/>
    <w:rsid w:val="00781717"/>
    <w:rsid w:val="007835EC"/>
    <w:rsid w:val="00783B02"/>
    <w:rsid w:val="00783EEF"/>
    <w:rsid w:val="00784049"/>
    <w:rsid w:val="007851FF"/>
    <w:rsid w:val="00785432"/>
    <w:rsid w:val="0078545D"/>
    <w:rsid w:val="00785483"/>
    <w:rsid w:val="0078563D"/>
    <w:rsid w:val="0078606A"/>
    <w:rsid w:val="00787032"/>
    <w:rsid w:val="00787F06"/>
    <w:rsid w:val="007907C6"/>
    <w:rsid w:val="0079096C"/>
    <w:rsid w:val="007915BE"/>
    <w:rsid w:val="00791890"/>
    <w:rsid w:val="007926C4"/>
    <w:rsid w:val="00792BAA"/>
    <w:rsid w:val="00793707"/>
    <w:rsid w:val="00793EB6"/>
    <w:rsid w:val="00793FAF"/>
    <w:rsid w:val="00794939"/>
    <w:rsid w:val="007949FE"/>
    <w:rsid w:val="00794E62"/>
    <w:rsid w:val="00795160"/>
    <w:rsid w:val="007956B7"/>
    <w:rsid w:val="00795B65"/>
    <w:rsid w:val="0079657A"/>
    <w:rsid w:val="007967CA"/>
    <w:rsid w:val="00796C32"/>
    <w:rsid w:val="00797D48"/>
    <w:rsid w:val="00797DCA"/>
    <w:rsid w:val="00797DE3"/>
    <w:rsid w:val="007A015F"/>
    <w:rsid w:val="007A05FC"/>
    <w:rsid w:val="007A0AFD"/>
    <w:rsid w:val="007A1CF8"/>
    <w:rsid w:val="007A2690"/>
    <w:rsid w:val="007A273B"/>
    <w:rsid w:val="007A28EF"/>
    <w:rsid w:val="007A41A7"/>
    <w:rsid w:val="007A62B5"/>
    <w:rsid w:val="007A6E4D"/>
    <w:rsid w:val="007A741A"/>
    <w:rsid w:val="007B01AF"/>
    <w:rsid w:val="007B03BB"/>
    <w:rsid w:val="007B126E"/>
    <w:rsid w:val="007B15ED"/>
    <w:rsid w:val="007B184C"/>
    <w:rsid w:val="007B2257"/>
    <w:rsid w:val="007B2696"/>
    <w:rsid w:val="007B49EB"/>
    <w:rsid w:val="007B5629"/>
    <w:rsid w:val="007B5898"/>
    <w:rsid w:val="007B5B26"/>
    <w:rsid w:val="007B64FD"/>
    <w:rsid w:val="007B6CDD"/>
    <w:rsid w:val="007B6F0D"/>
    <w:rsid w:val="007B766C"/>
    <w:rsid w:val="007C094B"/>
    <w:rsid w:val="007C0C8E"/>
    <w:rsid w:val="007C0DA9"/>
    <w:rsid w:val="007C2804"/>
    <w:rsid w:val="007C2C20"/>
    <w:rsid w:val="007C34BA"/>
    <w:rsid w:val="007C3BA5"/>
    <w:rsid w:val="007C3FA5"/>
    <w:rsid w:val="007C43BE"/>
    <w:rsid w:val="007C4782"/>
    <w:rsid w:val="007C49B4"/>
    <w:rsid w:val="007C4E56"/>
    <w:rsid w:val="007C603D"/>
    <w:rsid w:val="007C6693"/>
    <w:rsid w:val="007C67C3"/>
    <w:rsid w:val="007C70BA"/>
    <w:rsid w:val="007C720D"/>
    <w:rsid w:val="007C7A45"/>
    <w:rsid w:val="007D14EF"/>
    <w:rsid w:val="007D1DFB"/>
    <w:rsid w:val="007D2AA5"/>
    <w:rsid w:val="007D2DC4"/>
    <w:rsid w:val="007D3876"/>
    <w:rsid w:val="007D3B88"/>
    <w:rsid w:val="007D40E8"/>
    <w:rsid w:val="007D47A1"/>
    <w:rsid w:val="007D5989"/>
    <w:rsid w:val="007D6074"/>
    <w:rsid w:val="007D6A7F"/>
    <w:rsid w:val="007D72F9"/>
    <w:rsid w:val="007D74CA"/>
    <w:rsid w:val="007E007E"/>
    <w:rsid w:val="007E0A8B"/>
    <w:rsid w:val="007E0AB5"/>
    <w:rsid w:val="007E0BFD"/>
    <w:rsid w:val="007E1355"/>
    <w:rsid w:val="007E1809"/>
    <w:rsid w:val="007E19F4"/>
    <w:rsid w:val="007E1C81"/>
    <w:rsid w:val="007E219F"/>
    <w:rsid w:val="007E2A71"/>
    <w:rsid w:val="007E47EB"/>
    <w:rsid w:val="007E4CF4"/>
    <w:rsid w:val="007E5972"/>
    <w:rsid w:val="007E5D76"/>
    <w:rsid w:val="007E6760"/>
    <w:rsid w:val="007E67BC"/>
    <w:rsid w:val="007E6B9B"/>
    <w:rsid w:val="007E6E7C"/>
    <w:rsid w:val="007E6F6E"/>
    <w:rsid w:val="007E794F"/>
    <w:rsid w:val="007E7E84"/>
    <w:rsid w:val="007F04C1"/>
    <w:rsid w:val="007F1427"/>
    <w:rsid w:val="007F1A4A"/>
    <w:rsid w:val="007F1E4F"/>
    <w:rsid w:val="007F2312"/>
    <w:rsid w:val="007F2D37"/>
    <w:rsid w:val="007F2DD8"/>
    <w:rsid w:val="007F3F46"/>
    <w:rsid w:val="007F40D7"/>
    <w:rsid w:val="007F44D9"/>
    <w:rsid w:val="007F4639"/>
    <w:rsid w:val="007F4944"/>
    <w:rsid w:val="007F4A28"/>
    <w:rsid w:val="007F4DD3"/>
    <w:rsid w:val="007F4F8C"/>
    <w:rsid w:val="007F595F"/>
    <w:rsid w:val="007F59BC"/>
    <w:rsid w:val="007F5D40"/>
    <w:rsid w:val="007F5F4F"/>
    <w:rsid w:val="007F6045"/>
    <w:rsid w:val="007F61D7"/>
    <w:rsid w:val="007F7339"/>
    <w:rsid w:val="007F794F"/>
    <w:rsid w:val="007F7F7A"/>
    <w:rsid w:val="008002A3"/>
    <w:rsid w:val="008004FA"/>
    <w:rsid w:val="00800799"/>
    <w:rsid w:val="008008A1"/>
    <w:rsid w:val="00800CD1"/>
    <w:rsid w:val="008024D7"/>
    <w:rsid w:val="00802A0D"/>
    <w:rsid w:val="00802B56"/>
    <w:rsid w:val="00803146"/>
    <w:rsid w:val="008035C6"/>
    <w:rsid w:val="0080363A"/>
    <w:rsid w:val="008048DD"/>
    <w:rsid w:val="00804DEF"/>
    <w:rsid w:val="008052C8"/>
    <w:rsid w:val="0080606F"/>
    <w:rsid w:val="008063BD"/>
    <w:rsid w:val="00807777"/>
    <w:rsid w:val="00810AA8"/>
    <w:rsid w:val="00811A3B"/>
    <w:rsid w:val="0081232C"/>
    <w:rsid w:val="008125F9"/>
    <w:rsid w:val="0081264E"/>
    <w:rsid w:val="00812750"/>
    <w:rsid w:val="00812976"/>
    <w:rsid w:val="00812E2F"/>
    <w:rsid w:val="008151D2"/>
    <w:rsid w:val="00815215"/>
    <w:rsid w:val="0081585F"/>
    <w:rsid w:val="008164F8"/>
    <w:rsid w:val="0081656D"/>
    <w:rsid w:val="00816CFC"/>
    <w:rsid w:val="008176B5"/>
    <w:rsid w:val="00817B78"/>
    <w:rsid w:val="008202E1"/>
    <w:rsid w:val="00820A97"/>
    <w:rsid w:val="0082113F"/>
    <w:rsid w:val="00821D70"/>
    <w:rsid w:val="00822844"/>
    <w:rsid w:val="00822894"/>
    <w:rsid w:val="00822F12"/>
    <w:rsid w:val="00823342"/>
    <w:rsid w:val="00823391"/>
    <w:rsid w:val="008236E7"/>
    <w:rsid w:val="008240DE"/>
    <w:rsid w:val="0082461D"/>
    <w:rsid w:val="008246E7"/>
    <w:rsid w:val="0082482F"/>
    <w:rsid w:val="00824BE7"/>
    <w:rsid w:val="008252CD"/>
    <w:rsid w:val="0082596C"/>
    <w:rsid w:val="008262EE"/>
    <w:rsid w:val="00826B76"/>
    <w:rsid w:val="00826D83"/>
    <w:rsid w:val="0082736C"/>
    <w:rsid w:val="008276E7"/>
    <w:rsid w:val="00830196"/>
    <w:rsid w:val="008307DF"/>
    <w:rsid w:val="00830821"/>
    <w:rsid w:val="00830AEC"/>
    <w:rsid w:val="00831186"/>
    <w:rsid w:val="00831600"/>
    <w:rsid w:val="00831D77"/>
    <w:rsid w:val="00831EE5"/>
    <w:rsid w:val="00831F2B"/>
    <w:rsid w:val="0083219F"/>
    <w:rsid w:val="00832629"/>
    <w:rsid w:val="00832BD3"/>
    <w:rsid w:val="00832DA5"/>
    <w:rsid w:val="008337E1"/>
    <w:rsid w:val="00833C53"/>
    <w:rsid w:val="00833CFF"/>
    <w:rsid w:val="00834072"/>
    <w:rsid w:val="0083499C"/>
    <w:rsid w:val="00834BDA"/>
    <w:rsid w:val="00834CAE"/>
    <w:rsid w:val="00835A13"/>
    <w:rsid w:val="00835C1A"/>
    <w:rsid w:val="00835CD8"/>
    <w:rsid w:val="00840092"/>
    <w:rsid w:val="008404A9"/>
    <w:rsid w:val="00840F94"/>
    <w:rsid w:val="00840FB6"/>
    <w:rsid w:val="008417A7"/>
    <w:rsid w:val="00841F6A"/>
    <w:rsid w:val="00842185"/>
    <w:rsid w:val="008424FD"/>
    <w:rsid w:val="008432C2"/>
    <w:rsid w:val="00843B88"/>
    <w:rsid w:val="008442BB"/>
    <w:rsid w:val="0084438A"/>
    <w:rsid w:val="00845325"/>
    <w:rsid w:val="00846256"/>
    <w:rsid w:val="008462D6"/>
    <w:rsid w:val="00846450"/>
    <w:rsid w:val="008464B1"/>
    <w:rsid w:val="00846726"/>
    <w:rsid w:val="00846D1C"/>
    <w:rsid w:val="008502AF"/>
    <w:rsid w:val="008505D2"/>
    <w:rsid w:val="0085079D"/>
    <w:rsid w:val="008511B5"/>
    <w:rsid w:val="00852CD2"/>
    <w:rsid w:val="00852D15"/>
    <w:rsid w:val="00857647"/>
    <w:rsid w:val="0085781A"/>
    <w:rsid w:val="00860E16"/>
    <w:rsid w:val="00860EC0"/>
    <w:rsid w:val="0086104A"/>
    <w:rsid w:val="00861145"/>
    <w:rsid w:val="0086118B"/>
    <w:rsid w:val="0086168C"/>
    <w:rsid w:val="0086292E"/>
    <w:rsid w:val="00862E47"/>
    <w:rsid w:val="008631FA"/>
    <w:rsid w:val="00863814"/>
    <w:rsid w:val="00865825"/>
    <w:rsid w:val="00865C75"/>
    <w:rsid w:val="00865D73"/>
    <w:rsid w:val="00866A42"/>
    <w:rsid w:val="00866B5E"/>
    <w:rsid w:val="00866BF6"/>
    <w:rsid w:val="00866F90"/>
    <w:rsid w:val="0086732B"/>
    <w:rsid w:val="0086788E"/>
    <w:rsid w:val="008705ED"/>
    <w:rsid w:val="00870682"/>
    <w:rsid w:val="008714DE"/>
    <w:rsid w:val="008715F3"/>
    <w:rsid w:val="00872821"/>
    <w:rsid w:val="0087289B"/>
    <w:rsid w:val="00872A76"/>
    <w:rsid w:val="00872F84"/>
    <w:rsid w:val="00873B99"/>
    <w:rsid w:val="00873BC0"/>
    <w:rsid w:val="00873CE0"/>
    <w:rsid w:val="00874FF6"/>
    <w:rsid w:val="008753F1"/>
    <w:rsid w:val="00875A4E"/>
    <w:rsid w:val="00875A9D"/>
    <w:rsid w:val="00875E9A"/>
    <w:rsid w:val="00875F91"/>
    <w:rsid w:val="00880929"/>
    <w:rsid w:val="00880FA0"/>
    <w:rsid w:val="008811B6"/>
    <w:rsid w:val="008816AD"/>
    <w:rsid w:val="00882AD7"/>
    <w:rsid w:val="00882E67"/>
    <w:rsid w:val="00883B59"/>
    <w:rsid w:val="00883F04"/>
    <w:rsid w:val="00884199"/>
    <w:rsid w:val="00884772"/>
    <w:rsid w:val="00884B77"/>
    <w:rsid w:val="008852B5"/>
    <w:rsid w:val="008855F1"/>
    <w:rsid w:val="008859AD"/>
    <w:rsid w:val="00885C84"/>
    <w:rsid w:val="00886183"/>
    <w:rsid w:val="00886E5C"/>
    <w:rsid w:val="00886EA4"/>
    <w:rsid w:val="00887120"/>
    <w:rsid w:val="00887B1F"/>
    <w:rsid w:val="0089150D"/>
    <w:rsid w:val="00891703"/>
    <w:rsid w:val="00891883"/>
    <w:rsid w:val="00891AD8"/>
    <w:rsid w:val="00891DD6"/>
    <w:rsid w:val="008926B6"/>
    <w:rsid w:val="00892C89"/>
    <w:rsid w:val="00892FED"/>
    <w:rsid w:val="00893675"/>
    <w:rsid w:val="0089467C"/>
    <w:rsid w:val="008950DD"/>
    <w:rsid w:val="00896D43"/>
    <w:rsid w:val="00896DB5"/>
    <w:rsid w:val="008975E1"/>
    <w:rsid w:val="00897C71"/>
    <w:rsid w:val="008A061C"/>
    <w:rsid w:val="008A12BC"/>
    <w:rsid w:val="008A2FF6"/>
    <w:rsid w:val="008A3312"/>
    <w:rsid w:val="008A3423"/>
    <w:rsid w:val="008A5167"/>
    <w:rsid w:val="008A58E2"/>
    <w:rsid w:val="008A5A54"/>
    <w:rsid w:val="008A6F35"/>
    <w:rsid w:val="008A70A1"/>
    <w:rsid w:val="008A76B4"/>
    <w:rsid w:val="008B0363"/>
    <w:rsid w:val="008B0844"/>
    <w:rsid w:val="008B0944"/>
    <w:rsid w:val="008B0964"/>
    <w:rsid w:val="008B0F37"/>
    <w:rsid w:val="008B0F59"/>
    <w:rsid w:val="008B14C9"/>
    <w:rsid w:val="008B1FF7"/>
    <w:rsid w:val="008B4222"/>
    <w:rsid w:val="008B457A"/>
    <w:rsid w:val="008B4E71"/>
    <w:rsid w:val="008B59D6"/>
    <w:rsid w:val="008B5D42"/>
    <w:rsid w:val="008B5ED5"/>
    <w:rsid w:val="008B6A67"/>
    <w:rsid w:val="008B6DB0"/>
    <w:rsid w:val="008B773E"/>
    <w:rsid w:val="008B7BE6"/>
    <w:rsid w:val="008B7C8B"/>
    <w:rsid w:val="008B7E2F"/>
    <w:rsid w:val="008C0A77"/>
    <w:rsid w:val="008C12E1"/>
    <w:rsid w:val="008C32D5"/>
    <w:rsid w:val="008C3556"/>
    <w:rsid w:val="008C3BCA"/>
    <w:rsid w:val="008C49B9"/>
    <w:rsid w:val="008C4B64"/>
    <w:rsid w:val="008C4BE3"/>
    <w:rsid w:val="008C5931"/>
    <w:rsid w:val="008C61DA"/>
    <w:rsid w:val="008C626E"/>
    <w:rsid w:val="008C6B44"/>
    <w:rsid w:val="008C70A6"/>
    <w:rsid w:val="008C75A1"/>
    <w:rsid w:val="008C75A7"/>
    <w:rsid w:val="008D01CF"/>
    <w:rsid w:val="008D03F3"/>
    <w:rsid w:val="008D0842"/>
    <w:rsid w:val="008D1303"/>
    <w:rsid w:val="008D1879"/>
    <w:rsid w:val="008D198E"/>
    <w:rsid w:val="008D1FBB"/>
    <w:rsid w:val="008D236F"/>
    <w:rsid w:val="008D25E4"/>
    <w:rsid w:val="008D3222"/>
    <w:rsid w:val="008D3E37"/>
    <w:rsid w:val="008D41C2"/>
    <w:rsid w:val="008D42B9"/>
    <w:rsid w:val="008D48EE"/>
    <w:rsid w:val="008D4B71"/>
    <w:rsid w:val="008D4C6C"/>
    <w:rsid w:val="008D589E"/>
    <w:rsid w:val="008D6792"/>
    <w:rsid w:val="008D6898"/>
    <w:rsid w:val="008D7258"/>
    <w:rsid w:val="008D73C0"/>
    <w:rsid w:val="008E02D7"/>
    <w:rsid w:val="008E1C25"/>
    <w:rsid w:val="008E2672"/>
    <w:rsid w:val="008E2C8E"/>
    <w:rsid w:val="008E30DD"/>
    <w:rsid w:val="008E326A"/>
    <w:rsid w:val="008E5D51"/>
    <w:rsid w:val="008E5E42"/>
    <w:rsid w:val="008E6112"/>
    <w:rsid w:val="008E64AC"/>
    <w:rsid w:val="008E662D"/>
    <w:rsid w:val="008E71E0"/>
    <w:rsid w:val="008E79BC"/>
    <w:rsid w:val="008E7B57"/>
    <w:rsid w:val="008F02E2"/>
    <w:rsid w:val="008F07CF"/>
    <w:rsid w:val="008F15DB"/>
    <w:rsid w:val="008F2CE9"/>
    <w:rsid w:val="008F2CF6"/>
    <w:rsid w:val="008F3296"/>
    <w:rsid w:val="008F37DE"/>
    <w:rsid w:val="008F37FF"/>
    <w:rsid w:val="008F5259"/>
    <w:rsid w:val="008F60E0"/>
    <w:rsid w:val="008F666F"/>
    <w:rsid w:val="008F6A28"/>
    <w:rsid w:val="008F6C10"/>
    <w:rsid w:val="008F6F36"/>
    <w:rsid w:val="008F74C6"/>
    <w:rsid w:val="009005C8"/>
    <w:rsid w:val="00901534"/>
    <w:rsid w:val="00902304"/>
    <w:rsid w:val="00903760"/>
    <w:rsid w:val="009038F7"/>
    <w:rsid w:val="009039BD"/>
    <w:rsid w:val="00903BD9"/>
    <w:rsid w:val="00903E21"/>
    <w:rsid w:val="00905447"/>
    <w:rsid w:val="009057C8"/>
    <w:rsid w:val="0090643C"/>
    <w:rsid w:val="009064ED"/>
    <w:rsid w:val="009064EF"/>
    <w:rsid w:val="0090661D"/>
    <w:rsid w:val="00906BD0"/>
    <w:rsid w:val="00906FAA"/>
    <w:rsid w:val="009073E3"/>
    <w:rsid w:val="009073EA"/>
    <w:rsid w:val="0091043E"/>
    <w:rsid w:val="00911D9E"/>
    <w:rsid w:val="00912E2C"/>
    <w:rsid w:val="00913765"/>
    <w:rsid w:val="009139D7"/>
    <w:rsid w:val="00913D9E"/>
    <w:rsid w:val="00913E41"/>
    <w:rsid w:val="00914978"/>
    <w:rsid w:val="00914C8F"/>
    <w:rsid w:val="00914D08"/>
    <w:rsid w:val="00915134"/>
    <w:rsid w:val="009156C0"/>
    <w:rsid w:val="0091581B"/>
    <w:rsid w:val="00915BCB"/>
    <w:rsid w:val="00916046"/>
    <w:rsid w:val="0091709B"/>
    <w:rsid w:val="00917BEF"/>
    <w:rsid w:val="00920142"/>
    <w:rsid w:val="009203B6"/>
    <w:rsid w:val="00920AC2"/>
    <w:rsid w:val="00921437"/>
    <w:rsid w:val="00921589"/>
    <w:rsid w:val="0092162E"/>
    <w:rsid w:val="00921A10"/>
    <w:rsid w:val="0092210B"/>
    <w:rsid w:val="00922617"/>
    <w:rsid w:val="00923744"/>
    <w:rsid w:val="00923DF5"/>
    <w:rsid w:val="00923E49"/>
    <w:rsid w:val="00924763"/>
    <w:rsid w:val="00925EB1"/>
    <w:rsid w:val="009260D6"/>
    <w:rsid w:val="00926164"/>
    <w:rsid w:val="009263D9"/>
    <w:rsid w:val="00927457"/>
    <w:rsid w:val="009274A5"/>
    <w:rsid w:val="00930242"/>
    <w:rsid w:val="00930AD9"/>
    <w:rsid w:val="00933054"/>
    <w:rsid w:val="009341BE"/>
    <w:rsid w:val="00934443"/>
    <w:rsid w:val="009345CB"/>
    <w:rsid w:val="00934667"/>
    <w:rsid w:val="009368A7"/>
    <w:rsid w:val="00936A26"/>
    <w:rsid w:val="009376C6"/>
    <w:rsid w:val="00940035"/>
    <w:rsid w:val="009408FC"/>
    <w:rsid w:val="00941651"/>
    <w:rsid w:val="0094169D"/>
    <w:rsid w:val="0094232C"/>
    <w:rsid w:val="0094245B"/>
    <w:rsid w:val="009425B0"/>
    <w:rsid w:val="009429A7"/>
    <w:rsid w:val="00942FCB"/>
    <w:rsid w:val="0094316B"/>
    <w:rsid w:val="00943232"/>
    <w:rsid w:val="00944A1C"/>
    <w:rsid w:val="0094716F"/>
    <w:rsid w:val="00947219"/>
    <w:rsid w:val="0094771F"/>
    <w:rsid w:val="009479BA"/>
    <w:rsid w:val="00947E1A"/>
    <w:rsid w:val="00950598"/>
    <w:rsid w:val="009518AD"/>
    <w:rsid w:val="00951A5D"/>
    <w:rsid w:val="00952411"/>
    <w:rsid w:val="00952BD9"/>
    <w:rsid w:val="00952C0B"/>
    <w:rsid w:val="00953FA0"/>
    <w:rsid w:val="009544F2"/>
    <w:rsid w:val="009553EC"/>
    <w:rsid w:val="00955BBF"/>
    <w:rsid w:val="00955CB4"/>
    <w:rsid w:val="00955E32"/>
    <w:rsid w:val="009568A9"/>
    <w:rsid w:val="009579CF"/>
    <w:rsid w:val="00960DAF"/>
    <w:rsid w:val="00961075"/>
    <w:rsid w:val="00961118"/>
    <w:rsid w:val="00962216"/>
    <w:rsid w:val="00962B8E"/>
    <w:rsid w:val="00965794"/>
    <w:rsid w:val="00965EB0"/>
    <w:rsid w:val="009660E4"/>
    <w:rsid w:val="009661F4"/>
    <w:rsid w:val="00966A02"/>
    <w:rsid w:val="00967A5F"/>
    <w:rsid w:val="00967DD6"/>
    <w:rsid w:val="0097023F"/>
    <w:rsid w:val="00971527"/>
    <w:rsid w:val="00973FF8"/>
    <w:rsid w:val="00974212"/>
    <w:rsid w:val="0097425A"/>
    <w:rsid w:val="009744A2"/>
    <w:rsid w:val="00974C1F"/>
    <w:rsid w:val="009753E6"/>
    <w:rsid w:val="00975D9B"/>
    <w:rsid w:val="0097770A"/>
    <w:rsid w:val="009804F0"/>
    <w:rsid w:val="00980703"/>
    <w:rsid w:val="00980D47"/>
    <w:rsid w:val="00980D78"/>
    <w:rsid w:val="00981139"/>
    <w:rsid w:val="00981855"/>
    <w:rsid w:val="00981B88"/>
    <w:rsid w:val="009820DC"/>
    <w:rsid w:val="00982867"/>
    <w:rsid w:val="00982CE2"/>
    <w:rsid w:val="00982EE0"/>
    <w:rsid w:val="00984097"/>
    <w:rsid w:val="00984110"/>
    <w:rsid w:val="00984324"/>
    <w:rsid w:val="00985327"/>
    <w:rsid w:val="00985490"/>
    <w:rsid w:val="009857EA"/>
    <w:rsid w:val="00985AF8"/>
    <w:rsid w:val="00986141"/>
    <w:rsid w:val="00986B8F"/>
    <w:rsid w:val="00986DC4"/>
    <w:rsid w:val="00987B4F"/>
    <w:rsid w:val="00987CEC"/>
    <w:rsid w:val="009916A8"/>
    <w:rsid w:val="009925AB"/>
    <w:rsid w:val="00992D4B"/>
    <w:rsid w:val="009937C3"/>
    <w:rsid w:val="0099494D"/>
    <w:rsid w:val="0099529A"/>
    <w:rsid w:val="00995B7B"/>
    <w:rsid w:val="0099636F"/>
    <w:rsid w:val="0099691F"/>
    <w:rsid w:val="00996934"/>
    <w:rsid w:val="00996E83"/>
    <w:rsid w:val="00997206"/>
    <w:rsid w:val="00997BE2"/>
    <w:rsid w:val="009A07EA"/>
    <w:rsid w:val="009A0857"/>
    <w:rsid w:val="009A08A6"/>
    <w:rsid w:val="009A09CE"/>
    <w:rsid w:val="009A0EC2"/>
    <w:rsid w:val="009A1252"/>
    <w:rsid w:val="009A1C2E"/>
    <w:rsid w:val="009A21FC"/>
    <w:rsid w:val="009A2258"/>
    <w:rsid w:val="009A241E"/>
    <w:rsid w:val="009A323C"/>
    <w:rsid w:val="009A3A85"/>
    <w:rsid w:val="009A3E3D"/>
    <w:rsid w:val="009A4085"/>
    <w:rsid w:val="009A48C5"/>
    <w:rsid w:val="009A4980"/>
    <w:rsid w:val="009A5171"/>
    <w:rsid w:val="009A68C4"/>
    <w:rsid w:val="009A7567"/>
    <w:rsid w:val="009A75D0"/>
    <w:rsid w:val="009A7B50"/>
    <w:rsid w:val="009B06CC"/>
    <w:rsid w:val="009B103B"/>
    <w:rsid w:val="009B11EC"/>
    <w:rsid w:val="009B1F32"/>
    <w:rsid w:val="009B2022"/>
    <w:rsid w:val="009B2283"/>
    <w:rsid w:val="009B259F"/>
    <w:rsid w:val="009B25B3"/>
    <w:rsid w:val="009B266E"/>
    <w:rsid w:val="009B3448"/>
    <w:rsid w:val="009B349E"/>
    <w:rsid w:val="009B4031"/>
    <w:rsid w:val="009B4E61"/>
    <w:rsid w:val="009B550C"/>
    <w:rsid w:val="009B5B7A"/>
    <w:rsid w:val="009B60AF"/>
    <w:rsid w:val="009B68E5"/>
    <w:rsid w:val="009B6C36"/>
    <w:rsid w:val="009B6FBD"/>
    <w:rsid w:val="009B77AC"/>
    <w:rsid w:val="009C090A"/>
    <w:rsid w:val="009C17EA"/>
    <w:rsid w:val="009C1EC5"/>
    <w:rsid w:val="009C2B0D"/>
    <w:rsid w:val="009C3C38"/>
    <w:rsid w:val="009C4A50"/>
    <w:rsid w:val="009C5B28"/>
    <w:rsid w:val="009C5FB6"/>
    <w:rsid w:val="009C609F"/>
    <w:rsid w:val="009C6175"/>
    <w:rsid w:val="009C67B1"/>
    <w:rsid w:val="009C6B5B"/>
    <w:rsid w:val="009C7FD2"/>
    <w:rsid w:val="009D0334"/>
    <w:rsid w:val="009D0697"/>
    <w:rsid w:val="009D0E0A"/>
    <w:rsid w:val="009D1AB4"/>
    <w:rsid w:val="009D1D7B"/>
    <w:rsid w:val="009D2186"/>
    <w:rsid w:val="009D26BD"/>
    <w:rsid w:val="009D28D5"/>
    <w:rsid w:val="009D28E6"/>
    <w:rsid w:val="009D2BCB"/>
    <w:rsid w:val="009D2DDD"/>
    <w:rsid w:val="009D305B"/>
    <w:rsid w:val="009D360B"/>
    <w:rsid w:val="009D3639"/>
    <w:rsid w:val="009D364B"/>
    <w:rsid w:val="009D36B0"/>
    <w:rsid w:val="009D3779"/>
    <w:rsid w:val="009D46E9"/>
    <w:rsid w:val="009D4D9F"/>
    <w:rsid w:val="009D57AD"/>
    <w:rsid w:val="009D5C41"/>
    <w:rsid w:val="009D5CCA"/>
    <w:rsid w:val="009D5FE2"/>
    <w:rsid w:val="009D6270"/>
    <w:rsid w:val="009D67A7"/>
    <w:rsid w:val="009D723F"/>
    <w:rsid w:val="009D7B64"/>
    <w:rsid w:val="009D7FF5"/>
    <w:rsid w:val="009E0007"/>
    <w:rsid w:val="009E062D"/>
    <w:rsid w:val="009E0761"/>
    <w:rsid w:val="009E082D"/>
    <w:rsid w:val="009E14B8"/>
    <w:rsid w:val="009E1997"/>
    <w:rsid w:val="009E1D49"/>
    <w:rsid w:val="009E1F05"/>
    <w:rsid w:val="009E27A9"/>
    <w:rsid w:val="009E2887"/>
    <w:rsid w:val="009E2CA3"/>
    <w:rsid w:val="009E3040"/>
    <w:rsid w:val="009E317F"/>
    <w:rsid w:val="009E33AB"/>
    <w:rsid w:val="009E33DF"/>
    <w:rsid w:val="009E3789"/>
    <w:rsid w:val="009E37AF"/>
    <w:rsid w:val="009E3B9C"/>
    <w:rsid w:val="009E4981"/>
    <w:rsid w:val="009E4E7F"/>
    <w:rsid w:val="009E5393"/>
    <w:rsid w:val="009E594D"/>
    <w:rsid w:val="009E5C6C"/>
    <w:rsid w:val="009E662B"/>
    <w:rsid w:val="009E6CC5"/>
    <w:rsid w:val="009E6D16"/>
    <w:rsid w:val="009E72AE"/>
    <w:rsid w:val="009E74F6"/>
    <w:rsid w:val="009E7E6A"/>
    <w:rsid w:val="009F020B"/>
    <w:rsid w:val="009F0611"/>
    <w:rsid w:val="009F0FAF"/>
    <w:rsid w:val="009F10F1"/>
    <w:rsid w:val="009F16D7"/>
    <w:rsid w:val="009F217D"/>
    <w:rsid w:val="009F27B4"/>
    <w:rsid w:val="009F2FFC"/>
    <w:rsid w:val="009F3C4F"/>
    <w:rsid w:val="009F54FC"/>
    <w:rsid w:val="009F552E"/>
    <w:rsid w:val="009F624B"/>
    <w:rsid w:val="009F6916"/>
    <w:rsid w:val="009F6E30"/>
    <w:rsid w:val="009F6E3D"/>
    <w:rsid w:val="009F6E40"/>
    <w:rsid w:val="009F6EEB"/>
    <w:rsid w:val="009F747B"/>
    <w:rsid w:val="009F7637"/>
    <w:rsid w:val="009F790E"/>
    <w:rsid w:val="00A005C8"/>
    <w:rsid w:val="00A005F1"/>
    <w:rsid w:val="00A00671"/>
    <w:rsid w:val="00A01252"/>
    <w:rsid w:val="00A01B0D"/>
    <w:rsid w:val="00A01EB3"/>
    <w:rsid w:val="00A03304"/>
    <w:rsid w:val="00A035FB"/>
    <w:rsid w:val="00A05AE7"/>
    <w:rsid w:val="00A05FB3"/>
    <w:rsid w:val="00A05FD8"/>
    <w:rsid w:val="00A0602C"/>
    <w:rsid w:val="00A06163"/>
    <w:rsid w:val="00A06507"/>
    <w:rsid w:val="00A06976"/>
    <w:rsid w:val="00A06B6B"/>
    <w:rsid w:val="00A06B88"/>
    <w:rsid w:val="00A06CF6"/>
    <w:rsid w:val="00A06FC1"/>
    <w:rsid w:val="00A07676"/>
    <w:rsid w:val="00A07E11"/>
    <w:rsid w:val="00A07EE6"/>
    <w:rsid w:val="00A11254"/>
    <w:rsid w:val="00A128C0"/>
    <w:rsid w:val="00A13103"/>
    <w:rsid w:val="00A14253"/>
    <w:rsid w:val="00A147CA"/>
    <w:rsid w:val="00A14A58"/>
    <w:rsid w:val="00A14D32"/>
    <w:rsid w:val="00A14D9E"/>
    <w:rsid w:val="00A158B3"/>
    <w:rsid w:val="00A15D48"/>
    <w:rsid w:val="00A15DC1"/>
    <w:rsid w:val="00A166C4"/>
    <w:rsid w:val="00A1678F"/>
    <w:rsid w:val="00A16823"/>
    <w:rsid w:val="00A16956"/>
    <w:rsid w:val="00A17498"/>
    <w:rsid w:val="00A1753F"/>
    <w:rsid w:val="00A1769A"/>
    <w:rsid w:val="00A17AD7"/>
    <w:rsid w:val="00A20234"/>
    <w:rsid w:val="00A210C7"/>
    <w:rsid w:val="00A21266"/>
    <w:rsid w:val="00A217B3"/>
    <w:rsid w:val="00A21C99"/>
    <w:rsid w:val="00A224AA"/>
    <w:rsid w:val="00A226A0"/>
    <w:rsid w:val="00A229BA"/>
    <w:rsid w:val="00A23061"/>
    <w:rsid w:val="00A239FF"/>
    <w:rsid w:val="00A23CAA"/>
    <w:rsid w:val="00A24925"/>
    <w:rsid w:val="00A250C9"/>
    <w:rsid w:val="00A25509"/>
    <w:rsid w:val="00A25A33"/>
    <w:rsid w:val="00A25C61"/>
    <w:rsid w:val="00A2691F"/>
    <w:rsid w:val="00A269A2"/>
    <w:rsid w:val="00A26E63"/>
    <w:rsid w:val="00A27E7C"/>
    <w:rsid w:val="00A30240"/>
    <w:rsid w:val="00A30509"/>
    <w:rsid w:val="00A30F2C"/>
    <w:rsid w:val="00A31DC5"/>
    <w:rsid w:val="00A31DED"/>
    <w:rsid w:val="00A32A50"/>
    <w:rsid w:val="00A334CD"/>
    <w:rsid w:val="00A33C40"/>
    <w:rsid w:val="00A33CBA"/>
    <w:rsid w:val="00A33E58"/>
    <w:rsid w:val="00A3432B"/>
    <w:rsid w:val="00A34BE3"/>
    <w:rsid w:val="00A3515E"/>
    <w:rsid w:val="00A35204"/>
    <w:rsid w:val="00A35CB6"/>
    <w:rsid w:val="00A35E0B"/>
    <w:rsid w:val="00A36CFC"/>
    <w:rsid w:val="00A36F71"/>
    <w:rsid w:val="00A3755A"/>
    <w:rsid w:val="00A37B38"/>
    <w:rsid w:val="00A40272"/>
    <w:rsid w:val="00A403D4"/>
    <w:rsid w:val="00A405C4"/>
    <w:rsid w:val="00A4069C"/>
    <w:rsid w:val="00A4077A"/>
    <w:rsid w:val="00A40E85"/>
    <w:rsid w:val="00A41310"/>
    <w:rsid w:val="00A41BB6"/>
    <w:rsid w:val="00A425EF"/>
    <w:rsid w:val="00A42674"/>
    <w:rsid w:val="00A42CAC"/>
    <w:rsid w:val="00A42CB8"/>
    <w:rsid w:val="00A43C6F"/>
    <w:rsid w:val="00A43EE3"/>
    <w:rsid w:val="00A44AF6"/>
    <w:rsid w:val="00A4530B"/>
    <w:rsid w:val="00A455A1"/>
    <w:rsid w:val="00A45683"/>
    <w:rsid w:val="00A460B4"/>
    <w:rsid w:val="00A46C46"/>
    <w:rsid w:val="00A47386"/>
    <w:rsid w:val="00A47806"/>
    <w:rsid w:val="00A47A42"/>
    <w:rsid w:val="00A47B54"/>
    <w:rsid w:val="00A47B83"/>
    <w:rsid w:val="00A47D15"/>
    <w:rsid w:val="00A501AE"/>
    <w:rsid w:val="00A5043C"/>
    <w:rsid w:val="00A512E3"/>
    <w:rsid w:val="00A51BCC"/>
    <w:rsid w:val="00A51C28"/>
    <w:rsid w:val="00A5212C"/>
    <w:rsid w:val="00A52236"/>
    <w:rsid w:val="00A52539"/>
    <w:rsid w:val="00A527C9"/>
    <w:rsid w:val="00A52D6D"/>
    <w:rsid w:val="00A53386"/>
    <w:rsid w:val="00A5367D"/>
    <w:rsid w:val="00A5368C"/>
    <w:rsid w:val="00A54742"/>
    <w:rsid w:val="00A55210"/>
    <w:rsid w:val="00A56018"/>
    <w:rsid w:val="00A56384"/>
    <w:rsid w:val="00A563A0"/>
    <w:rsid w:val="00A5649F"/>
    <w:rsid w:val="00A568BB"/>
    <w:rsid w:val="00A5702B"/>
    <w:rsid w:val="00A57CB4"/>
    <w:rsid w:val="00A60786"/>
    <w:rsid w:val="00A6155E"/>
    <w:rsid w:val="00A61FB4"/>
    <w:rsid w:val="00A635DD"/>
    <w:rsid w:val="00A637C7"/>
    <w:rsid w:val="00A64930"/>
    <w:rsid w:val="00A64C18"/>
    <w:rsid w:val="00A66FF1"/>
    <w:rsid w:val="00A67BF7"/>
    <w:rsid w:val="00A7075A"/>
    <w:rsid w:val="00A70EB1"/>
    <w:rsid w:val="00A73841"/>
    <w:rsid w:val="00A742F6"/>
    <w:rsid w:val="00A76544"/>
    <w:rsid w:val="00A769B6"/>
    <w:rsid w:val="00A76C39"/>
    <w:rsid w:val="00A77610"/>
    <w:rsid w:val="00A77B9B"/>
    <w:rsid w:val="00A77FAD"/>
    <w:rsid w:val="00A8077B"/>
    <w:rsid w:val="00A80C48"/>
    <w:rsid w:val="00A8181E"/>
    <w:rsid w:val="00A81F44"/>
    <w:rsid w:val="00A8216B"/>
    <w:rsid w:val="00A821C8"/>
    <w:rsid w:val="00A8257C"/>
    <w:rsid w:val="00A82D52"/>
    <w:rsid w:val="00A83327"/>
    <w:rsid w:val="00A838BB"/>
    <w:rsid w:val="00A83BE4"/>
    <w:rsid w:val="00A8402E"/>
    <w:rsid w:val="00A84C84"/>
    <w:rsid w:val="00A85393"/>
    <w:rsid w:val="00A85650"/>
    <w:rsid w:val="00A85B8E"/>
    <w:rsid w:val="00A85E25"/>
    <w:rsid w:val="00A86213"/>
    <w:rsid w:val="00A86275"/>
    <w:rsid w:val="00A8732E"/>
    <w:rsid w:val="00A87AF4"/>
    <w:rsid w:val="00A90265"/>
    <w:rsid w:val="00A902EA"/>
    <w:rsid w:val="00A90DB9"/>
    <w:rsid w:val="00A911FC"/>
    <w:rsid w:val="00A912E7"/>
    <w:rsid w:val="00A91CDB"/>
    <w:rsid w:val="00A92951"/>
    <w:rsid w:val="00A931B5"/>
    <w:rsid w:val="00A9353E"/>
    <w:rsid w:val="00A93C66"/>
    <w:rsid w:val="00A943D0"/>
    <w:rsid w:val="00A94968"/>
    <w:rsid w:val="00A94B45"/>
    <w:rsid w:val="00A95661"/>
    <w:rsid w:val="00A95927"/>
    <w:rsid w:val="00A95B6A"/>
    <w:rsid w:val="00A96480"/>
    <w:rsid w:val="00A96504"/>
    <w:rsid w:val="00A97CAF"/>
    <w:rsid w:val="00A97F7A"/>
    <w:rsid w:val="00AA0867"/>
    <w:rsid w:val="00AA0D47"/>
    <w:rsid w:val="00AA0EC2"/>
    <w:rsid w:val="00AA101B"/>
    <w:rsid w:val="00AA20FF"/>
    <w:rsid w:val="00AA2491"/>
    <w:rsid w:val="00AA25D7"/>
    <w:rsid w:val="00AA294E"/>
    <w:rsid w:val="00AA2E34"/>
    <w:rsid w:val="00AA3369"/>
    <w:rsid w:val="00AA4676"/>
    <w:rsid w:val="00AA60C0"/>
    <w:rsid w:val="00AA67D3"/>
    <w:rsid w:val="00AA6B2E"/>
    <w:rsid w:val="00AA71BE"/>
    <w:rsid w:val="00AA7352"/>
    <w:rsid w:val="00AA777D"/>
    <w:rsid w:val="00AA79FC"/>
    <w:rsid w:val="00AA7A8A"/>
    <w:rsid w:val="00AA7B26"/>
    <w:rsid w:val="00AB06B8"/>
    <w:rsid w:val="00AB122F"/>
    <w:rsid w:val="00AB1386"/>
    <w:rsid w:val="00AB1F1F"/>
    <w:rsid w:val="00AB3781"/>
    <w:rsid w:val="00AB3EDB"/>
    <w:rsid w:val="00AB6485"/>
    <w:rsid w:val="00AB6B90"/>
    <w:rsid w:val="00AB7669"/>
    <w:rsid w:val="00AC0266"/>
    <w:rsid w:val="00AC06E2"/>
    <w:rsid w:val="00AC3238"/>
    <w:rsid w:val="00AC39E9"/>
    <w:rsid w:val="00AC4850"/>
    <w:rsid w:val="00AC5312"/>
    <w:rsid w:val="00AC55E3"/>
    <w:rsid w:val="00AC5F07"/>
    <w:rsid w:val="00AC6D42"/>
    <w:rsid w:val="00AC724C"/>
    <w:rsid w:val="00AC777D"/>
    <w:rsid w:val="00AD0810"/>
    <w:rsid w:val="00AD09CE"/>
    <w:rsid w:val="00AD1885"/>
    <w:rsid w:val="00AD1F72"/>
    <w:rsid w:val="00AD2908"/>
    <w:rsid w:val="00AD2E4A"/>
    <w:rsid w:val="00AD33E9"/>
    <w:rsid w:val="00AD357E"/>
    <w:rsid w:val="00AD3740"/>
    <w:rsid w:val="00AD3FD5"/>
    <w:rsid w:val="00AD55E2"/>
    <w:rsid w:val="00AD5C61"/>
    <w:rsid w:val="00AD664F"/>
    <w:rsid w:val="00AD7D76"/>
    <w:rsid w:val="00AE03BB"/>
    <w:rsid w:val="00AE05D4"/>
    <w:rsid w:val="00AE06BC"/>
    <w:rsid w:val="00AE0712"/>
    <w:rsid w:val="00AE0C89"/>
    <w:rsid w:val="00AE11B4"/>
    <w:rsid w:val="00AE11F3"/>
    <w:rsid w:val="00AE1517"/>
    <w:rsid w:val="00AE1E5F"/>
    <w:rsid w:val="00AE1F8C"/>
    <w:rsid w:val="00AE29F0"/>
    <w:rsid w:val="00AE2AF5"/>
    <w:rsid w:val="00AE3136"/>
    <w:rsid w:val="00AE40C0"/>
    <w:rsid w:val="00AE47AE"/>
    <w:rsid w:val="00AE548A"/>
    <w:rsid w:val="00AE54AC"/>
    <w:rsid w:val="00AE6A04"/>
    <w:rsid w:val="00AF005E"/>
    <w:rsid w:val="00AF11A2"/>
    <w:rsid w:val="00AF1BE7"/>
    <w:rsid w:val="00AF1F68"/>
    <w:rsid w:val="00AF228A"/>
    <w:rsid w:val="00AF396B"/>
    <w:rsid w:val="00AF4035"/>
    <w:rsid w:val="00AF407C"/>
    <w:rsid w:val="00AF43DB"/>
    <w:rsid w:val="00AF51DF"/>
    <w:rsid w:val="00AF5433"/>
    <w:rsid w:val="00AF572C"/>
    <w:rsid w:val="00AF5779"/>
    <w:rsid w:val="00AF593D"/>
    <w:rsid w:val="00AF5CAC"/>
    <w:rsid w:val="00AF611E"/>
    <w:rsid w:val="00AF6881"/>
    <w:rsid w:val="00AF7005"/>
    <w:rsid w:val="00AF7640"/>
    <w:rsid w:val="00B00284"/>
    <w:rsid w:val="00B002FD"/>
    <w:rsid w:val="00B00956"/>
    <w:rsid w:val="00B01007"/>
    <w:rsid w:val="00B01479"/>
    <w:rsid w:val="00B014F3"/>
    <w:rsid w:val="00B01CD3"/>
    <w:rsid w:val="00B01E6E"/>
    <w:rsid w:val="00B02AE0"/>
    <w:rsid w:val="00B02FAD"/>
    <w:rsid w:val="00B03763"/>
    <w:rsid w:val="00B03D21"/>
    <w:rsid w:val="00B07432"/>
    <w:rsid w:val="00B07A01"/>
    <w:rsid w:val="00B101B9"/>
    <w:rsid w:val="00B10684"/>
    <w:rsid w:val="00B1166D"/>
    <w:rsid w:val="00B11813"/>
    <w:rsid w:val="00B12417"/>
    <w:rsid w:val="00B12618"/>
    <w:rsid w:val="00B12699"/>
    <w:rsid w:val="00B12B0E"/>
    <w:rsid w:val="00B1342C"/>
    <w:rsid w:val="00B140BB"/>
    <w:rsid w:val="00B1438D"/>
    <w:rsid w:val="00B14AED"/>
    <w:rsid w:val="00B14B81"/>
    <w:rsid w:val="00B167F6"/>
    <w:rsid w:val="00B16B03"/>
    <w:rsid w:val="00B17644"/>
    <w:rsid w:val="00B200AE"/>
    <w:rsid w:val="00B206CC"/>
    <w:rsid w:val="00B218AD"/>
    <w:rsid w:val="00B21904"/>
    <w:rsid w:val="00B2289C"/>
    <w:rsid w:val="00B22929"/>
    <w:rsid w:val="00B22D11"/>
    <w:rsid w:val="00B232CD"/>
    <w:rsid w:val="00B232D5"/>
    <w:rsid w:val="00B23544"/>
    <w:rsid w:val="00B23D89"/>
    <w:rsid w:val="00B23E3D"/>
    <w:rsid w:val="00B240B4"/>
    <w:rsid w:val="00B24454"/>
    <w:rsid w:val="00B247E2"/>
    <w:rsid w:val="00B24B98"/>
    <w:rsid w:val="00B24EFD"/>
    <w:rsid w:val="00B25216"/>
    <w:rsid w:val="00B2612F"/>
    <w:rsid w:val="00B2693A"/>
    <w:rsid w:val="00B269B9"/>
    <w:rsid w:val="00B26CAB"/>
    <w:rsid w:val="00B2711A"/>
    <w:rsid w:val="00B271D4"/>
    <w:rsid w:val="00B27C39"/>
    <w:rsid w:val="00B3073B"/>
    <w:rsid w:val="00B3080D"/>
    <w:rsid w:val="00B30AFD"/>
    <w:rsid w:val="00B30DA1"/>
    <w:rsid w:val="00B30E45"/>
    <w:rsid w:val="00B31F63"/>
    <w:rsid w:val="00B32206"/>
    <w:rsid w:val="00B327E6"/>
    <w:rsid w:val="00B32A9C"/>
    <w:rsid w:val="00B32F05"/>
    <w:rsid w:val="00B3348C"/>
    <w:rsid w:val="00B339E4"/>
    <w:rsid w:val="00B33D84"/>
    <w:rsid w:val="00B33DBE"/>
    <w:rsid w:val="00B34481"/>
    <w:rsid w:val="00B34AA8"/>
    <w:rsid w:val="00B34B22"/>
    <w:rsid w:val="00B34E25"/>
    <w:rsid w:val="00B3590A"/>
    <w:rsid w:val="00B364B3"/>
    <w:rsid w:val="00B36548"/>
    <w:rsid w:val="00B36873"/>
    <w:rsid w:val="00B36C12"/>
    <w:rsid w:val="00B3728C"/>
    <w:rsid w:val="00B37338"/>
    <w:rsid w:val="00B37583"/>
    <w:rsid w:val="00B37B59"/>
    <w:rsid w:val="00B37C99"/>
    <w:rsid w:val="00B400C3"/>
    <w:rsid w:val="00B40BD2"/>
    <w:rsid w:val="00B40D7A"/>
    <w:rsid w:val="00B40EE7"/>
    <w:rsid w:val="00B40EFB"/>
    <w:rsid w:val="00B4166F"/>
    <w:rsid w:val="00B41C74"/>
    <w:rsid w:val="00B41FC4"/>
    <w:rsid w:val="00B41FF4"/>
    <w:rsid w:val="00B428FE"/>
    <w:rsid w:val="00B42D15"/>
    <w:rsid w:val="00B43316"/>
    <w:rsid w:val="00B43A25"/>
    <w:rsid w:val="00B43BC2"/>
    <w:rsid w:val="00B4417F"/>
    <w:rsid w:val="00B44A4C"/>
    <w:rsid w:val="00B451A8"/>
    <w:rsid w:val="00B4734D"/>
    <w:rsid w:val="00B47ECA"/>
    <w:rsid w:val="00B50789"/>
    <w:rsid w:val="00B50EEB"/>
    <w:rsid w:val="00B510DF"/>
    <w:rsid w:val="00B5180F"/>
    <w:rsid w:val="00B5181D"/>
    <w:rsid w:val="00B5269F"/>
    <w:rsid w:val="00B5381F"/>
    <w:rsid w:val="00B542CE"/>
    <w:rsid w:val="00B5464D"/>
    <w:rsid w:val="00B54B9B"/>
    <w:rsid w:val="00B554C0"/>
    <w:rsid w:val="00B556A9"/>
    <w:rsid w:val="00B56261"/>
    <w:rsid w:val="00B56739"/>
    <w:rsid w:val="00B57612"/>
    <w:rsid w:val="00B6081E"/>
    <w:rsid w:val="00B60E47"/>
    <w:rsid w:val="00B60F10"/>
    <w:rsid w:val="00B61433"/>
    <w:rsid w:val="00B62565"/>
    <w:rsid w:val="00B62E31"/>
    <w:rsid w:val="00B63260"/>
    <w:rsid w:val="00B637A1"/>
    <w:rsid w:val="00B63B8D"/>
    <w:rsid w:val="00B64003"/>
    <w:rsid w:val="00B64079"/>
    <w:rsid w:val="00B641F8"/>
    <w:rsid w:val="00B64E44"/>
    <w:rsid w:val="00B65022"/>
    <w:rsid w:val="00B65313"/>
    <w:rsid w:val="00B656DF"/>
    <w:rsid w:val="00B66357"/>
    <w:rsid w:val="00B67E01"/>
    <w:rsid w:val="00B67F43"/>
    <w:rsid w:val="00B700CC"/>
    <w:rsid w:val="00B702F5"/>
    <w:rsid w:val="00B70BA5"/>
    <w:rsid w:val="00B70D75"/>
    <w:rsid w:val="00B7160B"/>
    <w:rsid w:val="00B71BDB"/>
    <w:rsid w:val="00B72F73"/>
    <w:rsid w:val="00B74407"/>
    <w:rsid w:val="00B74A76"/>
    <w:rsid w:val="00B75678"/>
    <w:rsid w:val="00B76C65"/>
    <w:rsid w:val="00B76D05"/>
    <w:rsid w:val="00B77DBF"/>
    <w:rsid w:val="00B77E3F"/>
    <w:rsid w:val="00B8014B"/>
    <w:rsid w:val="00B809D8"/>
    <w:rsid w:val="00B81276"/>
    <w:rsid w:val="00B81A2F"/>
    <w:rsid w:val="00B83AFA"/>
    <w:rsid w:val="00B85013"/>
    <w:rsid w:val="00B854BD"/>
    <w:rsid w:val="00B85616"/>
    <w:rsid w:val="00B85FCE"/>
    <w:rsid w:val="00B85FEA"/>
    <w:rsid w:val="00B8678D"/>
    <w:rsid w:val="00B86BF8"/>
    <w:rsid w:val="00B87675"/>
    <w:rsid w:val="00B87EC9"/>
    <w:rsid w:val="00B90157"/>
    <w:rsid w:val="00B90308"/>
    <w:rsid w:val="00B90BC9"/>
    <w:rsid w:val="00B90D64"/>
    <w:rsid w:val="00B90DE5"/>
    <w:rsid w:val="00B91110"/>
    <w:rsid w:val="00B92987"/>
    <w:rsid w:val="00B932DE"/>
    <w:rsid w:val="00B938E0"/>
    <w:rsid w:val="00B93B5B"/>
    <w:rsid w:val="00B93C03"/>
    <w:rsid w:val="00B94237"/>
    <w:rsid w:val="00B94454"/>
    <w:rsid w:val="00B94620"/>
    <w:rsid w:val="00B9482B"/>
    <w:rsid w:val="00B948AB"/>
    <w:rsid w:val="00B949FF"/>
    <w:rsid w:val="00B95E9F"/>
    <w:rsid w:val="00B963C1"/>
    <w:rsid w:val="00B96523"/>
    <w:rsid w:val="00B96542"/>
    <w:rsid w:val="00B9695A"/>
    <w:rsid w:val="00B96E0E"/>
    <w:rsid w:val="00B97858"/>
    <w:rsid w:val="00B97AF1"/>
    <w:rsid w:val="00BA0550"/>
    <w:rsid w:val="00BA12DA"/>
    <w:rsid w:val="00BA179F"/>
    <w:rsid w:val="00BA1C73"/>
    <w:rsid w:val="00BA1E0B"/>
    <w:rsid w:val="00BA1F7B"/>
    <w:rsid w:val="00BA20C4"/>
    <w:rsid w:val="00BA20D5"/>
    <w:rsid w:val="00BA330A"/>
    <w:rsid w:val="00BA3767"/>
    <w:rsid w:val="00BA3F74"/>
    <w:rsid w:val="00BA4689"/>
    <w:rsid w:val="00BA48A7"/>
    <w:rsid w:val="00BA52BF"/>
    <w:rsid w:val="00BA5943"/>
    <w:rsid w:val="00BA6170"/>
    <w:rsid w:val="00BA62C3"/>
    <w:rsid w:val="00BA65F6"/>
    <w:rsid w:val="00BA69FA"/>
    <w:rsid w:val="00BA6A9B"/>
    <w:rsid w:val="00BA6D7C"/>
    <w:rsid w:val="00BA6F1E"/>
    <w:rsid w:val="00BA7199"/>
    <w:rsid w:val="00BA725F"/>
    <w:rsid w:val="00BA7E5B"/>
    <w:rsid w:val="00BB15B0"/>
    <w:rsid w:val="00BB19A1"/>
    <w:rsid w:val="00BB2662"/>
    <w:rsid w:val="00BB2AE6"/>
    <w:rsid w:val="00BB3B54"/>
    <w:rsid w:val="00BB5837"/>
    <w:rsid w:val="00BB5DF5"/>
    <w:rsid w:val="00BB6A8C"/>
    <w:rsid w:val="00BB6B33"/>
    <w:rsid w:val="00BB6B98"/>
    <w:rsid w:val="00BB6C2F"/>
    <w:rsid w:val="00BB76AC"/>
    <w:rsid w:val="00BC0072"/>
    <w:rsid w:val="00BC0985"/>
    <w:rsid w:val="00BC0A5E"/>
    <w:rsid w:val="00BC0F2D"/>
    <w:rsid w:val="00BC2F24"/>
    <w:rsid w:val="00BC3223"/>
    <w:rsid w:val="00BC40D4"/>
    <w:rsid w:val="00BC4408"/>
    <w:rsid w:val="00BC453E"/>
    <w:rsid w:val="00BC47E2"/>
    <w:rsid w:val="00BC4A5B"/>
    <w:rsid w:val="00BC4D58"/>
    <w:rsid w:val="00BC505B"/>
    <w:rsid w:val="00BC56B0"/>
    <w:rsid w:val="00BC57B2"/>
    <w:rsid w:val="00BC581F"/>
    <w:rsid w:val="00BC5A12"/>
    <w:rsid w:val="00BC6100"/>
    <w:rsid w:val="00BC6275"/>
    <w:rsid w:val="00BC6953"/>
    <w:rsid w:val="00BC6BC7"/>
    <w:rsid w:val="00BC6C2F"/>
    <w:rsid w:val="00BC75A0"/>
    <w:rsid w:val="00BD07F6"/>
    <w:rsid w:val="00BD088B"/>
    <w:rsid w:val="00BD0F8B"/>
    <w:rsid w:val="00BD11D9"/>
    <w:rsid w:val="00BD20E8"/>
    <w:rsid w:val="00BD2103"/>
    <w:rsid w:val="00BD2F1B"/>
    <w:rsid w:val="00BD2F80"/>
    <w:rsid w:val="00BD2FC6"/>
    <w:rsid w:val="00BD2FF5"/>
    <w:rsid w:val="00BD36A0"/>
    <w:rsid w:val="00BD37EB"/>
    <w:rsid w:val="00BD3991"/>
    <w:rsid w:val="00BD3C81"/>
    <w:rsid w:val="00BD4BD0"/>
    <w:rsid w:val="00BD505B"/>
    <w:rsid w:val="00BD5CF4"/>
    <w:rsid w:val="00BD69F8"/>
    <w:rsid w:val="00BD6A21"/>
    <w:rsid w:val="00BD6DC6"/>
    <w:rsid w:val="00BD7021"/>
    <w:rsid w:val="00BD73AC"/>
    <w:rsid w:val="00BD7A06"/>
    <w:rsid w:val="00BD7DF4"/>
    <w:rsid w:val="00BE0241"/>
    <w:rsid w:val="00BE06C0"/>
    <w:rsid w:val="00BE1390"/>
    <w:rsid w:val="00BE1EDF"/>
    <w:rsid w:val="00BE1F68"/>
    <w:rsid w:val="00BE2DF6"/>
    <w:rsid w:val="00BE3710"/>
    <w:rsid w:val="00BE4693"/>
    <w:rsid w:val="00BE4754"/>
    <w:rsid w:val="00BE4976"/>
    <w:rsid w:val="00BE4AE2"/>
    <w:rsid w:val="00BE4E9C"/>
    <w:rsid w:val="00BE4F46"/>
    <w:rsid w:val="00BE5C40"/>
    <w:rsid w:val="00BE6266"/>
    <w:rsid w:val="00BE62A8"/>
    <w:rsid w:val="00BE62DF"/>
    <w:rsid w:val="00BE65DA"/>
    <w:rsid w:val="00BE6FBC"/>
    <w:rsid w:val="00BE705E"/>
    <w:rsid w:val="00BE75A2"/>
    <w:rsid w:val="00BE7BD1"/>
    <w:rsid w:val="00BE7D48"/>
    <w:rsid w:val="00BE7FE2"/>
    <w:rsid w:val="00BF0246"/>
    <w:rsid w:val="00BF045F"/>
    <w:rsid w:val="00BF20D7"/>
    <w:rsid w:val="00BF3471"/>
    <w:rsid w:val="00BF4C0B"/>
    <w:rsid w:val="00BF5775"/>
    <w:rsid w:val="00BF5B73"/>
    <w:rsid w:val="00BF60D4"/>
    <w:rsid w:val="00BF687B"/>
    <w:rsid w:val="00BF690B"/>
    <w:rsid w:val="00BF6F65"/>
    <w:rsid w:val="00BF7429"/>
    <w:rsid w:val="00BF794D"/>
    <w:rsid w:val="00C00418"/>
    <w:rsid w:val="00C011CB"/>
    <w:rsid w:val="00C022AF"/>
    <w:rsid w:val="00C02E0B"/>
    <w:rsid w:val="00C03C16"/>
    <w:rsid w:val="00C04781"/>
    <w:rsid w:val="00C0522C"/>
    <w:rsid w:val="00C058A9"/>
    <w:rsid w:val="00C06108"/>
    <w:rsid w:val="00C06294"/>
    <w:rsid w:val="00C06433"/>
    <w:rsid w:val="00C06457"/>
    <w:rsid w:val="00C065D6"/>
    <w:rsid w:val="00C06724"/>
    <w:rsid w:val="00C07038"/>
    <w:rsid w:val="00C07126"/>
    <w:rsid w:val="00C100B8"/>
    <w:rsid w:val="00C10846"/>
    <w:rsid w:val="00C130F0"/>
    <w:rsid w:val="00C14455"/>
    <w:rsid w:val="00C145C6"/>
    <w:rsid w:val="00C14E9E"/>
    <w:rsid w:val="00C15378"/>
    <w:rsid w:val="00C1565A"/>
    <w:rsid w:val="00C159E6"/>
    <w:rsid w:val="00C164A9"/>
    <w:rsid w:val="00C167E9"/>
    <w:rsid w:val="00C1683D"/>
    <w:rsid w:val="00C16858"/>
    <w:rsid w:val="00C16D9B"/>
    <w:rsid w:val="00C17950"/>
    <w:rsid w:val="00C20B9B"/>
    <w:rsid w:val="00C20D3C"/>
    <w:rsid w:val="00C2131C"/>
    <w:rsid w:val="00C218D8"/>
    <w:rsid w:val="00C223DD"/>
    <w:rsid w:val="00C23038"/>
    <w:rsid w:val="00C23547"/>
    <w:rsid w:val="00C23590"/>
    <w:rsid w:val="00C23870"/>
    <w:rsid w:val="00C23BEB"/>
    <w:rsid w:val="00C23CF9"/>
    <w:rsid w:val="00C24166"/>
    <w:rsid w:val="00C24FE8"/>
    <w:rsid w:val="00C250F8"/>
    <w:rsid w:val="00C25E6C"/>
    <w:rsid w:val="00C25FAA"/>
    <w:rsid w:val="00C262E7"/>
    <w:rsid w:val="00C267D5"/>
    <w:rsid w:val="00C26CCD"/>
    <w:rsid w:val="00C27529"/>
    <w:rsid w:val="00C27D04"/>
    <w:rsid w:val="00C30DD1"/>
    <w:rsid w:val="00C30DE1"/>
    <w:rsid w:val="00C314E6"/>
    <w:rsid w:val="00C33009"/>
    <w:rsid w:val="00C330B2"/>
    <w:rsid w:val="00C33650"/>
    <w:rsid w:val="00C33947"/>
    <w:rsid w:val="00C3558C"/>
    <w:rsid w:val="00C35914"/>
    <w:rsid w:val="00C35BE1"/>
    <w:rsid w:val="00C361DE"/>
    <w:rsid w:val="00C3633D"/>
    <w:rsid w:val="00C3666E"/>
    <w:rsid w:val="00C36822"/>
    <w:rsid w:val="00C36A7C"/>
    <w:rsid w:val="00C37849"/>
    <w:rsid w:val="00C37AD4"/>
    <w:rsid w:val="00C37D23"/>
    <w:rsid w:val="00C4018A"/>
    <w:rsid w:val="00C40217"/>
    <w:rsid w:val="00C40494"/>
    <w:rsid w:val="00C406E5"/>
    <w:rsid w:val="00C40A2C"/>
    <w:rsid w:val="00C40EF9"/>
    <w:rsid w:val="00C41FC7"/>
    <w:rsid w:val="00C424A6"/>
    <w:rsid w:val="00C43188"/>
    <w:rsid w:val="00C43568"/>
    <w:rsid w:val="00C43579"/>
    <w:rsid w:val="00C4398E"/>
    <w:rsid w:val="00C441F7"/>
    <w:rsid w:val="00C4498B"/>
    <w:rsid w:val="00C44B66"/>
    <w:rsid w:val="00C44EF7"/>
    <w:rsid w:val="00C457A8"/>
    <w:rsid w:val="00C46ED4"/>
    <w:rsid w:val="00C4762F"/>
    <w:rsid w:val="00C501FC"/>
    <w:rsid w:val="00C50200"/>
    <w:rsid w:val="00C5070F"/>
    <w:rsid w:val="00C50EF8"/>
    <w:rsid w:val="00C51B72"/>
    <w:rsid w:val="00C51CB5"/>
    <w:rsid w:val="00C523AF"/>
    <w:rsid w:val="00C528E2"/>
    <w:rsid w:val="00C52A78"/>
    <w:rsid w:val="00C52F9C"/>
    <w:rsid w:val="00C53AB9"/>
    <w:rsid w:val="00C54310"/>
    <w:rsid w:val="00C54BF5"/>
    <w:rsid w:val="00C55338"/>
    <w:rsid w:val="00C5543F"/>
    <w:rsid w:val="00C560C2"/>
    <w:rsid w:val="00C57378"/>
    <w:rsid w:val="00C607F6"/>
    <w:rsid w:val="00C60E7F"/>
    <w:rsid w:val="00C612AE"/>
    <w:rsid w:val="00C61815"/>
    <w:rsid w:val="00C6294A"/>
    <w:rsid w:val="00C62CF0"/>
    <w:rsid w:val="00C63071"/>
    <w:rsid w:val="00C6326F"/>
    <w:rsid w:val="00C6339B"/>
    <w:rsid w:val="00C63846"/>
    <w:rsid w:val="00C638F0"/>
    <w:rsid w:val="00C64C73"/>
    <w:rsid w:val="00C650B2"/>
    <w:rsid w:val="00C6555F"/>
    <w:rsid w:val="00C6568C"/>
    <w:rsid w:val="00C65A6B"/>
    <w:rsid w:val="00C6668C"/>
    <w:rsid w:val="00C66D1E"/>
    <w:rsid w:val="00C672F8"/>
    <w:rsid w:val="00C67ABA"/>
    <w:rsid w:val="00C67CDA"/>
    <w:rsid w:val="00C70664"/>
    <w:rsid w:val="00C73346"/>
    <w:rsid w:val="00C74230"/>
    <w:rsid w:val="00C75288"/>
    <w:rsid w:val="00C758D0"/>
    <w:rsid w:val="00C75B99"/>
    <w:rsid w:val="00C7639C"/>
    <w:rsid w:val="00C81315"/>
    <w:rsid w:val="00C81B87"/>
    <w:rsid w:val="00C824F4"/>
    <w:rsid w:val="00C82EBA"/>
    <w:rsid w:val="00C834DB"/>
    <w:rsid w:val="00C83520"/>
    <w:rsid w:val="00C83D27"/>
    <w:rsid w:val="00C84A4F"/>
    <w:rsid w:val="00C85558"/>
    <w:rsid w:val="00C85663"/>
    <w:rsid w:val="00C85AFC"/>
    <w:rsid w:val="00C85BC2"/>
    <w:rsid w:val="00C85C80"/>
    <w:rsid w:val="00C86657"/>
    <w:rsid w:val="00C868E7"/>
    <w:rsid w:val="00C86F6F"/>
    <w:rsid w:val="00C87606"/>
    <w:rsid w:val="00C90062"/>
    <w:rsid w:val="00C90B5F"/>
    <w:rsid w:val="00C90ED4"/>
    <w:rsid w:val="00C915F5"/>
    <w:rsid w:val="00C92A8D"/>
    <w:rsid w:val="00C92D01"/>
    <w:rsid w:val="00C9464F"/>
    <w:rsid w:val="00C947E0"/>
    <w:rsid w:val="00C949A8"/>
    <w:rsid w:val="00C95AB5"/>
    <w:rsid w:val="00C9657A"/>
    <w:rsid w:val="00C96728"/>
    <w:rsid w:val="00C96CA6"/>
    <w:rsid w:val="00C97251"/>
    <w:rsid w:val="00C973C6"/>
    <w:rsid w:val="00C9793A"/>
    <w:rsid w:val="00C97F3D"/>
    <w:rsid w:val="00CA0D82"/>
    <w:rsid w:val="00CA1258"/>
    <w:rsid w:val="00CA1706"/>
    <w:rsid w:val="00CA1AEE"/>
    <w:rsid w:val="00CA1DEA"/>
    <w:rsid w:val="00CA21F9"/>
    <w:rsid w:val="00CA2437"/>
    <w:rsid w:val="00CA35BC"/>
    <w:rsid w:val="00CA3782"/>
    <w:rsid w:val="00CA3799"/>
    <w:rsid w:val="00CA3D74"/>
    <w:rsid w:val="00CA4A50"/>
    <w:rsid w:val="00CA4C5F"/>
    <w:rsid w:val="00CA550D"/>
    <w:rsid w:val="00CA5B79"/>
    <w:rsid w:val="00CA5D7E"/>
    <w:rsid w:val="00CA5F54"/>
    <w:rsid w:val="00CA6224"/>
    <w:rsid w:val="00CA7160"/>
    <w:rsid w:val="00CA753A"/>
    <w:rsid w:val="00CA78DE"/>
    <w:rsid w:val="00CA7D77"/>
    <w:rsid w:val="00CA7F3D"/>
    <w:rsid w:val="00CB023A"/>
    <w:rsid w:val="00CB04CD"/>
    <w:rsid w:val="00CB07E7"/>
    <w:rsid w:val="00CB0E93"/>
    <w:rsid w:val="00CB1BDB"/>
    <w:rsid w:val="00CB2AC3"/>
    <w:rsid w:val="00CB2D4A"/>
    <w:rsid w:val="00CB38BD"/>
    <w:rsid w:val="00CB4241"/>
    <w:rsid w:val="00CB4416"/>
    <w:rsid w:val="00CB452B"/>
    <w:rsid w:val="00CB484F"/>
    <w:rsid w:val="00CB48D6"/>
    <w:rsid w:val="00CB4D88"/>
    <w:rsid w:val="00CB535E"/>
    <w:rsid w:val="00CB5574"/>
    <w:rsid w:val="00CB56E6"/>
    <w:rsid w:val="00CB5997"/>
    <w:rsid w:val="00CB669E"/>
    <w:rsid w:val="00CB6A8E"/>
    <w:rsid w:val="00CC00CC"/>
    <w:rsid w:val="00CC05E8"/>
    <w:rsid w:val="00CC0679"/>
    <w:rsid w:val="00CC0A14"/>
    <w:rsid w:val="00CC0BB8"/>
    <w:rsid w:val="00CC160F"/>
    <w:rsid w:val="00CC29EB"/>
    <w:rsid w:val="00CC2A4D"/>
    <w:rsid w:val="00CC3707"/>
    <w:rsid w:val="00CC3829"/>
    <w:rsid w:val="00CC3980"/>
    <w:rsid w:val="00CC3C46"/>
    <w:rsid w:val="00CC4DBD"/>
    <w:rsid w:val="00CC500D"/>
    <w:rsid w:val="00CC561C"/>
    <w:rsid w:val="00CC5D66"/>
    <w:rsid w:val="00CC61EC"/>
    <w:rsid w:val="00CC69EA"/>
    <w:rsid w:val="00CC77EB"/>
    <w:rsid w:val="00CD06AB"/>
    <w:rsid w:val="00CD0B13"/>
    <w:rsid w:val="00CD1A3C"/>
    <w:rsid w:val="00CD2427"/>
    <w:rsid w:val="00CD4027"/>
    <w:rsid w:val="00CD4CAA"/>
    <w:rsid w:val="00CD4D30"/>
    <w:rsid w:val="00CD6253"/>
    <w:rsid w:val="00CD6434"/>
    <w:rsid w:val="00CD7673"/>
    <w:rsid w:val="00CD7F86"/>
    <w:rsid w:val="00CE09B0"/>
    <w:rsid w:val="00CE0A1D"/>
    <w:rsid w:val="00CE0D69"/>
    <w:rsid w:val="00CE11B5"/>
    <w:rsid w:val="00CE35BA"/>
    <w:rsid w:val="00CE4B9D"/>
    <w:rsid w:val="00CE5DFC"/>
    <w:rsid w:val="00CE6617"/>
    <w:rsid w:val="00CE6765"/>
    <w:rsid w:val="00CE6880"/>
    <w:rsid w:val="00CE73D7"/>
    <w:rsid w:val="00CE7639"/>
    <w:rsid w:val="00CE7BD1"/>
    <w:rsid w:val="00CF0735"/>
    <w:rsid w:val="00CF197F"/>
    <w:rsid w:val="00CF1D4D"/>
    <w:rsid w:val="00CF2045"/>
    <w:rsid w:val="00CF2086"/>
    <w:rsid w:val="00CF311E"/>
    <w:rsid w:val="00CF3F4D"/>
    <w:rsid w:val="00CF41A1"/>
    <w:rsid w:val="00CF474A"/>
    <w:rsid w:val="00CF4775"/>
    <w:rsid w:val="00CF4C1D"/>
    <w:rsid w:val="00CF5A77"/>
    <w:rsid w:val="00CF5ABC"/>
    <w:rsid w:val="00CF7080"/>
    <w:rsid w:val="00D0031E"/>
    <w:rsid w:val="00D0266F"/>
    <w:rsid w:val="00D03188"/>
    <w:rsid w:val="00D03325"/>
    <w:rsid w:val="00D03354"/>
    <w:rsid w:val="00D04D4F"/>
    <w:rsid w:val="00D05B64"/>
    <w:rsid w:val="00D05D5C"/>
    <w:rsid w:val="00D064A9"/>
    <w:rsid w:val="00D06F0A"/>
    <w:rsid w:val="00D07503"/>
    <w:rsid w:val="00D07676"/>
    <w:rsid w:val="00D07ADF"/>
    <w:rsid w:val="00D07D67"/>
    <w:rsid w:val="00D10AE7"/>
    <w:rsid w:val="00D10F9B"/>
    <w:rsid w:val="00D11E28"/>
    <w:rsid w:val="00D11F38"/>
    <w:rsid w:val="00D12525"/>
    <w:rsid w:val="00D1340F"/>
    <w:rsid w:val="00D13BDE"/>
    <w:rsid w:val="00D13E40"/>
    <w:rsid w:val="00D143DD"/>
    <w:rsid w:val="00D144C8"/>
    <w:rsid w:val="00D14B58"/>
    <w:rsid w:val="00D159FD"/>
    <w:rsid w:val="00D1656F"/>
    <w:rsid w:val="00D171A9"/>
    <w:rsid w:val="00D20DDC"/>
    <w:rsid w:val="00D212FD"/>
    <w:rsid w:val="00D21A34"/>
    <w:rsid w:val="00D21D5C"/>
    <w:rsid w:val="00D2459C"/>
    <w:rsid w:val="00D24649"/>
    <w:rsid w:val="00D2484B"/>
    <w:rsid w:val="00D2548A"/>
    <w:rsid w:val="00D261A2"/>
    <w:rsid w:val="00D262FF"/>
    <w:rsid w:val="00D27875"/>
    <w:rsid w:val="00D27A41"/>
    <w:rsid w:val="00D27B6A"/>
    <w:rsid w:val="00D27DAA"/>
    <w:rsid w:val="00D309BD"/>
    <w:rsid w:val="00D30CDF"/>
    <w:rsid w:val="00D311E2"/>
    <w:rsid w:val="00D31654"/>
    <w:rsid w:val="00D31A15"/>
    <w:rsid w:val="00D31AE0"/>
    <w:rsid w:val="00D326F4"/>
    <w:rsid w:val="00D32CD7"/>
    <w:rsid w:val="00D3309A"/>
    <w:rsid w:val="00D334E9"/>
    <w:rsid w:val="00D33AA9"/>
    <w:rsid w:val="00D33F43"/>
    <w:rsid w:val="00D3435E"/>
    <w:rsid w:val="00D359FF"/>
    <w:rsid w:val="00D35A2D"/>
    <w:rsid w:val="00D368D9"/>
    <w:rsid w:val="00D369B6"/>
    <w:rsid w:val="00D373FA"/>
    <w:rsid w:val="00D37AC6"/>
    <w:rsid w:val="00D401DD"/>
    <w:rsid w:val="00D4030B"/>
    <w:rsid w:val="00D4097E"/>
    <w:rsid w:val="00D4126C"/>
    <w:rsid w:val="00D41360"/>
    <w:rsid w:val="00D41AD6"/>
    <w:rsid w:val="00D42676"/>
    <w:rsid w:val="00D434D4"/>
    <w:rsid w:val="00D43B06"/>
    <w:rsid w:val="00D43B0A"/>
    <w:rsid w:val="00D44062"/>
    <w:rsid w:val="00D440F4"/>
    <w:rsid w:val="00D44398"/>
    <w:rsid w:val="00D443DF"/>
    <w:rsid w:val="00D446D0"/>
    <w:rsid w:val="00D44747"/>
    <w:rsid w:val="00D44F58"/>
    <w:rsid w:val="00D44FC5"/>
    <w:rsid w:val="00D450CE"/>
    <w:rsid w:val="00D45AF6"/>
    <w:rsid w:val="00D45B39"/>
    <w:rsid w:val="00D4606F"/>
    <w:rsid w:val="00D46168"/>
    <w:rsid w:val="00D462A8"/>
    <w:rsid w:val="00D46379"/>
    <w:rsid w:val="00D4675B"/>
    <w:rsid w:val="00D46C3C"/>
    <w:rsid w:val="00D46CC8"/>
    <w:rsid w:val="00D46D54"/>
    <w:rsid w:val="00D46F09"/>
    <w:rsid w:val="00D470A6"/>
    <w:rsid w:val="00D476E2"/>
    <w:rsid w:val="00D478A0"/>
    <w:rsid w:val="00D47D0C"/>
    <w:rsid w:val="00D47F69"/>
    <w:rsid w:val="00D50E40"/>
    <w:rsid w:val="00D50FEB"/>
    <w:rsid w:val="00D51593"/>
    <w:rsid w:val="00D5170C"/>
    <w:rsid w:val="00D51762"/>
    <w:rsid w:val="00D51F99"/>
    <w:rsid w:val="00D51FF5"/>
    <w:rsid w:val="00D5238B"/>
    <w:rsid w:val="00D52643"/>
    <w:rsid w:val="00D52A07"/>
    <w:rsid w:val="00D538EC"/>
    <w:rsid w:val="00D53D1F"/>
    <w:rsid w:val="00D53F02"/>
    <w:rsid w:val="00D54007"/>
    <w:rsid w:val="00D54662"/>
    <w:rsid w:val="00D54C45"/>
    <w:rsid w:val="00D54C56"/>
    <w:rsid w:val="00D54EF0"/>
    <w:rsid w:val="00D551C9"/>
    <w:rsid w:val="00D5565A"/>
    <w:rsid w:val="00D55AC9"/>
    <w:rsid w:val="00D560F2"/>
    <w:rsid w:val="00D5678A"/>
    <w:rsid w:val="00D56C36"/>
    <w:rsid w:val="00D57350"/>
    <w:rsid w:val="00D60598"/>
    <w:rsid w:val="00D610F1"/>
    <w:rsid w:val="00D61A17"/>
    <w:rsid w:val="00D61CBA"/>
    <w:rsid w:val="00D63ABC"/>
    <w:rsid w:val="00D63CF8"/>
    <w:rsid w:val="00D63E4B"/>
    <w:rsid w:val="00D643F3"/>
    <w:rsid w:val="00D648A5"/>
    <w:rsid w:val="00D65161"/>
    <w:rsid w:val="00D6714D"/>
    <w:rsid w:val="00D6785A"/>
    <w:rsid w:val="00D700C1"/>
    <w:rsid w:val="00D706CE"/>
    <w:rsid w:val="00D7070B"/>
    <w:rsid w:val="00D70AD7"/>
    <w:rsid w:val="00D714AA"/>
    <w:rsid w:val="00D7155F"/>
    <w:rsid w:val="00D71FB5"/>
    <w:rsid w:val="00D71FC7"/>
    <w:rsid w:val="00D726EB"/>
    <w:rsid w:val="00D7285A"/>
    <w:rsid w:val="00D72B3D"/>
    <w:rsid w:val="00D72CBC"/>
    <w:rsid w:val="00D74783"/>
    <w:rsid w:val="00D753DE"/>
    <w:rsid w:val="00D7559B"/>
    <w:rsid w:val="00D7577C"/>
    <w:rsid w:val="00D76033"/>
    <w:rsid w:val="00D76302"/>
    <w:rsid w:val="00D764DA"/>
    <w:rsid w:val="00D76645"/>
    <w:rsid w:val="00D76776"/>
    <w:rsid w:val="00D77387"/>
    <w:rsid w:val="00D80712"/>
    <w:rsid w:val="00D81408"/>
    <w:rsid w:val="00D820D0"/>
    <w:rsid w:val="00D821E1"/>
    <w:rsid w:val="00D821FD"/>
    <w:rsid w:val="00D82270"/>
    <w:rsid w:val="00D823A7"/>
    <w:rsid w:val="00D82663"/>
    <w:rsid w:val="00D82D9F"/>
    <w:rsid w:val="00D83BAB"/>
    <w:rsid w:val="00D83E8A"/>
    <w:rsid w:val="00D8488D"/>
    <w:rsid w:val="00D84A9D"/>
    <w:rsid w:val="00D84B94"/>
    <w:rsid w:val="00D84E53"/>
    <w:rsid w:val="00D84F9F"/>
    <w:rsid w:val="00D85321"/>
    <w:rsid w:val="00D8622E"/>
    <w:rsid w:val="00D86821"/>
    <w:rsid w:val="00D870C5"/>
    <w:rsid w:val="00D87501"/>
    <w:rsid w:val="00D90091"/>
    <w:rsid w:val="00D902F4"/>
    <w:rsid w:val="00D9045D"/>
    <w:rsid w:val="00D908F1"/>
    <w:rsid w:val="00D90E5E"/>
    <w:rsid w:val="00D9122A"/>
    <w:rsid w:val="00D914A3"/>
    <w:rsid w:val="00D91850"/>
    <w:rsid w:val="00D91E35"/>
    <w:rsid w:val="00D9284C"/>
    <w:rsid w:val="00D928C8"/>
    <w:rsid w:val="00D929B3"/>
    <w:rsid w:val="00D9380E"/>
    <w:rsid w:val="00D93EF8"/>
    <w:rsid w:val="00D9428A"/>
    <w:rsid w:val="00D94F1B"/>
    <w:rsid w:val="00D952BE"/>
    <w:rsid w:val="00D95802"/>
    <w:rsid w:val="00D961EC"/>
    <w:rsid w:val="00D96935"/>
    <w:rsid w:val="00D97ADB"/>
    <w:rsid w:val="00D97BE1"/>
    <w:rsid w:val="00D97D09"/>
    <w:rsid w:val="00D97DEE"/>
    <w:rsid w:val="00DA0030"/>
    <w:rsid w:val="00DA00C9"/>
    <w:rsid w:val="00DA17C9"/>
    <w:rsid w:val="00DA20C0"/>
    <w:rsid w:val="00DA27C7"/>
    <w:rsid w:val="00DA28E7"/>
    <w:rsid w:val="00DA30C3"/>
    <w:rsid w:val="00DA4631"/>
    <w:rsid w:val="00DA471F"/>
    <w:rsid w:val="00DA4EB9"/>
    <w:rsid w:val="00DA64A2"/>
    <w:rsid w:val="00DA6550"/>
    <w:rsid w:val="00DA7064"/>
    <w:rsid w:val="00DB0431"/>
    <w:rsid w:val="00DB0BBA"/>
    <w:rsid w:val="00DB15D8"/>
    <w:rsid w:val="00DB1BF2"/>
    <w:rsid w:val="00DB1CC5"/>
    <w:rsid w:val="00DB218E"/>
    <w:rsid w:val="00DB2225"/>
    <w:rsid w:val="00DB2A0B"/>
    <w:rsid w:val="00DB2AD1"/>
    <w:rsid w:val="00DB2BAC"/>
    <w:rsid w:val="00DB3E00"/>
    <w:rsid w:val="00DB4CD4"/>
    <w:rsid w:val="00DB51E6"/>
    <w:rsid w:val="00DB5472"/>
    <w:rsid w:val="00DB57E6"/>
    <w:rsid w:val="00DB6931"/>
    <w:rsid w:val="00DB6C1E"/>
    <w:rsid w:val="00DB6C81"/>
    <w:rsid w:val="00DB76C6"/>
    <w:rsid w:val="00DC0596"/>
    <w:rsid w:val="00DC0AF9"/>
    <w:rsid w:val="00DC1102"/>
    <w:rsid w:val="00DC1153"/>
    <w:rsid w:val="00DC183E"/>
    <w:rsid w:val="00DC1C08"/>
    <w:rsid w:val="00DC1CC6"/>
    <w:rsid w:val="00DC2247"/>
    <w:rsid w:val="00DC3105"/>
    <w:rsid w:val="00DC32C9"/>
    <w:rsid w:val="00DC3486"/>
    <w:rsid w:val="00DC3A9A"/>
    <w:rsid w:val="00DC446B"/>
    <w:rsid w:val="00DC4B17"/>
    <w:rsid w:val="00DC53B1"/>
    <w:rsid w:val="00DC5FEB"/>
    <w:rsid w:val="00DC6346"/>
    <w:rsid w:val="00DC6786"/>
    <w:rsid w:val="00DC73E4"/>
    <w:rsid w:val="00DC7FB2"/>
    <w:rsid w:val="00DD00F4"/>
    <w:rsid w:val="00DD073E"/>
    <w:rsid w:val="00DD0AFA"/>
    <w:rsid w:val="00DD0E04"/>
    <w:rsid w:val="00DD0F10"/>
    <w:rsid w:val="00DD1990"/>
    <w:rsid w:val="00DD24C1"/>
    <w:rsid w:val="00DD2C82"/>
    <w:rsid w:val="00DD2E3A"/>
    <w:rsid w:val="00DD3BCA"/>
    <w:rsid w:val="00DD3E8F"/>
    <w:rsid w:val="00DD3EA6"/>
    <w:rsid w:val="00DD487A"/>
    <w:rsid w:val="00DD6169"/>
    <w:rsid w:val="00DD7637"/>
    <w:rsid w:val="00DD7D5B"/>
    <w:rsid w:val="00DD7F08"/>
    <w:rsid w:val="00DE06C3"/>
    <w:rsid w:val="00DE07D4"/>
    <w:rsid w:val="00DE0AA5"/>
    <w:rsid w:val="00DE0FA9"/>
    <w:rsid w:val="00DE180A"/>
    <w:rsid w:val="00DE1952"/>
    <w:rsid w:val="00DE1FDA"/>
    <w:rsid w:val="00DE23AB"/>
    <w:rsid w:val="00DE23BC"/>
    <w:rsid w:val="00DE23D8"/>
    <w:rsid w:val="00DE2760"/>
    <w:rsid w:val="00DE2E92"/>
    <w:rsid w:val="00DE3CD4"/>
    <w:rsid w:val="00DE46D3"/>
    <w:rsid w:val="00DE52D2"/>
    <w:rsid w:val="00DE5522"/>
    <w:rsid w:val="00DE5D83"/>
    <w:rsid w:val="00DE613F"/>
    <w:rsid w:val="00DE6A07"/>
    <w:rsid w:val="00DE70C2"/>
    <w:rsid w:val="00DE7A8A"/>
    <w:rsid w:val="00DE7F0F"/>
    <w:rsid w:val="00DF05CB"/>
    <w:rsid w:val="00DF0C7D"/>
    <w:rsid w:val="00DF17EC"/>
    <w:rsid w:val="00DF1ECA"/>
    <w:rsid w:val="00DF2C73"/>
    <w:rsid w:val="00DF3667"/>
    <w:rsid w:val="00DF4299"/>
    <w:rsid w:val="00DF4649"/>
    <w:rsid w:val="00DF4684"/>
    <w:rsid w:val="00DF4742"/>
    <w:rsid w:val="00DF4D6F"/>
    <w:rsid w:val="00DF50CB"/>
    <w:rsid w:val="00DF7A61"/>
    <w:rsid w:val="00DF7FA5"/>
    <w:rsid w:val="00E01D77"/>
    <w:rsid w:val="00E033DF"/>
    <w:rsid w:val="00E0419F"/>
    <w:rsid w:val="00E05562"/>
    <w:rsid w:val="00E056CF"/>
    <w:rsid w:val="00E05A17"/>
    <w:rsid w:val="00E05EB1"/>
    <w:rsid w:val="00E06856"/>
    <w:rsid w:val="00E06D2C"/>
    <w:rsid w:val="00E06DBD"/>
    <w:rsid w:val="00E10B92"/>
    <w:rsid w:val="00E11353"/>
    <w:rsid w:val="00E1172D"/>
    <w:rsid w:val="00E11C69"/>
    <w:rsid w:val="00E11E6F"/>
    <w:rsid w:val="00E12BF7"/>
    <w:rsid w:val="00E12FB3"/>
    <w:rsid w:val="00E146EC"/>
    <w:rsid w:val="00E146FA"/>
    <w:rsid w:val="00E1483A"/>
    <w:rsid w:val="00E14B48"/>
    <w:rsid w:val="00E15035"/>
    <w:rsid w:val="00E15375"/>
    <w:rsid w:val="00E156FC"/>
    <w:rsid w:val="00E15B81"/>
    <w:rsid w:val="00E17DF8"/>
    <w:rsid w:val="00E2003B"/>
    <w:rsid w:val="00E20373"/>
    <w:rsid w:val="00E2071A"/>
    <w:rsid w:val="00E21AE4"/>
    <w:rsid w:val="00E21ED5"/>
    <w:rsid w:val="00E21FC8"/>
    <w:rsid w:val="00E22838"/>
    <w:rsid w:val="00E23B2B"/>
    <w:rsid w:val="00E23EAA"/>
    <w:rsid w:val="00E23ECE"/>
    <w:rsid w:val="00E2401A"/>
    <w:rsid w:val="00E240D0"/>
    <w:rsid w:val="00E24A14"/>
    <w:rsid w:val="00E256B3"/>
    <w:rsid w:val="00E25BE6"/>
    <w:rsid w:val="00E264E7"/>
    <w:rsid w:val="00E26BB0"/>
    <w:rsid w:val="00E26EA9"/>
    <w:rsid w:val="00E277D2"/>
    <w:rsid w:val="00E27C55"/>
    <w:rsid w:val="00E300D2"/>
    <w:rsid w:val="00E30E69"/>
    <w:rsid w:val="00E30EF3"/>
    <w:rsid w:val="00E31033"/>
    <w:rsid w:val="00E316A8"/>
    <w:rsid w:val="00E31B3B"/>
    <w:rsid w:val="00E31E9B"/>
    <w:rsid w:val="00E31F9E"/>
    <w:rsid w:val="00E3399A"/>
    <w:rsid w:val="00E33F67"/>
    <w:rsid w:val="00E34823"/>
    <w:rsid w:val="00E3496E"/>
    <w:rsid w:val="00E35597"/>
    <w:rsid w:val="00E359B1"/>
    <w:rsid w:val="00E360F0"/>
    <w:rsid w:val="00E364C6"/>
    <w:rsid w:val="00E36B97"/>
    <w:rsid w:val="00E36CBB"/>
    <w:rsid w:val="00E37540"/>
    <w:rsid w:val="00E3785D"/>
    <w:rsid w:val="00E415D3"/>
    <w:rsid w:val="00E419CF"/>
    <w:rsid w:val="00E426A5"/>
    <w:rsid w:val="00E42A83"/>
    <w:rsid w:val="00E432BF"/>
    <w:rsid w:val="00E45B1C"/>
    <w:rsid w:val="00E45E10"/>
    <w:rsid w:val="00E461C8"/>
    <w:rsid w:val="00E46A56"/>
    <w:rsid w:val="00E46CDE"/>
    <w:rsid w:val="00E46F88"/>
    <w:rsid w:val="00E470D1"/>
    <w:rsid w:val="00E47156"/>
    <w:rsid w:val="00E510EC"/>
    <w:rsid w:val="00E5114B"/>
    <w:rsid w:val="00E52594"/>
    <w:rsid w:val="00E536C3"/>
    <w:rsid w:val="00E53E97"/>
    <w:rsid w:val="00E54DEB"/>
    <w:rsid w:val="00E55161"/>
    <w:rsid w:val="00E554F1"/>
    <w:rsid w:val="00E55709"/>
    <w:rsid w:val="00E55C33"/>
    <w:rsid w:val="00E5697C"/>
    <w:rsid w:val="00E57332"/>
    <w:rsid w:val="00E57672"/>
    <w:rsid w:val="00E57A00"/>
    <w:rsid w:val="00E57DF7"/>
    <w:rsid w:val="00E601B8"/>
    <w:rsid w:val="00E60E16"/>
    <w:rsid w:val="00E61627"/>
    <w:rsid w:val="00E63FF5"/>
    <w:rsid w:val="00E64139"/>
    <w:rsid w:val="00E65035"/>
    <w:rsid w:val="00E651FD"/>
    <w:rsid w:val="00E652A9"/>
    <w:rsid w:val="00E660E5"/>
    <w:rsid w:val="00E6673D"/>
    <w:rsid w:val="00E66750"/>
    <w:rsid w:val="00E66B6C"/>
    <w:rsid w:val="00E66F89"/>
    <w:rsid w:val="00E67C3C"/>
    <w:rsid w:val="00E70BEA"/>
    <w:rsid w:val="00E70CCE"/>
    <w:rsid w:val="00E7185A"/>
    <w:rsid w:val="00E71A61"/>
    <w:rsid w:val="00E71C6C"/>
    <w:rsid w:val="00E71D54"/>
    <w:rsid w:val="00E726AB"/>
    <w:rsid w:val="00E72818"/>
    <w:rsid w:val="00E72E04"/>
    <w:rsid w:val="00E7320D"/>
    <w:rsid w:val="00E7321C"/>
    <w:rsid w:val="00E73C9A"/>
    <w:rsid w:val="00E744AB"/>
    <w:rsid w:val="00E7473E"/>
    <w:rsid w:val="00E74A1F"/>
    <w:rsid w:val="00E74A33"/>
    <w:rsid w:val="00E7554C"/>
    <w:rsid w:val="00E755BC"/>
    <w:rsid w:val="00E75751"/>
    <w:rsid w:val="00E75DA5"/>
    <w:rsid w:val="00E76821"/>
    <w:rsid w:val="00E76880"/>
    <w:rsid w:val="00E77433"/>
    <w:rsid w:val="00E7743D"/>
    <w:rsid w:val="00E77AF7"/>
    <w:rsid w:val="00E80A85"/>
    <w:rsid w:val="00E80D67"/>
    <w:rsid w:val="00E823F2"/>
    <w:rsid w:val="00E83A75"/>
    <w:rsid w:val="00E84C3D"/>
    <w:rsid w:val="00E84F2B"/>
    <w:rsid w:val="00E85897"/>
    <w:rsid w:val="00E85AAF"/>
    <w:rsid w:val="00E85DAF"/>
    <w:rsid w:val="00E85FDC"/>
    <w:rsid w:val="00E864D9"/>
    <w:rsid w:val="00E86EF1"/>
    <w:rsid w:val="00E86F82"/>
    <w:rsid w:val="00E872D9"/>
    <w:rsid w:val="00E87ABC"/>
    <w:rsid w:val="00E87D9C"/>
    <w:rsid w:val="00E90388"/>
    <w:rsid w:val="00E905BB"/>
    <w:rsid w:val="00E90874"/>
    <w:rsid w:val="00E90962"/>
    <w:rsid w:val="00E9292A"/>
    <w:rsid w:val="00E9298D"/>
    <w:rsid w:val="00E93380"/>
    <w:rsid w:val="00E93C81"/>
    <w:rsid w:val="00E9472B"/>
    <w:rsid w:val="00E95E01"/>
    <w:rsid w:val="00E96337"/>
    <w:rsid w:val="00E965BC"/>
    <w:rsid w:val="00E96AB6"/>
    <w:rsid w:val="00E978F9"/>
    <w:rsid w:val="00EA043B"/>
    <w:rsid w:val="00EA0C99"/>
    <w:rsid w:val="00EA11FD"/>
    <w:rsid w:val="00EA2107"/>
    <w:rsid w:val="00EA349C"/>
    <w:rsid w:val="00EA355F"/>
    <w:rsid w:val="00EA3E2A"/>
    <w:rsid w:val="00EA43E6"/>
    <w:rsid w:val="00EA4A7B"/>
    <w:rsid w:val="00EA517F"/>
    <w:rsid w:val="00EA6F51"/>
    <w:rsid w:val="00EA709C"/>
    <w:rsid w:val="00EA7700"/>
    <w:rsid w:val="00EA7DC3"/>
    <w:rsid w:val="00EB0608"/>
    <w:rsid w:val="00EB123F"/>
    <w:rsid w:val="00EB1387"/>
    <w:rsid w:val="00EB168D"/>
    <w:rsid w:val="00EB1D02"/>
    <w:rsid w:val="00EB24A8"/>
    <w:rsid w:val="00EB2727"/>
    <w:rsid w:val="00EB2A48"/>
    <w:rsid w:val="00EB2D95"/>
    <w:rsid w:val="00EB3080"/>
    <w:rsid w:val="00EB3485"/>
    <w:rsid w:val="00EB378F"/>
    <w:rsid w:val="00EB3BD6"/>
    <w:rsid w:val="00EB4999"/>
    <w:rsid w:val="00EB4A87"/>
    <w:rsid w:val="00EB4AE9"/>
    <w:rsid w:val="00EB4BD6"/>
    <w:rsid w:val="00EB5AE0"/>
    <w:rsid w:val="00EB611F"/>
    <w:rsid w:val="00EC06A3"/>
    <w:rsid w:val="00EC0D7E"/>
    <w:rsid w:val="00EC16AA"/>
    <w:rsid w:val="00EC16B9"/>
    <w:rsid w:val="00EC1854"/>
    <w:rsid w:val="00EC1AF7"/>
    <w:rsid w:val="00EC1C59"/>
    <w:rsid w:val="00EC22BF"/>
    <w:rsid w:val="00EC34B9"/>
    <w:rsid w:val="00EC4403"/>
    <w:rsid w:val="00EC491C"/>
    <w:rsid w:val="00EC57E5"/>
    <w:rsid w:val="00EC5F38"/>
    <w:rsid w:val="00EC635E"/>
    <w:rsid w:val="00EC768C"/>
    <w:rsid w:val="00EC7A2C"/>
    <w:rsid w:val="00EC7D2A"/>
    <w:rsid w:val="00ED08C0"/>
    <w:rsid w:val="00ED156A"/>
    <w:rsid w:val="00ED1714"/>
    <w:rsid w:val="00ED18D0"/>
    <w:rsid w:val="00ED2F55"/>
    <w:rsid w:val="00ED3A60"/>
    <w:rsid w:val="00ED3EEC"/>
    <w:rsid w:val="00ED4142"/>
    <w:rsid w:val="00ED5193"/>
    <w:rsid w:val="00ED52FA"/>
    <w:rsid w:val="00ED5DF1"/>
    <w:rsid w:val="00ED6841"/>
    <w:rsid w:val="00ED6AC0"/>
    <w:rsid w:val="00ED7809"/>
    <w:rsid w:val="00EE0ACE"/>
    <w:rsid w:val="00EE1951"/>
    <w:rsid w:val="00EE1F56"/>
    <w:rsid w:val="00EE3DE5"/>
    <w:rsid w:val="00EE419F"/>
    <w:rsid w:val="00EE442D"/>
    <w:rsid w:val="00EE4534"/>
    <w:rsid w:val="00EE473C"/>
    <w:rsid w:val="00EE4E4E"/>
    <w:rsid w:val="00EE50A3"/>
    <w:rsid w:val="00EE5F2B"/>
    <w:rsid w:val="00EE63E4"/>
    <w:rsid w:val="00EE6F23"/>
    <w:rsid w:val="00EE7B7E"/>
    <w:rsid w:val="00EF0449"/>
    <w:rsid w:val="00EF420A"/>
    <w:rsid w:val="00EF471D"/>
    <w:rsid w:val="00EF4DC4"/>
    <w:rsid w:val="00EF710F"/>
    <w:rsid w:val="00EF72B4"/>
    <w:rsid w:val="00EF74CB"/>
    <w:rsid w:val="00EF74DD"/>
    <w:rsid w:val="00EF7751"/>
    <w:rsid w:val="00EF7BDF"/>
    <w:rsid w:val="00F008F9"/>
    <w:rsid w:val="00F00EEF"/>
    <w:rsid w:val="00F00F6B"/>
    <w:rsid w:val="00F024DA"/>
    <w:rsid w:val="00F02611"/>
    <w:rsid w:val="00F0268A"/>
    <w:rsid w:val="00F02AEA"/>
    <w:rsid w:val="00F02C9A"/>
    <w:rsid w:val="00F02FDF"/>
    <w:rsid w:val="00F0313D"/>
    <w:rsid w:val="00F046E9"/>
    <w:rsid w:val="00F059FD"/>
    <w:rsid w:val="00F06214"/>
    <w:rsid w:val="00F064C8"/>
    <w:rsid w:val="00F066F4"/>
    <w:rsid w:val="00F068A8"/>
    <w:rsid w:val="00F07482"/>
    <w:rsid w:val="00F0781F"/>
    <w:rsid w:val="00F07E7A"/>
    <w:rsid w:val="00F10043"/>
    <w:rsid w:val="00F10B92"/>
    <w:rsid w:val="00F10DBD"/>
    <w:rsid w:val="00F10FB2"/>
    <w:rsid w:val="00F111DA"/>
    <w:rsid w:val="00F115AE"/>
    <w:rsid w:val="00F118A7"/>
    <w:rsid w:val="00F118D7"/>
    <w:rsid w:val="00F1247C"/>
    <w:rsid w:val="00F1372B"/>
    <w:rsid w:val="00F148BF"/>
    <w:rsid w:val="00F14EAB"/>
    <w:rsid w:val="00F15F8E"/>
    <w:rsid w:val="00F1632C"/>
    <w:rsid w:val="00F16BE3"/>
    <w:rsid w:val="00F201EB"/>
    <w:rsid w:val="00F204D4"/>
    <w:rsid w:val="00F20C16"/>
    <w:rsid w:val="00F23216"/>
    <w:rsid w:val="00F232E4"/>
    <w:rsid w:val="00F234C0"/>
    <w:rsid w:val="00F24986"/>
    <w:rsid w:val="00F24B1F"/>
    <w:rsid w:val="00F24C97"/>
    <w:rsid w:val="00F24DF8"/>
    <w:rsid w:val="00F26135"/>
    <w:rsid w:val="00F276B0"/>
    <w:rsid w:val="00F27F41"/>
    <w:rsid w:val="00F30591"/>
    <w:rsid w:val="00F308D2"/>
    <w:rsid w:val="00F30DA6"/>
    <w:rsid w:val="00F31E69"/>
    <w:rsid w:val="00F321D9"/>
    <w:rsid w:val="00F323E9"/>
    <w:rsid w:val="00F32BE5"/>
    <w:rsid w:val="00F332A1"/>
    <w:rsid w:val="00F34418"/>
    <w:rsid w:val="00F3477B"/>
    <w:rsid w:val="00F34946"/>
    <w:rsid w:val="00F3503B"/>
    <w:rsid w:val="00F35128"/>
    <w:rsid w:val="00F36151"/>
    <w:rsid w:val="00F36520"/>
    <w:rsid w:val="00F3691B"/>
    <w:rsid w:val="00F36B4F"/>
    <w:rsid w:val="00F371AD"/>
    <w:rsid w:val="00F37E13"/>
    <w:rsid w:val="00F412BE"/>
    <w:rsid w:val="00F415D8"/>
    <w:rsid w:val="00F41674"/>
    <w:rsid w:val="00F417E4"/>
    <w:rsid w:val="00F41D6C"/>
    <w:rsid w:val="00F422EE"/>
    <w:rsid w:val="00F42C64"/>
    <w:rsid w:val="00F4366C"/>
    <w:rsid w:val="00F4376F"/>
    <w:rsid w:val="00F45A61"/>
    <w:rsid w:val="00F463A6"/>
    <w:rsid w:val="00F4709B"/>
    <w:rsid w:val="00F47A3B"/>
    <w:rsid w:val="00F47A47"/>
    <w:rsid w:val="00F47A5B"/>
    <w:rsid w:val="00F47FA4"/>
    <w:rsid w:val="00F5015B"/>
    <w:rsid w:val="00F50B13"/>
    <w:rsid w:val="00F50BC0"/>
    <w:rsid w:val="00F50C20"/>
    <w:rsid w:val="00F51215"/>
    <w:rsid w:val="00F5174C"/>
    <w:rsid w:val="00F5188A"/>
    <w:rsid w:val="00F5260B"/>
    <w:rsid w:val="00F52975"/>
    <w:rsid w:val="00F52D63"/>
    <w:rsid w:val="00F5301D"/>
    <w:rsid w:val="00F534AF"/>
    <w:rsid w:val="00F5399B"/>
    <w:rsid w:val="00F53F6E"/>
    <w:rsid w:val="00F54334"/>
    <w:rsid w:val="00F54390"/>
    <w:rsid w:val="00F54854"/>
    <w:rsid w:val="00F5491A"/>
    <w:rsid w:val="00F54AAA"/>
    <w:rsid w:val="00F55258"/>
    <w:rsid w:val="00F552B5"/>
    <w:rsid w:val="00F55D8D"/>
    <w:rsid w:val="00F60221"/>
    <w:rsid w:val="00F6083B"/>
    <w:rsid w:val="00F608C5"/>
    <w:rsid w:val="00F6092F"/>
    <w:rsid w:val="00F60F5D"/>
    <w:rsid w:val="00F61426"/>
    <w:rsid w:val="00F61586"/>
    <w:rsid w:val="00F61B51"/>
    <w:rsid w:val="00F61E70"/>
    <w:rsid w:val="00F627DB"/>
    <w:rsid w:val="00F62895"/>
    <w:rsid w:val="00F63914"/>
    <w:rsid w:val="00F63942"/>
    <w:rsid w:val="00F63B45"/>
    <w:rsid w:val="00F63C56"/>
    <w:rsid w:val="00F63ED0"/>
    <w:rsid w:val="00F63FE4"/>
    <w:rsid w:val="00F644D5"/>
    <w:rsid w:val="00F64D8C"/>
    <w:rsid w:val="00F65669"/>
    <w:rsid w:val="00F65759"/>
    <w:rsid w:val="00F65A6D"/>
    <w:rsid w:val="00F65F07"/>
    <w:rsid w:val="00F66349"/>
    <w:rsid w:val="00F668AF"/>
    <w:rsid w:val="00F669A8"/>
    <w:rsid w:val="00F67803"/>
    <w:rsid w:val="00F7040E"/>
    <w:rsid w:val="00F70D5A"/>
    <w:rsid w:val="00F711E7"/>
    <w:rsid w:val="00F71A20"/>
    <w:rsid w:val="00F71C92"/>
    <w:rsid w:val="00F725DC"/>
    <w:rsid w:val="00F72907"/>
    <w:rsid w:val="00F734E5"/>
    <w:rsid w:val="00F73DE3"/>
    <w:rsid w:val="00F7424C"/>
    <w:rsid w:val="00F74622"/>
    <w:rsid w:val="00F75C64"/>
    <w:rsid w:val="00F75EC4"/>
    <w:rsid w:val="00F7643F"/>
    <w:rsid w:val="00F769C8"/>
    <w:rsid w:val="00F77BAE"/>
    <w:rsid w:val="00F80265"/>
    <w:rsid w:val="00F8076E"/>
    <w:rsid w:val="00F80BDB"/>
    <w:rsid w:val="00F80EC3"/>
    <w:rsid w:val="00F81953"/>
    <w:rsid w:val="00F82F93"/>
    <w:rsid w:val="00F8382D"/>
    <w:rsid w:val="00F8402B"/>
    <w:rsid w:val="00F84205"/>
    <w:rsid w:val="00F848A5"/>
    <w:rsid w:val="00F84DBC"/>
    <w:rsid w:val="00F84DC5"/>
    <w:rsid w:val="00F853C3"/>
    <w:rsid w:val="00F85989"/>
    <w:rsid w:val="00F859D2"/>
    <w:rsid w:val="00F85E46"/>
    <w:rsid w:val="00F86617"/>
    <w:rsid w:val="00F86986"/>
    <w:rsid w:val="00F87092"/>
    <w:rsid w:val="00F87462"/>
    <w:rsid w:val="00F87506"/>
    <w:rsid w:val="00F9022B"/>
    <w:rsid w:val="00F903D5"/>
    <w:rsid w:val="00F9084C"/>
    <w:rsid w:val="00F90E9D"/>
    <w:rsid w:val="00F9134C"/>
    <w:rsid w:val="00F918C6"/>
    <w:rsid w:val="00F91BEE"/>
    <w:rsid w:val="00F91F1D"/>
    <w:rsid w:val="00F933CC"/>
    <w:rsid w:val="00F9397D"/>
    <w:rsid w:val="00F93B1A"/>
    <w:rsid w:val="00F93D60"/>
    <w:rsid w:val="00F93D62"/>
    <w:rsid w:val="00F95DC6"/>
    <w:rsid w:val="00F96208"/>
    <w:rsid w:val="00F965A8"/>
    <w:rsid w:val="00F970EA"/>
    <w:rsid w:val="00F97B87"/>
    <w:rsid w:val="00FA0617"/>
    <w:rsid w:val="00FA070D"/>
    <w:rsid w:val="00FA134B"/>
    <w:rsid w:val="00FA1537"/>
    <w:rsid w:val="00FA1BEC"/>
    <w:rsid w:val="00FA1EE8"/>
    <w:rsid w:val="00FA2269"/>
    <w:rsid w:val="00FA2281"/>
    <w:rsid w:val="00FA2FF9"/>
    <w:rsid w:val="00FA3867"/>
    <w:rsid w:val="00FA687C"/>
    <w:rsid w:val="00FA7373"/>
    <w:rsid w:val="00FA7D77"/>
    <w:rsid w:val="00FB0574"/>
    <w:rsid w:val="00FB0751"/>
    <w:rsid w:val="00FB1957"/>
    <w:rsid w:val="00FB1DF4"/>
    <w:rsid w:val="00FB27B4"/>
    <w:rsid w:val="00FB2A2B"/>
    <w:rsid w:val="00FB2C02"/>
    <w:rsid w:val="00FB2CE1"/>
    <w:rsid w:val="00FB353F"/>
    <w:rsid w:val="00FB3A0C"/>
    <w:rsid w:val="00FB3F73"/>
    <w:rsid w:val="00FB5EA7"/>
    <w:rsid w:val="00FB6AB3"/>
    <w:rsid w:val="00FB6ECD"/>
    <w:rsid w:val="00FB7960"/>
    <w:rsid w:val="00FC2C84"/>
    <w:rsid w:val="00FC366D"/>
    <w:rsid w:val="00FC3E09"/>
    <w:rsid w:val="00FC4873"/>
    <w:rsid w:val="00FC52D8"/>
    <w:rsid w:val="00FC55FB"/>
    <w:rsid w:val="00FC611B"/>
    <w:rsid w:val="00FC68C0"/>
    <w:rsid w:val="00FD1F4C"/>
    <w:rsid w:val="00FD254D"/>
    <w:rsid w:val="00FD2577"/>
    <w:rsid w:val="00FD2930"/>
    <w:rsid w:val="00FD2B6D"/>
    <w:rsid w:val="00FD2C27"/>
    <w:rsid w:val="00FD39BD"/>
    <w:rsid w:val="00FD3AA2"/>
    <w:rsid w:val="00FD3EBC"/>
    <w:rsid w:val="00FD40DD"/>
    <w:rsid w:val="00FD45BA"/>
    <w:rsid w:val="00FD472C"/>
    <w:rsid w:val="00FD71FF"/>
    <w:rsid w:val="00FD7248"/>
    <w:rsid w:val="00FD72B7"/>
    <w:rsid w:val="00FD732F"/>
    <w:rsid w:val="00FD7B7A"/>
    <w:rsid w:val="00FD7D2F"/>
    <w:rsid w:val="00FD7E05"/>
    <w:rsid w:val="00FE0044"/>
    <w:rsid w:val="00FE04E7"/>
    <w:rsid w:val="00FE16A7"/>
    <w:rsid w:val="00FE2B3B"/>
    <w:rsid w:val="00FE31DC"/>
    <w:rsid w:val="00FE32F6"/>
    <w:rsid w:val="00FE35BE"/>
    <w:rsid w:val="00FE37E4"/>
    <w:rsid w:val="00FE3BEC"/>
    <w:rsid w:val="00FE3FAD"/>
    <w:rsid w:val="00FE480F"/>
    <w:rsid w:val="00FE4860"/>
    <w:rsid w:val="00FE488A"/>
    <w:rsid w:val="00FE4A75"/>
    <w:rsid w:val="00FE6207"/>
    <w:rsid w:val="00FE66AB"/>
    <w:rsid w:val="00FE6912"/>
    <w:rsid w:val="00FE75BD"/>
    <w:rsid w:val="00FF094D"/>
    <w:rsid w:val="00FF1254"/>
    <w:rsid w:val="00FF2200"/>
    <w:rsid w:val="00FF2751"/>
    <w:rsid w:val="00FF28C3"/>
    <w:rsid w:val="00FF2A27"/>
    <w:rsid w:val="00FF3AF5"/>
    <w:rsid w:val="00FF4D78"/>
    <w:rsid w:val="00FF55C3"/>
    <w:rsid w:val="00FF5908"/>
    <w:rsid w:val="00FF5FD3"/>
    <w:rsid w:val="00FF62B1"/>
    <w:rsid w:val="00FF6EC3"/>
    <w:rsid w:val="00FF70FD"/>
    <w:rsid w:val="00FF717A"/>
    <w:rsid w:val="00FF79A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3FDCB"/>
  <w15:chartTrackingRefBased/>
  <w15:docId w15:val="{65732227-7EAC-4974-A87F-EBCB17D2B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Arial"/>
        <w:kern w:val="2"/>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12190"/>
    <w:pPr>
      <w:spacing w:line="280" w:lineRule="exact"/>
    </w:pPr>
    <w:rPr>
      <w:rFonts w:asciiTheme="minorHAnsi" w:hAnsiTheme="minorHAnsi" w:cstheme="minorBidi"/>
      <w:sz w:val="22"/>
      <w:szCs w:val="22"/>
      <w14:ligatures w14:val="standardContextual"/>
    </w:rPr>
  </w:style>
  <w:style w:type="paragraph" w:styleId="berschrift1">
    <w:name w:val="heading 1"/>
    <w:basedOn w:val="berschrift"/>
    <w:link w:val="berschrift1Zchn"/>
    <w:qFormat/>
    <w:rsid w:val="006026AD"/>
    <w:pPr>
      <w:outlineLvl w:val="0"/>
    </w:pPr>
    <w:rPr>
      <w:rFonts w:ascii="Liberation Serif" w:eastAsia="SimSun" w:hAnsi="Liberation Serif"/>
      <w:b/>
      <w:bCs/>
      <w:sz w:val="48"/>
      <w:szCs w:val="48"/>
    </w:rPr>
  </w:style>
  <w:style w:type="paragraph" w:styleId="berschrift2">
    <w:name w:val="heading 2"/>
    <w:basedOn w:val="Standard"/>
    <w:next w:val="Standard"/>
    <w:link w:val="berschrift2Zchn"/>
    <w:qFormat/>
    <w:rsid w:val="006026AD"/>
    <w:pPr>
      <w:keepNext/>
      <w:spacing w:before="240" w:after="60"/>
      <w:outlineLvl w:val="1"/>
    </w:pPr>
    <w:rPr>
      <w:rFonts w:ascii="Cambria" w:eastAsia="Times New Roman" w:hAnsi="Cambria"/>
      <w:b/>
      <w:bCs/>
      <w:i/>
      <w:iCs/>
      <w:sz w:val="28"/>
      <w:szCs w:val="28"/>
    </w:rPr>
  </w:style>
  <w:style w:type="paragraph" w:styleId="berschrift3">
    <w:name w:val="heading 3"/>
    <w:basedOn w:val="Standard"/>
    <w:next w:val="Standard"/>
    <w:link w:val="berschrift3Zchn"/>
    <w:qFormat/>
    <w:rsid w:val="006026AD"/>
    <w:pPr>
      <w:keepNext/>
      <w:spacing w:before="240" w:after="60"/>
      <w:outlineLvl w:val="2"/>
    </w:pPr>
    <w:rPr>
      <w:rFonts w:ascii="Cambria" w:eastAsia="Times New Roman" w:hAnsi="Cambria"/>
      <w:b/>
      <w:bCs/>
      <w:sz w:val="26"/>
      <w:szCs w:val="26"/>
    </w:rPr>
  </w:style>
  <w:style w:type="paragraph" w:styleId="berschrift4">
    <w:name w:val="heading 4"/>
    <w:basedOn w:val="Standard"/>
    <w:next w:val="Standard"/>
    <w:link w:val="berschrift4Zchn"/>
    <w:uiPriority w:val="9"/>
    <w:unhideWhenUsed/>
    <w:qFormat/>
    <w:rsid w:val="006026AD"/>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unhideWhenUsed/>
    <w:qFormat/>
    <w:rsid w:val="006026AD"/>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unotenzeichen">
    <w:name w:val="footnote reference"/>
    <w:uiPriority w:val="99"/>
    <w:qFormat/>
    <w:rsid w:val="006026AD"/>
    <w:rPr>
      <w:rFonts w:ascii="Arial" w:hAnsi="Arial"/>
      <w:b w:val="0"/>
      <w:i w:val="0"/>
      <w:caps w:val="0"/>
      <w:smallCaps w:val="0"/>
      <w:strike w:val="0"/>
      <w:dstrike w:val="0"/>
      <w:vanish w:val="0"/>
      <w:sz w:val="20"/>
      <w:vertAlign w:val="superscript"/>
    </w:rPr>
  </w:style>
  <w:style w:type="character" w:customStyle="1" w:styleId="FunotentextZchn">
    <w:name w:val="Fußnotentext Zchn"/>
    <w:basedOn w:val="Absatz-Standardschriftart"/>
    <w:link w:val="Funotentext"/>
    <w:uiPriority w:val="99"/>
    <w:qFormat/>
    <w:rsid w:val="006026AD"/>
    <w:rPr>
      <w:sz w:val="20"/>
      <w:szCs w:val="20"/>
    </w:rPr>
  </w:style>
  <w:style w:type="character" w:customStyle="1" w:styleId="FootnoteCharacters">
    <w:name w:val="Footnote Characters"/>
    <w:basedOn w:val="Absatz-Standardschriftart"/>
    <w:qFormat/>
    <w:rsid w:val="006026AD"/>
    <w:rPr>
      <w:vertAlign w:val="superscript"/>
    </w:rPr>
  </w:style>
  <w:style w:type="character" w:customStyle="1" w:styleId="Internetlink">
    <w:name w:val="Internetlink"/>
    <w:qFormat/>
    <w:rsid w:val="006026AD"/>
    <w:rPr>
      <w:color w:val="000080"/>
      <w:u w:val="single"/>
      <w:lang w:val="de-DE" w:eastAsia="de-DE" w:bidi="de-DE"/>
    </w:rPr>
  </w:style>
  <w:style w:type="paragraph" w:customStyle="1" w:styleId="berschrift">
    <w:name w:val="Überschrift"/>
    <w:basedOn w:val="Standard"/>
    <w:next w:val="Textkrper"/>
    <w:qFormat/>
    <w:rsid w:val="006026AD"/>
    <w:pPr>
      <w:keepNext/>
      <w:spacing w:before="240" w:after="120"/>
    </w:pPr>
    <w:rPr>
      <w:rFonts w:eastAsia="Microsoft YaHei" w:cs="Arial"/>
      <w:sz w:val="28"/>
      <w:szCs w:val="28"/>
    </w:rPr>
  </w:style>
  <w:style w:type="paragraph" w:styleId="Textkrper">
    <w:name w:val="Body Text"/>
    <w:basedOn w:val="Standard"/>
    <w:link w:val="TextkrperZchn"/>
    <w:uiPriority w:val="99"/>
    <w:semiHidden/>
    <w:unhideWhenUsed/>
    <w:rsid w:val="006026AD"/>
    <w:pPr>
      <w:spacing w:after="120"/>
    </w:pPr>
  </w:style>
  <w:style w:type="character" w:customStyle="1" w:styleId="TextkrperZchn">
    <w:name w:val="Textkörper Zchn"/>
    <w:basedOn w:val="Absatz-Standardschriftart"/>
    <w:link w:val="Textkrper"/>
    <w:uiPriority w:val="99"/>
    <w:semiHidden/>
    <w:rsid w:val="006026AD"/>
  </w:style>
  <w:style w:type="paragraph" w:customStyle="1" w:styleId="Verzeichnis">
    <w:name w:val="Verzeichnis"/>
    <w:basedOn w:val="Standard"/>
    <w:qFormat/>
    <w:rsid w:val="006026AD"/>
    <w:pPr>
      <w:suppressLineNumbers/>
    </w:pPr>
    <w:rPr>
      <w:rFonts w:cs="Arial"/>
    </w:rPr>
  </w:style>
  <w:style w:type="paragraph" w:customStyle="1" w:styleId="Tabelleninhalt">
    <w:name w:val="Tabelleninhalt"/>
    <w:basedOn w:val="Standard"/>
    <w:qFormat/>
    <w:rsid w:val="006026AD"/>
    <w:pPr>
      <w:suppressLineNumbers/>
    </w:pPr>
  </w:style>
  <w:style w:type="paragraph" w:customStyle="1" w:styleId="Tabellenberschrift">
    <w:name w:val="Tabellenüberschrift"/>
    <w:basedOn w:val="Tabelleninhalt"/>
    <w:qFormat/>
    <w:rsid w:val="006026AD"/>
    <w:pPr>
      <w:jc w:val="center"/>
    </w:pPr>
    <w:rPr>
      <w:b/>
      <w:bCs/>
    </w:rPr>
  </w:style>
  <w:style w:type="character" w:customStyle="1" w:styleId="berschrift1Zchn">
    <w:name w:val="Überschrift 1 Zchn"/>
    <w:basedOn w:val="Absatz-Standardschriftart"/>
    <w:link w:val="berschrift1"/>
    <w:rsid w:val="006026AD"/>
    <w:rPr>
      <w:rFonts w:ascii="Liberation Serif" w:hAnsi="Liberation Serif"/>
      <w:b/>
      <w:bCs/>
      <w:color w:val="00000A"/>
      <w:sz w:val="48"/>
      <w:szCs w:val="48"/>
    </w:rPr>
  </w:style>
  <w:style w:type="character" w:customStyle="1" w:styleId="berschrift2Zchn">
    <w:name w:val="Überschrift 2 Zchn"/>
    <w:basedOn w:val="Absatz-Standardschriftart"/>
    <w:link w:val="berschrift2"/>
    <w:rsid w:val="006026AD"/>
    <w:rPr>
      <w:rFonts w:ascii="Cambria" w:eastAsia="Times New Roman" w:hAnsi="Cambria" w:cs="Calibri"/>
      <w:b/>
      <w:bCs/>
      <w:i/>
      <w:iCs/>
      <w:color w:val="00000A"/>
      <w:sz w:val="28"/>
      <w:szCs w:val="28"/>
    </w:rPr>
  </w:style>
  <w:style w:type="character" w:customStyle="1" w:styleId="berschrift3Zchn">
    <w:name w:val="Überschrift 3 Zchn"/>
    <w:basedOn w:val="Absatz-Standardschriftart"/>
    <w:link w:val="berschrift3"/>
    <w:rsid w:val="006026AD"/>
    <w:rPr>
      <w:rFonts w:ascii="Cambria" w:eastAsia="Times New Roman" w:hAnsi="Cambria" w:cs="Calibri"/>
      <w:b/>
      <w:bCs/>
      <w:color w:val="00000A"/>
      <w:sz w:val="26"/>
      <w:szCs w:val="26"/>
    </w:rPr>
  </w:style>
  <w:style w:type="character" w:customStyle="1" w:styleId="berschrift4Zchn">
    <w:name w:val="Überschrift 4 Zchn"/>
    <w:basedOn w:val="Absatz-Standardschriftart"/>
    <w:link w:val="berschrift4"/>
    <w:uiPriority w:val="9"/>
    <w:rsid w:val="006026AD"/>
    <w:rPr>
      <w:rFonts w:asciiTheme="majorHAnsi" w:eastAsiaTheme="majorEastAsia" w:hAnsiTheme="majorHAnsi" w:cstheme="majorBidi"/>
      <w:b/>
      <w:bCs/>
      <w:i/>
      <w:iCs/>
      <w:color w:val="4F81BD" w:themeColor="accent1"/>
      <w:sz w:val="22"/>
      <w:szCs w:val="22"/>
    </w:rPr>
  </w:style>
  <w:style w:type="character" w:customStyle="1" w:styleId="berschrift5Zchn">
    <w:name w:val="Überschrift 5 Zchn"/>
    <w:basedOn w:val="Absatz-Standardschriftart"/>
    <w:link w:val="berschrift5"/>
    <w:uiPriority w:val="9"/>
    <w:rsid w:val="006026AD"/>
    <w:rPr>
      <w:rFonts w:asciiTheme="majorHAnsi" w:eastAsiaTheme="majorEastAsia" w:hAnsiTheme="majorHAnsi" w:cstheme="majorBidi"/>
      <w:color w:val="243F60" w:themeColor="accent1" w:themeShade="7F"/>
      <w:sz w:val="22"/>
      <w:szCs w:val="22"/>
    </w:rPr>
  </w:style>
  <w:style w:type="paragraph" w:styleId="Beschriftung">
    <w:name w:val="caption"/>
    <w:basedOn w:val="Standard"/>
    <w:next w:val="Standard"/>
    <w:uiPriority w:val="35"/>
    <w:qFormat/>
    <w:rsid w:val="006026AD"/>
    <w:rPr>
      <w:b/>
      <w:bCs/>
      <w:sz w:val="20"/>
      <w:szCs w:val="20"/>
    </w:rPr>
  </w:style>
  <w:style w:type="character" w:styleId="Endnotenzeichen">
    <w:name w:val="endnote reference"/>
    <w:qFormat/>
    <w:rsid w:val="006026AD"/>
  </w:style>
  <w:style w:type="paragraph" w:styleId="Zitat">
    <w:name w:val="Quote"/>
    <w:basedOn w:val="Standard"/>
    <w:link w:val="ZitatZchn"/>
    <w:qFormat/>
    <w:rsid w:val="006026AD"/>
    <w:pPr>
      <w:spacing w:after="283"/>
      <w:ind w:left="567" w:right="567"/>
    </w:pPr>
  </w:style>
  <w:style w:type="character" w:customStyle="1" w:styleId="ZitatZchn">
    <w:name w:val="Zitat Zchn"/>
    <w:basedOn w:val="Absatz-Standardschriftart"/>
    <w:link w:val="Zitat"/>
    <w:rsid w:val="006026AD"/>
    <w:rPr>
      <w:rFonts w:cs="Calibri"/>
      <w:color w:val="00000A"/>
      <w:sz w:val="22"/>
      <w:szCs w:val="22"/>
    </w:rPr>
  </w:style>
  <w:style w:type="paragraph" w:styleId="Inhaltsverzeichnisberschrift">
    <w:name w:val="TOC Heading"/>
    <w:basedOn w:val="berschrift1"/>
    <w:next w:val="Standard"/>
    <w:uiPriority w:val="39"/>
    <w:semiHidden/>
    <w:unhideWhenUsed/>
    <w:qFormat/>
    <w:rsid w:val="006026AD"/>
    <w:pPr>
      <w:keepLines/>
      <w:spacing w:before="480" w:after="0"/>
      <w:outlineLvl w:val="9"/>
    </w:pPr>
    <w:rPr>
      <w:rFonts w:asciiTheme="majorHAnsi" w:eastAsiaTheme="majorEastAsia" w:hAnsiTheme="majorHAnsi" w:cstheme="majorBidi"/>
      <w:color w:val="365F91" w:themeColor="accent1" w:themeShade="BF"/>
      <w:kern w:val="0"/>
      <w:sz w:val="28"/>
      <w:szCs w:val="28"/>
      <w:lang w:eastAsia="de-DE"/>
    </w:rPr>
  </w:style>
  <w:style w:type="character" w:styleId="Hyperlink">
    <w:name w:val="Hyperlink"/>
    <w:basedOn w:val="Absatz-Standardschriftart"/>
    <w:uiPriority w:val="99"/>
    <w:unhideWhenUsed/>
    <w:rsid w:val="00112190"/>
    <w:rPr>
      <w:color w:val="0000FF" w:themeColor="hyperlink"/>
      <w:u w:val="single"/>
    </w:rPr>
  </w:style>
  <w:style w:type="character" w:styleId="NichtaufgelsteErwhnung">
    <w:name w:val="Unresolved Mention"/>
    <w:basedOn w:val="Absatz-Standardschriftart"/>
    <w:uiPriority w:val="99"/>
    <w:semiHidden/>
    <w:unhideWhenUsed/>
    <w:rsid w:val="00112190"/>
    <w:rPr>
      <w:color w:val="605E5C"/>
      <w:shd w:val="clear" w:color="auto" w:fill="E1DFDD"/>
    </w:rPr>
  </w:style>
  <w:style w:type="paragraph" w:styleId="Kopfzeile">
    <w:name w:val="header"/>
    <w:basedOn w:val="Standard"/>
    <w:link w:val="KopfzeileZchn"/>
    <w:uiPriority w:val="99"/>
    <w:unhideWhenUsed/>
    <w:rsid w:val="00112190"/>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12190"/>
    <w:rPr>
      <w:rFonts w:asciiTheme="minorHAnsi" w:hAnsiTheme="minorHAnsi" w:cstheme="minorBidi"/>
      <w:sz w:val="22"/>
      <w:szCs w:val="22"/>
      <w14:ligatures w14:val="standardContextual"/>
    </w:rPr>
  </w:style>
  <w:style w:type="paragraph" w:styleId="Fuzeile">
    <w:name w:val="footer"/>
    <w:basedOn w:val="Standard"/>
    <w:link w:val="FuzeileZchn"/>
    <w:uiPriority w:val="99"/>
    <w:unhideWhenUsed/>
    <w:rsid w:val="00112190"/>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12190"/>
    <w:rPr>
      <w:rFonts w:asciiTheme="minorHAnsi" w:hAnsiTheme="minorHAnsi" w:cstheme="minorBidi"/>
      <w:sz w:val="22"/>
      <w:szCs w:val="22"/>
      <w14:ligatures w14:val="standardContextual"/>
    </w:rPr>
  </w:style>
  <w:style w:type="paragraph" w:styleId="Funotentext">
    <w:name w:val="footnote text"/>
    <w:basedOn w:val="Standard"/>
    <w:link w:val="FunotentextZchn"/>
    <w:uiPriority w:val="99"/>
    <w:unhideWhenUsed/>
    <w:rsid w:val="00112190"/>
    <w:pPr>
      <w:spacing w:line="240" w:lineRule="auto"/>
    </w:pPr>
    <w:rPr>
      <w:rFonts w:ascii="Calibri" w:hAnsi="Calibri" w:cs="Arial"/>
      <w:sz w:val="20"/>
      <w:szCs w:val="20"/>
      <w14:ligatures w14:val="none"/>
    </w:rPr>
  </w:style>
  <w:style w:type="character" w:customStyle="1" w:styleId="FunotentextZchn1">
    <w:name w:val="Fußnotentext Zchn1"/>
    <w:basedOn w:val="Absatz-Standardschriftart"/>
    <w:uiPriority w:val="99"/>
    <w:semiHidden/>
    <w:rsid w:val="00112190"/>
    <w:rPr>
      <w:rFonts w:asciiTheme="minorHAnsi" w:hAnsiTheme="minorHAnsi" w:cstheme="minorBidi"/>
      <w:szCs w:val="20"/>
      <w14:ligatures w14:val="standardContextual"/>
    </w:rPr>
  </w:style>
  <w:style w:type="table" w:styleId="Tabellenraster">
    <w:name w:val="Table Grid"/>
    <w:basedOn w:val="NormaleTabelle"/>
    <w:uiPriority w:val="39"/>
    <w:rsid w:val="00112190"/>
    <w:rPr>
      <w:rFonts w:asciiTheme="minorHAnsi" w:hAnsiTheme="minorHAnsi" w:cstheme="minorBidi"/>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12190"/>
    <w:pPr>
      <w:ind w:left="720"/>
      <w:contextualSpacing/>
    </w:pPr>
  </w:style>
  <w:style w:type="character" w:styleId="BesuchterLink">
    <w:name w:val="FollowedHyperlink"/>
    <w:basedOn w:val="Absatz-Standardschriftart"/>
    <w:uiPriority w:val="99"/>
    <w:semiHidden/>
    <w:unhideWhenUsed/>
    <w:rsid w:val="0011219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457488">
      <w:bodyDiv w:val="1"/>
      <w:marLeft w:val="0"/>
      <w:marRight w:val="0"/>
      <w:marTop w:val="0"/>
      <w:marBottom w:val="0"/>
      <w:divBdr>
        <w:top w:val="none" w:sz="0" w:space="0" w:color="auto"/>
        <w:left w:val="none" w:sz="0" w:space="0" w:color="auto"/>
        <w:bottom w:val="none" w:sz="0" w:space="0" w:color="auto"/>
        <w:right w:val="none" w:sz="0" w:space="0" w:color="auto"/>
      </w:divBdr>
    </w:div>
    <w:div w:id="1047534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nsparency.entsoe.eu/" TargetMode="External"/><Relationship Id="rId13" Type="http://schemas.openxmlformats.org/officeDocument/2006/relationships/hyperlink" Target="https://data.nordpoolgroup.com" TargetMode="External"/><Relationship Id="rId18" Type="http://schemas.openxmlformats.org/officeDocument/2006/relationships/hyperlink" Target="https://www.acer-remit.eu/portal/european-register"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www.epexspot.com" TargetMode="External"/><Relationship Id="rId17" Type="http://schemas.openxmlformats.org/officeDocument/2006/relationships/hyperlink" Target="https://www.exaa.a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ce.com/endex"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ex.com/%2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omie.es/" TargetMode="External"/><Relationship Id="rId23" Type="http://schemas.openxmlformats.org/officeDocument/2006/relationships/footer" Target="footer1.xml"/><Relationship Id="rId10" Type="http://schemas.openxmlformats.org/officeDocument/2006/relationships/hyperlink" Target="https://www.smard.de/" TargetMode="External"/><Relationship Id="rId19" Type="http://schemas.openxmlformats.org/officeDocument/2006/relationships/hyperlink" Target="https://www.acer-remit.eu/portal/organised-marketplaces" TargetMode="External"/><Relationship Id="rId4" Type="http://schemas.openxmlformats.org/officeDocument/2006/relationships/settings" Target="settings.xml"/><Relationship Id="rId9" Type="http://schemas.openxmlformats.org/officeDocument/2006/relationships/hyperlink" Target="https://www.energy-charts.info/" TargetMode="External"/><Relationship Id="rId14" Type="http://schemas.openxmlformats.org/officeDocument/2006/relationships/hyperlink" Target="https://www.nasdaqomx.com" TargetMode="External"/><Relationship Id="rId22" Type="http://schemas.openxmlformats.org/officeDocument/2006/relationships/hyperlink" Target="https://boersen.manager-magazin.de/zertifikate/ecx-eua-co2-emissio-index--open-end-sg/DE000CU3RPS9/" TargetMode="External"/></Relationships>
</file>

<file path=word/_rels/footnotes.xml.rels><?xml version="1.0" encoding="UTF-8" standalone="yes"?>
<Relationships xmlns="http://schemas.openxmlformats.org/package/2006/relationships"><Relationship Id="rId1522" Type="http://schemas.openxmlformats.org/officeDocument/2006/relationships/hyperlink" Target="https://ec.europa.eu/commission/presscorner/detail/de/memo_12_647" TargetMode="External"/><Relationship Id="rId1827" Type="http://schemas.openxmlformats.org/officeDocument/2006/relationships/hyperlink" Target="https://setis.ec.europa.eu/publications-and-documents/clean-energy-technology-observatory/ceto-reports-2024_en%20" TargetMode="External"/><Relationship Id="rId21" Type="http://schemas.openxmlformats.org/officeDocument/2006/relationships/hyperlink" Target="https://poweringpastcoal.org/" TargetMode="External"/><Relationship Id="rId170" Type="http://schemas.openxmlformats.org/officeDocument/2006/relationships/hyperlink" Target="https://www.cfp.energy/en/insight/why-is-article-6-so-relevant-to-the-vcm-from-a-quality-and-integrity-perspective" TargetMode="External"/><Relationship Id="rId268" Type="http://schemas.openxmlformats.org/officeDocument/2006/relationships/hyperlink" Target="https://ptx-hub.org/de/countries/" TargetMode="External"/><Relationship Id="rId475" Type="http://schemas.openxmlformats.org/officeDocument/2006/relationships/hyperlink" Target="https://www.vci.de/vci/downloads-vci/publikation/chiz-historisch/chemiewirtschaft-in-zahlen-2024.pdf" TargetMode="External"/><Relationship Id="rId682" Type="http://schemas.openxmlformats.org/officeDocument/2006/relationships/hyperlink" Target="https://de.wikipedia.org/wiki/Solarpark_Benban" TargetMode="External"/><Relationship Id="rId128" Type="http://schemas.openxmlformats.org/officeDocument/2006/relationships/hyperlink" Target="https://www.ctc-n.org/" TargetMode="External"/><Relationship Id="rId335" Type="http://schemas.openxmlformats.org/officeDocument/2006/relationships/hyperlink" Target="https://www.dw.com/de/berichte-aus-98-staaten-vor-dem-igh-verpflichtet-das-v%C3%B6lkerrecht-gegen-klimawandel-vorzugehen/a-70940989" TargetMode="External"/><Relationship Id="rId542" Type="http://schemas.openxmlformats.org/officeDocument/2006/relationships/hyperlink" Target="https://www.acer.europa.eu/" TargetMode="External"/><Relationship Id="rId987" Type="http://schemas.openxmlformats.org/officeDocument/2006/relationships/hyperlink" Target="https://www.recyclingrohstoffe-dialog.de/Recyclingrohstoffe/DE/Publikationen/publikationen_node.html" TargetMode="External"/><Relationship Id="rId1172" Type="http://schemas.openxmlformats.org/officeDocument/2006/relationships/hyperlink" Target="https://union-renewables-development-platform.ec.europa.eu/" TargetMode="External"/><Relationship Id="rId402" Type="http://schemas.openxmlformats.org/officeDocument/2006/relationships/hyperlink" Target="https://www.umweltbundesamt.de/sites/default/files/medien/378/publikationen/potenzial_der_windenergie.pdf" TargetMode="External"/><Relationship Id="rId847" Type="http://schemas.openxmlformats.org/officeDocument/2006/relationships/hyperlink" Target="https://eur-lex.europa.eu/legal-content/EN/TXT/?uri=CELEX%3A02006D0944-20131112" TargetMode="External"/><Relationship Id="rId1032" Type="http://schemas.openxmlformats.org/officeDocument/2006/relationships/hyperlink" Target="https://eur-lex.europa.eu/legal-content/DE/TXT/PDF/?uri=CELEX:52021XC1230(02)" TargetMode="External"/><Relationship Id="rId1477" Type="http://schemas.openxmlformats.org/officeDocument/2006/relationships/hyperlink" Target="https://iea.blob.core.windows.net/assets/b80ed5fc-7483-4b65-ae73-d39d5b2de40d/Senegal2023.pdf" TargetMode="External"/><Relationship Id="rId1684" Type="http://schemas.openxmlformats.org/officeDocument/2006/relationships/hyperlink" Target="https://sunfire.de/de/news/sunfire-sichert-sich-avalfinanzierung-ueber-200-millionen-euro/" TargetMode="External"/><Relationship Id="rId707" Type="http://schemas.openxmlformats.org/officeDocument/2006/relationships/hyperlink" Target="https://www.bmwsb.bund.de/SharedDocs/pressemitteilungen/Webs/BMWSB/DE/2023/11/wpg.html" TargetMode="External"/><Relationship Id="rId914" Type="http://schemas.openxmlformats.org/officeDocument/2006/relationships/hyperlink" Target="https://eur-lex.europa.eu/DE/legal-content/glossary/trilogue.html" TargetMode="External"/><Relationship Id="rId1337" Type="http://schemas.openxmlformats.org/officeDocument/2006/relationships/hyperlink" Target="https://www.acer.europa.eu/remit/about-remit/remit-periodic-reports" TargetMode="External"/><Relationship Id="rId1544" Type="http://schemas.openxmlformats.org/officeDocument/2006/relationships/hyperlink" Target="https://www.owlaw.de/zollrecht/antidumpingzoll/antidumpingzoll-solarglas-aus-china/" TargetMode="External"/><Relationship Id="rId1751" Type="http://schemas.openxmlformats.org/officeDocument/2006/relationships/hyperlink" Target="https://www.bundeswirtschaftsministerium.de/Redaktion/DE/Publikationen/Energie/20240801-strommarktdesign-der-zukunft.pdf?__blob=publicationFile&amp;v=10" TargetMode="External"/><Relationship Id="rId43" Type="http://schemas.openxmlformats.org/officeDocument/2006/relationships/hyperlink" Target="https://www.faz.net/aktuell/wissen/neues-co-budget-die-klimaziele-schmelzen-wie-gletschereis-19278553.html?GEPC=s9%23void" TargetMode="External"/><Relationship Id="rId1404" Type="http://schemas.openxmlformats.org/officeDocument/2006/relationships/hyperlink" Target="https://home.treasury.gov/news/press-releases/jy0993" TargetMode="External"/><Relationship Id="rId1611" Type="http://schemas.openxmlformats.org/officeDocument/2006/relationships/hyperlink" Target="https://www.sr.de/sr/home/nachrichten/politik_wirtschaft/holosolis_photovoltaik_hambach_bauantrag_gestellt_100.html" TargetMode="External"/><Relationship Id="rId1849" Type="http://schemas.openxmlformats.org/officeDocument/2006/relationships/hyperlink" Target="https://www.tagesschau.de/inland/innenpolitik/klimaschutz-industrie-habeck-100.html" TargetMode="External"/><Relationship Id="rId192" Type="http://schemas.openxmlformats.org/officeDocument/2006/relationships/hyperlink" Target="https://www.carbon-mechanisms.de/" TargetMode="External"/><Relationship Id="rId1709" Type="http://schemas.openxmlformats.org/officeDocument/2006/relationships/hyperlink" Target="https://www.tfs-initiative.com/pcf-guideline" TargetMode="External"/><Relationship Id="rId497" Type="http://schemas.openxmlformats.org/officeDocument/2006/relationships/hyperlink" Target="https://data.bundesnetzagentur.de/Bundesnetzagentur/SharedDocs/Mediathek/Monitoringberichte/MonitoringberichtEnergie2023.pdf" TargetMode="External"/><Relationship Id="rId357" Type="http://schemas.openxmlformats.org/officeDocument/2006/relationships/hyperlink" Target="https://eur-lex.europa.eu/legal-content/DE/TXT/?uri=CELEX:32022R2577" TargetMode="External"/><Relationship Id="rId1194" Type="http://schemas.openxmlformats.org/officeDocument/2006/relationships/hyperlink" Target="https://iea.blob.core.windows.net/assets/a86b480e-2b03-4e25-bae1-da1395e0b620/EnergyTechnologyPerspectives2023.pdf%20" TargetMode="External"/><Relationship Id="rId217" Type="http://schemas.openxmlformats.org/officeDocument/2006/relationships/hyperlink" Target="https://www.spiegel.de/wissenschaft/natur/cop28-olaf-scholz-verkuendet-start-von-klimaclub-klimaneutrale-industrie-als-ziel-a-f7fba677-60f5-462b-b389-e57dce02eb8f" TargetMode="External"/><Relationship Id="rId564" Type="http://schemas.openxmlformats.org/officeDocument/2006/relationships/hyperlink" Target="https://www.bundesregierung.de/breg-de/themen/tipps-fuer-verbraucher/solarpaket-photovoltaik-balkonkraftwerke-2213726%20" TargetMode="External"/><Relationship Id="rId771" Type="http://schemas.openxmlformats.org/officeDocument/2006/relationships/hyperlink" Target="https://rp-online.de/nrw/landespolitik/nrw-ministerpraesident-wuest-zweifelt-kohleausstieg-2030-an_aid-107864091" TargetMode="External"/><Relationship Id="rId869" Type="http://schemas.openxmlformats.org/officeDocument/2006/relationships/hyperlink" Target="https://eur-lex.europa.eu/LexUriServ/LexUriServ.do?uri=OJ:L:2009:140:0136:0148:DE:PDF" TargetMode="External"/><Relationship Id="rId1499" Type="http://schemas.openxmlformats.org/officeDocument/2006/relationships/hyperlink" Target="https://unfccc.int/sites/default/files/NDC/2022-06/China%E2%80%99s%20Achievements%2C%20New%20Goals%20and%20New%20Measures%20for%20Nationally%20Determined%20Contributions.pdf" TargetMode="External"/><Relationship Id="rId424" Type="http://schemas.openxmlformats.org/officeDocument/2006/relationships/hyperlink" Target="https://www.elab2.kit.edu/power2liquid.php" TargetMode="External"/><Relationship Id="rId631" Type="http://schemas.openxmlformats.org/officeDocument/2006/relationships/hyperlink" Target="https://www.wasserstoff-kompass.de/" TargetMode="External"/><Relationship Id="rId729" Type="http://schemas.openxmlformats.org/officeDocument/2006/relationships/hyperlink" Target="https://www.mdr.de/nachrichten/sachsen-anhalt/magdeburg/magdeburg/intel-standort-grundstueck-flaeche-landwirtschaft-100.html" TargetMode="External"/><Relationship Id="rId1054" Type="http://schemas.openxmlformats.org/officeDocument/2006/relationships/hyperlink" Target="https://eur-lex.europa.eu/legal-content/EN/TXT/?uri=celex:52022DC0108" TargetMode="External"/><Relationship Id="rId1261" Type="http://schemas.openxmlformats.org/officeDocument/2006/relationships/hyperlink" Target="https://www.umweltbundesamt.de/daten/klima/der-europaeische-emissionshandel" TargetMode="External"/><Relationship Id="rId1359" Type="http://schemas.openxmlformats.org/officeDocument/2006/relationships/hyperlink" Target="https://www.ebrd.com/de/home.html" TargetMode="External"/><Relationship Id="rId936" Type="http://schemas.openxmlformats.org/officeDocument/2006/relationships/hyperlink" Target="https://finance.ec.europa.eu/publications/strategy-financing-transition-sustainable-economy_en" TargetMode="External"/><Relationship Id="rId1121" Type="http://schemas.openxmlformats.org/officeDocument/2006/relationships/hyperlink" Target="https://ec.europa.eu/commission/presscorner/detail/en/ip_20_2096" TargetMode="External"/><Relationship Id="rId1219" Type="http://schemas.openxmlformats.org/officeDocument/2006/relationships/hyperlink" Target="https://ec.europa.eu/commission/presscorner/detail/en/IP_23_6644" TargetMode="External"/><Relationship Id="rId1566" Type="http://schemas.openxmlformats.org/officeDocument/2006/relationships/hyperlink" Target="https://www.bundestag.de/resource/blob/1041550/2689022673fd766d0cc2a7738df04724/WD-2-066-24-pdf.pdf" TargetMode="External"/><Relationship Id="rId1773" Type="http://schemas.openxmlformats.org/officeDocument/2006/relationships/hyperlink" Target="https://1komma5.com/de/" TargetMode="External"/><Relationship Id="rId65" Type="http://schemas.openxmlformats.org/officeDocument/2006/relationships/hyperlink" Target="https://www.umweltbundesamt.de/sites/default/files/medien/361/dokumente/vjs_2022_-_begleitbericht_final_kurzfassung.pdf" TargetMode="External"/><Relationship Id="rId1426" Type="http://schemas.openxmlformats.org/officeDocument/2006/relationships/hyperlink" Target="https://www.energy.gov/oced/midwest-hydrogen-hub" TargetMode="External"/><Relationship Id="rId1633" Type="http://schemas.openxmlformats.org/officeDocument/2006/relationships/hyperlink" Target="https://www.tagesschau.de/wirtschaft/unternehmen/meyer-burger-thalheim-100.html" TargetMode="External"/><Relationship Id="rId1840" Type="http://schemas.openxmlformats.org/officeDocument/2006/relationships/hyperlink" Target="https://www.klimaschutzvertraege.info/news/grosses_interesse_an_ksv%20" TargetMode="External"/><Relationship Id="rId1700" Type="http://schemas.openxmlformats.org/officeDocument/2006/relationships/hyperlink" Target="https://www.tagesschau.de/wirtschaft/unternehmen/northvolt-insolvenz-schweden-100.html" TargetMode="External"/><Relationship Id="rId281" Type="http://schemas.openxmlformats.org/officeDocument/2006/relationships/hyperlink" Target="https://www.parentsforfuture.de/de/kalifornien-bigoil-2023" TargetMode="External"/><Relationship Id="rId141" Type="http://schemas.openxmlformats.org/officeDocument/2006/relationships/hyperlink" Target="https://www.cop28.com/en/cop28-presidency" TargetMode="External"/><Relationship Id="rId379" Type="http://schemas.openxmlformats.org/officeDocument/2006/relationships/hyperlink" Target="https://www.nwzonline.de/region/alpha-ventus-vor-borkum-ewe-eon-und-vattenfall-planen-rueckbau_a_4,1,4193435289.html" TargetMode="External"/><Relationship Id="rId586" Type="http://schemas.openxmlformats.org/officeDocument/2006/relationships/hyperlink" Target="https://landesplanung.nrw.de/system/files/media/document/file/flaechenanalyse_windenergie_zwischenbericht_nrw_-_stand_8.03.2023.pdf" TargetMode="External"/><Relationship Id="rId793" Type="http://schemas.openxmlformats.org/officeDocument/2006/relationships/hyperlink" Target="https://www.die-bbh-gruppe.de/de/aktuelles/news/360-mio-euro-fuer-die-dekarbonisierung-industrieller-prozesse-die-bbh-gruppe-begleitet-glencore-nordenham-erfolgreich-bei-ihrem-foerderantrag-klimaschutzvertraege" TargetMode="External"/><Relationship Id="rId7" Type="http://schemas.openxmlformats.org/officeDocument/2006/relationships/hyperlink" Target="https://www.ipcc.ch/2022/04/04/ipcc-ar6-wgiii-pressrelease/" TargetMode="External"/><Relationship Id="rId239" Type="http://schemas.openxmlformats.org/officeDocument/2006/relationships/hyperlink" Target="https://www.g7germany.de/g7-en/current-information/g7-summit-outcomes-2058314" TargetMode="External"/><Relationship Id="rId446" Type="http://schemas.openxmlformats.org/officeDocument/2006/relationships/hyperlink" Target="https://www.faz.net/aktuell/wirtschaft/brennstoffgesetz-hohe-co2-kosten-koennten-ins-leere-laufen-17094218.html?printPagedArticle=true" TargetMode="External"/><Relationship Id="rId653" Type="http://schemas.openxmlformats.org/officeDocument/2006/relationships/hyperlink" Target="https://eur-lex.europa.eu/legal-content/DE/TXT/?uri=uriserv:OJ.L_.2023.157.01.0011.01.DEU" TargetMode="External"/><Relationship Id="rId1076" Type="http://schemas.openxmlformats.org/officeDocument/2006/relationships/hyperlink" Target="https://eur-lex.europa.eu/legal-content/DE/TXT/PDF/?uri=CELEX:52022XC0218(03)" TargetMode="External"/><Relationship Id="rId1283" Type="http://schemas.openxmlformats.org/officeDocument/2006/relationships/hyperlink" Target="https://eur-lex.europa.eu/legal-content/DE/TXT/PDF/?uri=CELEX:32003L0087" TargetMode="External"/><Relationship Id="rId1490" Type="http://schemas.openxmlformats.org/officeDocument/2006/relationships/hyperlink" Target="https://www.chiyodacorp.com/en/service/spera-hydrogen/" TargetMode="External"/><Relationship Id="rId306" Type="http://schemas.openxmlformats.org/officeDocument/2006/relationships/hyperlink" Target="https://www.bmwk.de/Redaktion/DE/Downloads/klimaschutz/entwurf-eines-klimaschutzprogramms-2023-der-bundesregierung.pdf?__blob=publicationFile&amp;v=6%20" TargetMode="External"/><Relationship Id="rId860" Type="http://schemas.openxmlformats.org/officeDocument/2006/relationships/hyperlink" Target="https://en.wikipedia.org/wiki/White_Rose_Project" TargetMode="External"/><Relationship Id="rId958" Type="http://schemas.openxmlformats.org/officeDocument/2006/relationships/hyperlink" Target="https://eur-lex.europa.eu/legal-content/DE/TXT/PDF/?uri=CELEX:32021R1119&amp;from=FR" TargetMode="External"/><Relationship Id="rId1143" Type="http://schemas.openxmlformats.org/officeDocument/2006/relationships/hyperlink" Target="https://www.youtube.com/watch?v=ca4CuIj_U9w&amp;t=1079s" TargetMode="External"/><Relationship Id="rId1588" Type="http://schemas.openxmlformats.org/officeDocument/2006/relationships/hyperlink" Target="https://eur-lex.europa.eu/legal-content/EN/TXT/PDF/?uri=CELEX:32023R1033" TargetMode="External"/><Relationship Id="rId1795" Type="http://schemas.openxmlformats.org/officeDocument/2006/relationships/hyperlink" Target="https://www.eurofer.eu/assets/publications/brochures-booklets-and-factsheets/european-steel-in-figures-2024/EUROFER-2024-Version-June14.pdf" TargetMode="External"/><Relationship Id="rId87" Type="http://schemas.openxmlformats.org/officeDocument/2006/relationships/hyperlink" Target="https://de.wikipedia.org/wiki/Kyoto-Protokoll" TargetMode="External"/><Relationship Id="rId513" Type="http://schemas.openxmlformats.org/officeDocument/2006/relationships/hyperlink" Target="https://de.wikipedia.org/wiki/Erneuerbare-Energien-Gesetz%20" TargetMode="External"/><Relationship Id="rId720" Type="http://schemas.openxmlformats.org/officeDocument/2006/relationships/hyperlink" Target="https://www.erneuerbare-energien.de/EE/Redaktion/DE/Standardartikel/gesetz_zur_einrichtung_eines_sondervermorgens.html" TargetMode="External"/><Relationship Id="rId818" Type="http://schemas.openxmlformats.org/officeDocument/2006/relationships/hyperlink" Target="https://www.thyssenkrupp.com/de/wasserstoff" TargetMode="External"/><Relationship Id="rId1350" Type="http://schemas.openxmlformats.org/officeDocument/2006/relationships/hyperlink" Target="https://ec.europa.eu/commission/presscorner/detail/en/qanda_23_6048" TargetMode="External"/><Relationship Id="rId1448" Type="http://schemas.openxmlformats.org/officeDocument/2006/relationships/hyperlink" Target="https://www.srf.ch/wissen/technik/power-fuer-die-ki-computerchips-von-morgen-schneller-rechnen-mit-licht" TargetMode="External"/><Relationship Id="rId1655" Type="http://schemas.openxmlformats.org/officeDocument/2006/relationships/hyperlink" Target="https://www.windbranche.de/news/ticker/vestas-staerkt-produktionspraesenz-in-europa-vestas-kauft-polnische-rotorblatt-fabrik-von-ge-tochter-lm-wind-power-artikel7487" TargetMode="External"/><Relationship Id="rId1003" Type="http://schemas.openxmlformats.org/officeDocument/2006/relationships/hyperlink" Target="https://ec.europa.eu/commission/presscorner/detail/en/ip_23_594" TargetMode="External"/><Relationship Id="rId1210" Type="http://schemas.openxmlformats.org/officeDocument/2006/relationships/hyperlink" Target="https://www.bmwk-energiewende.de/EWD/Redaktion/Newsletter/2020/08/Meldung/direkt-erklaert.html" TargetMode="External"/><Relationship Id="rId1308" Type="http://schemas.openxmlformats.org/officeDocument/2006/relationships/hyperlink" Target="https://www.consilium.europa.eu/en/policies/green-deal/fit-for-55-the-eu-plan-for-a-green-transition/" TargetMode="External"/><Relationship Id="rId1515" Type="http://schemas.openxmlformats.org/officeDocument/2006/relationships/hyperlink" Target="https://world-nuclear.org/information-library/nuclear-fuel-cycle/mining-of-uranium/world-uranium-mining-production.aspx" TargetMode="External"/><Relationship Id="rId1722" Type="http://schemas.openxmlformats.org/officeDocument/2006/relationships/hyperlink" Target="https://commission.europa.eu/energy-climate-change-environment/standards-tools-and-labels/products-labelling-rules-and-requirements/ecodesign-sustainable-products-regulation_en" TargetMode="External"/><Relationship Id="rId14" Type="http://schemas.openxmlformats.org/officeDocument/2006/relationships/hyperlink" Target="https://www.tvt.kit.edu/21_113.php" TargetMode="External"/><Relationship Id="rId163" Type="http://schemas.openxmlformats.org/officeDocument/2006/relationships/hyperlink" Target="https://www.dehst.de/DE/Klimaschutzprojekte/Projektmechanismen/Mechanismus-fuer-umweltvertraegliche-Entwicklung-CDM/mechanismus-fuer-umweltvertraegliche-entwicklung-cdm-node.html" TargetMode="External"/><Relationship Id="rId370" Type="http://schemas.openxmlformats.org/officeDocument/2006/relationships/hyperlink" Target="https://www.umweltbundesamt.de/en/publikationen/flaechenverfuegbarkeit-flaechenbedarfe-fuer-den" TargetMode="External"/><Relationship Id="rId230" Type="http://schemas.openxmlformats.org/officeDocument/2006/relationships/hyperlink" Target="https://iea.blob.core.windows.net/assets/6ac243a9-247b-4b79-bc01-0e7730434118/RoadmaptoIncreaseInvestmentinCleanEnergyinDevelopingCountriesaninitiativebytheG20BrazilPresidency.pdf" TargetMode="External"/><Relationship Id="rId468" Type="http://schemas.openxmlformats.org/officeDocument/2006/relationships/hyperlink" Target="https://www.dehst.de/SharedDocs/Newsletter/DE/2025/07-04-2025-spk-lf-veranstaltung-antragsfrist.html?view=renderNewsletterHtml" TargetMode="External"/><Relationship Id="rId675" Type="http://schemas.openxmlformats.org/officeDocument/2006/relationships/hyperlink" Target="https://de.wikipedia.org/wiki/Securing_Energy_for_Europe" TargetMode="External"/><Relationship Id="rId882" Type="http://schemas.openxmlformats.org/officeDocument/2006/relationships/hyperlink" Target="https://www.europarl.europa.eu/RegData/etudes/BRIE/2021/698812/EPRS_BRI(2021)698812_EN.pdf" TargetMode="External"/><Relationship Id="rId1098" Type="http://schemas.openxmlformats.org/officeDocument/2006/relationships/hyperlink" Target="https://www.youtube.com/watch?v=YGVlD7PAaIY&amp;list=PLgT6DO8XUkP5oGh1ed710Lw5YvTpesX0U" TargetMode="External"/><Relationship Id="rId328" Type="http://schemas.openxmlformats.org/officeDocument/2006/relationships/hyperlink" Target="https://www.echr.coe.int" TargetMode="External"/><Relationship Id="rId535" Type="http://schemas.openxmlformats.org/officeDocument/2006/relationships/hyperlink" Target="https://www.klimaneutrales-stromsystem.de/pdf/Strommarktdesignstudie_BEE_final_Stand_14_12_2021.pdf" TargetMode="External"/><Relationship Id="rId742" Type="http://schemas.openxmlformats.org/officeDocument/2006/relationships/hyperlink" Target="https://de.wikipedia.org/wiki/Treibhausgasminderungsquote" TargetMode="External"/><Relationship Id="rId1165" Type="http://schemas.openxmlformats.org/officeDocument/2006/relationships/hyperlink" Target="https://data.consilium.europa.eu/doc/document/ST-13188-2023-ADD-1-REV-3/DE/pdf" TargetMode="External"/><Relationship Id="rId1372" Type="http://schemas.openxmlformats.org/officeDocument/2006/relationships/hyperlink" Target="https://commission.europa.eu/topics/eu-competitiveness/draghi-report_en" TargetMode="External"/><Relationship Id="rId602" Type="http://schemas.openxmlformats.org/officeDocument/2006/relationships/hyperlink" Target="https://www.bundesnetzagentur.de/DE/Beschlusskammern/1_GZ/BK4-GZ/2024/BK4-24-0027/BK4-24-0027_Eckpunktepapier_24072024.pdf?__blob=publicationFile&amp;v=4" TargetMode="External"/><Relationship Id="rId1025" Type="http://schemas.openxmlformats.org/officeDocument/2006/relationships/hyperlink" Target="https://data.consilium.europa.eu/doc/document/ST-13188-2023-ADD-1-REV-3/de/pdf" TargetMode="External"/><Relationship Id="rId1232" Type="http://schemas.openxmlformats.org/officeDocument/2006/relationships/hyperlink" Target="https://www.lbbw.de/magazin/specials/emissionshandel/funktionsweise/emissionshandel-funktionsweise_aeyds3v85j_d.html" TargetMode="External"/><Relationship Id="rId1677" Type="http://schemas.openxmlformats.org/officeDocument/2006/relationships/hyperlink" Target="https://www.ifw-kiel.de/de/publikationen/foulspiel-zu-hoehe-und-umfang-der-industriesubventionen-in-china-32739/" TargetMode="External"/><Relationship Id="rId907" Type="http://schemas.openxmlformats.org/officeDocument/2006/relationships/hyperlink" Target="https://european-union.europa.eu/institutions-law-budget/institutions-and-bodies/types-institutions-and-bodies_de" TargetMode="External"/><Relationship Id="rId1537" Type="http://schemas.openxmlformats.org/officeDocument/2006/relationships/hyperlink" Target="https://www.euractiv.de/section/energie-und-umwelt/news/ende-der-eu-schutzzoelle-auf-chinesische-solarzellen/" TargetMode="External"/><Relationship Id="rId1744" Type="http://schemas.openxmlformats.org/officeDocument/2006/relationships/hyperlink" Target="https://de.wikipedia.org/wiki/Hochspannungs-Kabelkartell" TargetMode="External"/><Relationship Id="rId36" Type="http://schemas.openxmlformats.org/officeDocument/2006/relationships/hyperlink" Target="https://www.quarks.de/umwelt/klimawandel/darum-sollten-wir-ueber-methan-sprechen/" TargetMode="External"/><Relationship Id="rId1604" Type="http://schemas.openxmlformats.org/officeDocument/2006/relationships/hyperlink" Target="https://eur-lex.europa.eu/legal-content/DE/TXT/PDF/?uri=OJ:L_202401252" TargetMode="External"/><Relationship Id="rId185" Type="http://schemas.openxmlformats.org/officeDocument/2006/relationships/hyperlink" Target="https://www.icao.int/environmental-protection/CORSIA/Pages/default.aspx" TargetMode="External"/><Relationship Id="rId1811" Type="http://schemas.openxmlformats.org/officeDocument/2006/relationships/hyperlink" Target="https://www.ise.fraunhofer.de/de/veroeffentlichungen/studien/studie-stromgestehungskosten-erneuerbare-energien.html" TargetMode="External"/><Relationship Id="rId392" Type="http://schemas.openxmlformats.org/officeDocument/2006/relationships/hyperlink" Target="https://de.wikipedia.org/wiki/Energiesicherungsgesetz" TargetMode="External"/><Relationship Id="rId697" Type="http://schemas.openxmlformats.org/officeDocument/2006/relationships/hyperlink" Target="https://www.bmwk.de/Redaktion/DE/Pressemitteilungen/2024/07/20240715-ipcei-wasserstoff-projekte.html" TargetMode="External"/><Relationship Id="rId252" Type="http://schemas.openxmlformats.org/officeDocument/2006/relationships/hyperlink" Target="https://www.eu2020.de/eu2020-de/aktuelles/artikel/eu-china-videokonferenz-offener-dialog-eu2020-2384002" TargetMode="External"/><Relationship Id="rId1187" Type="http://schemas.openxmlformats.org/officeDocument/2006/relationships/hyperlink" Target="https://eur-lex.europa.eu/resource.html?uri=cellar:6448c360-c4dd-11ed-a05c-01aa75ed71a1.0003.02/DOC_2&amp;format=PDF" TargetMode="External"/><Relationship Id="rId112" Type="http://schemas.openxmlformats.org/officeDocument/2006/relationships/hyperlink" Target="https://www.theguardian.com/environment/2023/nov/27/revealed-saudi-arabia-plan-poor-countries-oil?CMP=Share_AndroidApp_Other" TargetMode="External"/><Relationship Id="rId557" Type="http://schemas.openxmlformats.org/officeDocument/2006/relationships/hyperlink" Target="https://www.gruene-fraktion-sachsen.de/wp-content/uploads/2025/05/Stellungnahme-Aenderung-saechsisches-Beteiligungsgesetz.pdf" TargetMode="External"/><Relationship Id="rId764" Type="http://schemas.openxmlformats.org/officeDocument/2006/relationships/hyperlink" Target="https://dserver.bundestag.de/btd/20/119/2011900.pdf" TargetMode="External"/><Relationship Id="rId971" Type="http://schemas.openxmlformats.org/officeDocument/2006/relationships/hyperlink" Target="https://ec.europa.eu/commission/presscorner/detail/en/ip_20_416" TargetMode="External"/><Relationship Id="rId1394" Type="http://schemas.openxmlformats.org/officeDocument/2006/relationships/hyperlink" Target="https://de.wikipedia.org/wiki/Liste_der_Offshore-Windparks" TargetMode="External"/><Relationship Id="rId1699" Type="http://schemas.openxmlformats.org/officeDocument/2006/relationships/hyperlink" Target="https://www.volkswagen-group.com/de/pressemitteilungen/volkswagen-konzern-und-gotion-high-tech-gehen-industrialisierung-von-batteriezellfertigung-in-deutschland-gemeinsam-an-16771" TargetMode="External"/><Relationship Id="rId417" Type="http://schemas.openxmlformats.org/officeDocument/2006/relationships/hyperlink" Target="https://data.consilium.europa.eu/doc/document/ST-6740-2023-ADD-1-REV-2/de/pdf" TargetMode="External"/><Relationship Id="rId624" Type="http://schemas.openxmlformats.org/officeDocument/2006/relationships/hyperlink" Target="https://www.schleswig-holstein.de/DE/landesregierung/ministerien-behoerden/V/Presse/PI/2025/05/250507_Netzengpassbericht2024" TargetMode="External"/><Relationship Id="rId831" Type="http://schemas.openxmlformats.org/officeDocument/2006/relationships/hyperlink" Target="https://www.faz.net/aktuell/wirtschaft/eu-und-usa-bei-gipfel-in-washington-handelsgespraeche-geplatzt-19257022.html?GEPC=s9" TargetMode="External"/><Relationship Id="rId1047" Type="http://schemas.openxmlformats.org/officeDocument/2006/relationships/hyperlink" Target="https://single-market-economy.ec.europa.eu/document/download/7807ca8b-10ce-4ee2-9c11-357afe163190_en?filename=Communication%20-%20Steel%20and%20Metals%20Action%20Plan.pdf" TargetMode="External"/><Relationship Id="rId1254" Type="http://schemas.openxmlformats.org/officeDocument/2006/relationships/hyperlink" Target="https://www.umweltbundesamt.de/daten/klima/der-europaeische-emissionshandel" TargetMode="External"/><Relationship Id="rId1461" Type="http://schemas.openxmlformats.org/officeDocument/2006/relationships/hyperlink" Target="https://www.nius.de/energie/schweden-sagen-stromleitungen-nach-deutschland-ab-weil-es-zu-teuer-wird/26495e2e-24b8-43ac-a24f-87898d479927" TargetMode="External"/><Relationship Id="rId929" Type="http://schemas.openxmlformats.org/officeDocument/2006/relationships/hyperlink" Target="https://ec.europa.eu/commission/presscorner/detail/en/qanda_20_24" TargetMode="External"/><Relationship Id="rId1114" Type="http://schemas.openxmlformats.org/officeDocument/2006/relationships/hyperlink" Target="https://eur-lex.europa.eu/legal-content/EN/TXT/?qid=1603122391413&amp;uri=CELEX:52020SC0550" TargetMode="External"/><Relationship Id="rId1321" Type="http://schemas.openxmlformats.org/officeDocument/2006/relationships/hyperlink" Target="https://www.wvstahl.de/wp-content/uploads/20250429_Statistisches-Jahresbuch_final.pdf" TargetMode="External"/><Relationship Id="rId1559" Type="http://schemas.openxmlformats.org/officeDocument/2006/relationships/hyperlink" Target="https://www.projectfinance.law/publications/2022/october/solar-anti-circumvention-moratorium/" TargetMode="External"/><Relationship Id="rId1766" Type="http://schemas.openxmlformats.org/officeDocument/2006/relationships/hyperlink" Target="https://www.spd.de/fileadmin/Dokumente/Koalitionsvertrag2025_bf.pdf" TargetMode="External"/><Relationship Id="rId58" Type="http://schemas.openxmlformats.org/officeDocument/2006/relationships/hyperlink" Target="https://www.tvt.kit.edu/21_3547.php" TargetMode="External"/><Relationship Id="rId1419" Type="http://schemas.openxmlformats.org/officeDocument/2006/relationships/hyperlink" Target="https://nelhydrogen.com/wp-content/uploads/2024/10/Q3-presentation-2024-for-publication.pdf" TargetMode="External"/><Relationship Id="rId1626" Type="http://schemas.openxmlformats.org/officeDocument/2006/relationships/hyperlink" Target="https://valoe.com/" TargetMode="External"/><Relationship Id="rId1833" Type="http://schemas.openxmlformats.org/officeDocument/2006/relationships/hyperlink" Target="https://www.klimaschutzvertraege.info/thema/informationen_fuer_unternehmen_konkret" TargetMode="External"/><Relationship Id="rId274" Type="http://schemas.openxmlformats.org/officeDocument/2006/relationships/hyperlink" Target="https://www.bundesfinanzministerium.de/Content/DE/Standardartikel/Themen/Internationales_Finanzmarkt/G7-G20/2017-06-29-g20-cwa.html" TargetMode="External"/><Relationship Id="rId481" Type="http://schemas.openxmlformats.org/officeDocument/2006/relationships/hyperlink" Target="https://www.faire-energiewende.de/strompreispaket-enthalt-licht-und-schatten-fur-den-energieintensiven-industriellen-mittelstand/" TargetMode="External"/><Relationship Id="rId134" Type="http://schemas.openxmlformats.org/officeDocument/2006/relationships/hyperlink" Target="https://www.c2es.org/wp-content/uploads/2024/02/key-negotiations-and-related-outcomes-of-the-UN-climate-change-conference-in-dubai.pdf" TargetMode="External"/><Relationship Id="rId579" Type="http://schemas.openxmlformats.org/officeDocument/2006/relationships/hyperlink" Target="https://www.iqony.energy/standortentwicklung/projekt-hydroxy-walsum" TargetMode="External"/><Relationship Id="rId786" Type="http://schemas.openxmlformats.org/officeDocument/2006/relationships/hyperlink" Target="https://www.klimaschutzvertraege.info/thema/informationen_fuer_unternehmen_konkret" TargetMode="External"/><Relationship Id="rId993" Type="http://schemas.openxmlformats.org/officeDocument/2006/relationships/hyperlink" Target="https://energy.ec.europa.eu/topics/eus-energy-system/hydrogen_en" TargetMode="External"/><Relationship Id="rId341" Type="http://schemas.openxmlformats.org/officeDocument/2006/relationships/hyperlink" Target="https://www.ipr.uni-heidelberg.de/md/jura/ipr/personen/weller/weller_klimatransformation_gesr_djt_empfehlungen_njw_2024.pdf" TargetMode="External"/><Relationship Id="rId439" Type="http://schemas.openxmlformats.org/officeDocument/2006/relationships/hyperlink" Target="https://de.wikipedia.org/wiki/Wasserstoffflugzeug" TargetMode="External"/><Relationship Id="rId646" Type="http://schemas.openxmlformats.org/officeDocument/2006/relationships/hyperlink" Target="https://www.bundesnetzagentur.de/DE/Fachthemen/ElektrizitaetundGas/NEP/DL_Szenariorahmen/Genehm_SR_2025Strom.pdf?__blob=publicationFile&amp;v=2" TargetMode="External"/><Relationship Id="rId1069" Type="http://schemas.openxmlformats.org/officeDocument/2006/relationships/hyperlink" Target="https://eur-lex.europa.eu/legal-content/DE/TXT/PDF/?uri=CELEX:52022XC0218(03)" TargetMode="External"/><Relationship Id="rId1276" Type="http://schemas.openxmlformats.org/officeDocument/2006/relationships/hyperlink" Target="https://www.dehst.de/DE/Strompreiskompensation/SPK_verstehen/spk-verstehen_node.html" TargetMode="External"/><Relationship Id="rId1483" Type="http://schemas.openxmlformats.org/officeDocument/2006/relationships/hyperlink" Target="https://adelphi.de/system/files/document/adelphi%20-%20International%20Overview%20-%20Certification%20of%20Clean%20and%20Green%20Hydrogen.pdf" TargetMode="External"/><Relationship Id="rId201" Type="http://schemas.openxmlformats.org/officeDocument/2006/relationships/hyperlink" Target="https://www.helaba.com/media/docs/de/presse/news/studie-freiwillige-co2-kompensation-helaba-response.pdf" TargetMode="External"/><Relationship Id="rId506" Type="http://schemas.openxmlformats.org/officeDocument/2006/relationships/hyperlink" Target="https://www.youtube.com/watch?v=NWjbv94_NBQ&amp;list=PLgT6DO8XUkP5oGh1ed710Lw5YvTpesX0U&amp;index=11&amp;t=670s" TargetMode="External"/><Relationship Id="rId853" Type="http://schemas.openxmlformats.org/officeDocument/2006/relationships/hyperlink" Target="https://climate.ec.europa.eu/index_de" TargetMode="External"/><Relationship Id="rId1136" Type="http://schemas.openxmlformats.org/officeDocument/2006/relationships/hyperlink" Target="https://ec.europa.eu/commission/presscorner/detail/en/ip_22_2238" TargetMode="External"/><Relationship Id="rId1690" Type="http://schemas.openxmlformats.org/officeDocument/2006/relationships/hyperlink" Target="https://h2berlin.org/" TargetMode="External"/><Relationship Id="rId1788" Type="http://schemas.openxmlformats.org/officeDocument/2006/relationships/hyperlink" Target="https://www.aspire2050.eu/sites/default/files/pressoffice/publication/p4planet_sria_update_final_version_march_2024.pdf" TargetMode="External"/><Relationship Id="rId713" Type="http://schemas.openxmlformats.org/officeDocument/2006/relationships/hyperlink" Target="https://www.man-es.com/de/unternehmen/pressemitteilungen/press-details/2023/09/28/man-energy-solutions-liefert-klimaneutrale-fernw%C3%A4rme-f%C3%BCr-aalborg" TargetMode="External"/><Relationship Id="rId920" Type="http://schemas.openxmlformats.org/officeDocument/2006/relationships/hyperlink" Target="https://www.consilium.europa.eu/de/policies/green-deal/" TargetMode="External"/><Relationship Id="rId1343" Type="http://schemas.openxmlformats.org/officeDocument/2006/relationships/hyperlink" Target="https://ec.europa.eu/sustainable-finance-taxonomy/" TargetMode="External"/><Relationship Id="rId1550" Type="http://schemas.openxmlformats.org/officeDocument/2006/relationships/hyperlink" Target="https://www.tradelawcounsel.com/solar" TargetMode="External"/><Relationship Id="rId1648" Type="http://schemas.openxmlformats.org/officeDocument/2006/relationships/hyperlink" Target="https://www.bundestag.de/resource/blob/1041550/2689022673fd766d0cc2a7738df04724/WD-2-066-24-pdf.pdf" TargetMode="External"/><Relationship Id="rId1203" Type="http://schemas.openxmlformats.org/officeDocument/2006/relationships/hyperlink" Target="https://www.bfee-online.de/BfEE/DE/Monitoring/MonitoringEnergiewende/monitoringenergiewende_node.html" TargetMode="External"/><Relationship Id="rId1410" Type="http://schemas.openxmlformats.org/officeDocument/2006/relationships/hyperlink" Target="https://www.irs.gov/inflation-reduction-act-of-2022" TargetMode="External"/><Relationship Id="rId1508" Type="http://schemas.openxmlformats.org/officeDocument/2006/relationships/hyperlink" Target="https://www.capital.de/wirtschaft-politik/china-entdeckt-die-europaeische-windindustrie-33737100.html" TargetMode="External"/><Relationship Id="rId1855" Type="http://schemas.openxmlformats.org/officeDocument/2006/relationships/hyperlink" Target="https://www.umweltbundesamt.de/presse/pressemitteilungen/uba-prognose-treibhausgasemissionen-sanken-2022-um" TargetMode="External"/><Relationship Id="rId1715" Type="http://schemas.openxmlformats.org/officeDocument/2006/relationships/hyperlink" Target="https://single-market-economy.ec.europa.eu/sectors/construction/construction-products-regulation-cpr_en" TargetMode="External"/><Relationship Id="rId296" Type="http://schemas.openxmlformats.org/officeDocument/2006/relationships/hyperlink" Target="https://www.erneuerbare-energien.de/EE/Redaktion/DE/Standardartikel/energiewirtschaftsgesetz.html" TargetMode="External"/><Relationship Id="rId156" Type="http://schemas.openxmlformats.org/officeDocument/2006/relationships/hyperlink" Target="https://globalmatchmakingplatform.climate-club.org/wp-content/uploads/COP29-Global-Pledge-Scaling-International-Assistance-for-Industry-Decarbonisation-.pdf" TargetMode="External"/><Relationship Id="rId363" Type="http://schemas.openxmlformats.org/officeDocument/2006/relationships/hyperlink" Target="https://www.wirtschaft.nrw/themen/energie/erneuerbare-energien/task-force-ausbaubeschleunigung-windenergie-nrw" TargetMode="External"/><Relationship Id="rId570" Type="http://schemas.openxmlformats.org/officeDocument/2006/relationships/hyperlink" Target="https://www.netzentwicklungsplan.de/" TargetMode="External"/><Relationship Id="rId223" Type="http://schemas.openxmlformats.org/officeDocument/2006/relationships/hyperlink" Target="https://www.g7italy.it/wp-content/uploads/Annex-V.-Note-AGIA_G7-FMCBG-Meeting-May-23-25-2024.pdf" TargetMode="External"/><Relationship Id="rId430" Type="http://schemas.openxmlformats.org/officeDocument/2006/relationships/hyperlink" Target="https://www.youtube.com/watch?v=KOawGXRRJFY&amp;t=8s" TargetMode="External"/><Relationship Id="rId668" Type="http://schemas.openxmlformats.org/officeDocument/2006/relationships/hyperlink" Target="https://www.umsicht.fraunhofer.de/de/greenhydrogen/ammoniak-wasserstoffspeicher.html" TargetMode="External"/><Relationship Id="rId875" Type="http://schemas.openxmlformats.org/officeDocument/2006/relationships/hyperlink" Target="https://eur-lex.europa.eu/eli/reg/2023/857" TargetMode="External"/><Relationship Id="rId1060" Type="http://schemas.openxmlformats.org/officeDocument/2006/relationships/hyperlink" Target="https://competition-policy.ec.europa.eu/document/download/1b687754-5eab-4447-bcbb-da0eb9ae61b9_en?filename=State_aid_TCTF_decisions.pdf" TargetMode="External"/><Relationship Id="rId1298" Type="http://schemas.openxmlformats.org/officeDocument/2006/relationships/hyperlink" Target="https://de.wikipedia.org/wiki/Kyoto-Protokoll" TargetMode="External"/><Relationship Id="rId528" Type="http://schemas.openxmlformats.org/officeDocument/2006/relationships/hyperlink" Target="https://www.umweltbundesamt.de/sites/default/files/medien/378/publikationen/climate_change_05_2016_ein_strommarktdesign_zur_kostenguenstigen_erreichung_0.pdf" TargetMode="External"/><Relationship Id="rId735" Type="http://schemas.openxmlformats.org/officeDocument/2006/relationships/hyperlink" Target="https://www.energiewechsel.de/KAENEF/Navigation/DE/Foerderprogramme/foerderprogramme-energieeffizienz.html" TargetMode="External"/><Relationship Id="rId942" Type="http://schemas.openxmlformats.org/officeDocument/2006/relationships/hyperlink" Target="https://www.europarl.europa.eu/factsheets/de/sheet/98/europaische-territoriale-zusammenarbeit" TargetMode="External"/><Relationship Id="rId1158" Type="http://schemas.openxmlformats.org/officeDocument/2006/relationships/hyperlink" Target="https://research-and-innovation.ec.europa.eu/funding/funding-opportunities/funding-programmes-and-open-calls/horizon-europe_en" TargetMode="External"/><Relationship Id="rId1365" Type="http://schemas.openxmlformats.org/officeDocument/2006/relationships/hyperlink" Target="https://www.eurochambres.eu/publication/public-consultation-on-the-eu-climate-target-2040/" TargetMode="External"/><Relationship Id="rId1572" Type="http://schemas.openxmlformats.org/officeDocument/2006/relationships/hyperlink" Target="https://trade.ec.europa.eu/" TargetMode="External"/><Relationship Id="rId1018" Type="http://schemas.openxmlformats.org/officeDocument/2006/relationships/hyperlink" Target="https://www.eca.europa.eu/de/publications/SR-2024-11" TargetMode="External"/><Relationship Id="rId1225" Type="http://schemas.openxmlformats.org/officeDocument/2006/relationships/hyperlink" Target="https://www.dehst.de/DE/Nationaler-Emissionshandel/nEHS-verstehen/nehs-verstehen_node.html" TargetMode="External"/><Relationship Id="rId1432" Type="http://schemas.openxmlformats.org/officeDocument/2006/relationships/hyperlink" Target="https://www.energy.gov/sites/default/files/2024-12/hydrogen-shot-water-electrolysis-technology-assessment.pdf" TargetMode="External"/><Relationship Id="rId71" Type="http://schemas.openxmlformats.org/officeDocument/2006/relationships/hyperlink" Target="https://de.wikipedia.org/wiki/Kraftwerk_Be%C5%82chat%C3%B3w" TargetMode="External"/><Relationship Id="rId802" Type="http://schemas.openxmlformats.org/officeDocument/2006/relationships/hyperlink" Target="https://www.architekturblatt.de/bundeswirtschaftsminister-robert-habeck-uebergibt-klimaschutzvertrag-an-isover-und-saint-gobain-glass/" TargetMode="External"/><Relationship Id="rId1737" Type="http://schemas.openxmlformats.org/officeDocument/2006/relationships/hyperlink" Target="https://commission.europa.eu/topics/eu-competitiveness/draghi-report_en" TargetMode="External"/><Relationship Id="rId29" Type="http://schemas.openxmlformats.org/officeDocument/2006/relationships/hyperlink" Target="https://ieefa.org/resources/gorgon-ccs-underperformance-hits-new-low-2023-24" TargetMode="External"/><Relationship Id="rId178" Type="http://schemas.openxmlformats.org/officeDocument/2006/relationships/hyperlink" Target="https://www.climatepartner.com/de/klimaschutzprojekte/projekt-technologien/waldschutz-redd" TargetMode="External"/><Relationship Id="rId1804" Type="http://schemas.openxmlformats.org/officeDocument/2006/relationships/hyperlink" Target="https://www.agora-industrie.de/publikationen/klimaschutzvertraege-fuer-die-industrietransformation-stahl" TargetMode="External"/><Relationship Id="rId385" Type="http://schemas.openxmlformats.org/officeDocument/2006/relationships/hyperlink" Target="https://media.suub.uni-bremen.de/handle/elib/5846" TargetMode="External"/><Relationship Id="rId592" Type="http://schemas.openxmlformats.org/officeDocument/2006/relationships/hyperlink" Target="https://www.bundeswirtschaftsministerium.de/Redaktion/DE/Publikationen/Energie/technologieuebersicht.pdf?__blob=publicationFile&amp;v=1" TargetMode="External"/><Relationship Id="rId245" Type="http://schemas.openxmlformats.org/officeDocument/2006/relationships/hyperlink" Target="http://www.g8.utoronto.ca/summit/2023hiroshima/230520-energy-action-plan.html" TargetMode="External"/><Relationship Id="rId452" Type="http://schemas.openxmlformats.org/officeDocument/2006/relationships/hyperlink" Target="https://www.bundesregierung.de/breg-de/suche/lkw-maut-co2-2194574" TargetMode="External"/><Relationship Id="rId897" Type="http://schemas.openxmlformats.org/officeDocument/2006/relationships/hyperlink" Target="https://caneurope.org/content/uploads/2023/10/NECPs_Assessment-Report_October2023.pdf" TargetMode="External"/><Relationship Id="rId1082" Type="http://schemas.openxmlformats.org/officeDocument/2006/relationships/hyperlink" Target="https://eur-lex.europa.eu/legal-content/DE/TXT/PDF/?uri=CELEX:52014XC0731(01)" TargetMode="External"/><Relationship Id="rId1303" Type="http://schemas.openxmlformats.org/officeDocument/2006/relationships/hyperlink" Target="https://eur-lex.europa.eu/LexUriServ/LexUriServ.do?uri=OJ:L:2003:283:0051:0070:DE:PDF" TargetMode="External"/><Relationship Id="rId1510" Type="http://schemas.openxmlformats.org/officeDocument/2006/relationships/hyperlink" Target="https://de.wikipedia.org/wiki/Liste_der_Kernreaktoren_in_der_Volksrepublik_China" TargetMode="External"/><Relationship Id="rId105" Type="http://schemas.openxmlformats.org/officeDocument/2006/relationships/hyperlink" Target="https://usclimatealliance.org/" TargetMode="External"/><Relationship Id="rId312" Type="http://schemas.openxmlformats.org/officeDocument/2006/relationships/hyperlink" Target="https://www.vcd.org/service/presse/pressemitteilungen/rechtsbruch-beim-klimaschutzgesetz-verkehrsminister-wissing-bleibt-sofortprogramm-voraussichtlich-schuldig" TargetMode="External"/><Relationship Id="rId757" Type="http://schemas.openxmlformats.org/officeDocument/2006/relationships/hyperlink" Target="https://www.dlg-mitteilungen.de/artikel/biodiesel-hvo-betrug" TargetMode="External"/><Relationship Id="rId964" Type="http://schemas.openxmlformats.org/officeDocument/2006/relationships/hyperlink" Target="https://eur-lex.europa.eu/legal-content/DE/TXT/PDF/?uri=CELEX:32021R1119&amp;from=FR%20" TargetMode="External"/><Relationship Id="rId1387" Type="http://schemas.openxmlformats.org/officeDocument/2006/relationships/hyperlink" Target="https://energy.ec.europa.eu/topics/renewable-energy/solar-energy/european-solar-charter_en" TargetMode="External"/><Relationship Id="rId1594" Type="http://schemas.openxmlformats.org/officeDocument/2006/relationships/hyperlink" Target="https://eur-lex.europa.eu/resource.html?uri=cellar:903d35cc-c4a2-11ed-a05c-01aa75ed71a1.0003.02/DOC_2&amp;format=PDF" TargetMode="External"/><Relationship Id="rId1608" Type="http://schemas.openxmlformats.org/officeDocument/2006/relationships/hyperlink" Target="https://stiftung-umweltenergierecht.de/wp-content/uploads/2022/04/Stiftung_Umweltenergierecht_WueBerichte_54_Energiekrise-und-Beihilfenrecht.pdf" TargetMode="External"/><Relationship Id="rId1815" Type="http://schemas.openxmlformats.org/officeDocument/2006/relationships/hyperlink" Target="https://www.agora-industrie.de/daten-tools/transformationskostenrechner-stahl" TargetMode="External"/><Relationship Id="rId93" Type="http://schemas.openxmlformats.org/officeDocument/2006/relationships/hyperlink" Target="https://treaties.un.org/Pages/ViewDetails.aspx?src=TREATY&amp;mtdsg_no=XXVII-7-d&amp;chapter=27&amp;clang=_en" TargetMode="External"/><Relationship Id="rId189" Type="http://schemas.openxmlformats.org/officeDocument/2006/relationships/hyperlink" Target="https://www.goldstandard.org/" TargetMode="External"/><Relationship Id="rId396" Type="http://schemas.openxmlformats.org/officeDocument/2006/relationships/hyperlink" Target="https://www.bmwk.de/Redaktion/DE/Artikel/Energie/monitoring-prozess.html" TargetMode="External"/><Relationship Id="rId617" Type="http://schemas.openxmlformats.org/officeDocument/2006/relationships/hyperlink" Target="https://www.metropolregionnuernberg.de/" TargetMode="External"/><Relationship Id="rId824" Type="http://schemas.openxmlformats.org/officeDocument/2006/relationships/hyperlink" Target="https://www.dehst.de/SharedDocs/downloads/DE/spk/spk-transparenzbericht-2021.pdf?__blob=publicationFile&amp;v=3" TargetMode="External"/><Relationship Id="rId1247" Type="http://schemas.openxmlformats.org/officeDocument/2006/relationships/hyperlink" Target="https://eur-lex.europa.eu/legal-content/DE/TXT/PDF/?uri=CELEX:32023D0852" TargetMode="External"/><Relationship Id="rId1454" Type="http://schemas.openxmlformats.org/officeDocument/2006/relationships/hyperlink" Target="https://www.renewableuk.com/our-work/offshore-wind/" TargetMode="External"/><Relationship Id="rId1661" Type="http://schemas.openxmlformats.org/officeDocument/2006/relationships/hyperlink" Target="https://windeurope.org/newsroom/press-releases/wind-power-package-game-changer-for-europes-energy-security/" TargetMode="External"/><Relationship Id="rId256" Type="http://schemas.openxmlformats.org/officeDocument/2006/relationships/hyperlink" Target="https://www.international-climate-initiative.com/iki-medien/artikel/china_startet_nationalen_emissionshandel/" TargetMode="External"/><Relationship Id="rId463" Type="http://schemas.openxmlformats.org/officeDocument/2006/relationships/hyperlink" Target="https://www.dehst.de/DE/Nationaler-Emissionshandel/Haertefaelle/haertefaelle_node.html" TargetMode="External"/><Relationship Id="rId670" Type="http://schemas.openxmlformats.org/officeDocument/2006/relationships/hyperlink" Target="https://www.h2-global.de/pages/green-news" TargetMode="External"/><Relationship Id="rId1093" Type="http://schemas.openxmlformats.org/officeDocument/2006/relationships/hyperlink" Target="https://www.euractiv.de/section/energie-und-umwelt/news/europas-wasserstoffbank-legt-los-800-millionen-euro-sollen-den-markt-anheizen/" TargetMode="External"/><Relationship Id="rId1107" Type="http://schemas.openxmlformats.org/officeDocument/2006/relationships/hyperlink" Target="https://cinea.ec.europa.eu/system/files/2023-11/Hydrogen%20Week%20-%20CINEA%20projects_website_0.pdf" TargetMode="External"/><Relationship Id="rId1314" Type="http://schemas.openxmlformats.org/officeDocument/2006/relationships/hyperlink" Target="https://www.wvstahl.de/wp-content/uploads/WV-Stahl_Fakten-2023_Web.pdf" TargetMode="External"/><Relationship Id="rId1521" Type="http://schemas.openxmlformats.org/officeDocument/2006/relationships/hyperlink" Target="https://www.energy.gov/sites/default/files/2022-02/Solar%20Energy%20Supply%20Chain%20Report%20-%20Final.pdf" TargetMode="External"/><Relationship Id="rId1759" Type="http://schemas.openxmlformats.org/officeDocument/2006/relationships/hyperlink" Target="https://www.bundestag.de/presse/hib/kurzmeldungen-1039794" TargetMode="External"/><Relationship Id="rId116" Type="http://schemas.openxmlformats.org/officeDocument/2006/relationships/hyperlink" Target="https://www.cop28.com/" TargetMode="External"/><Relationship Id="rId323" Type="http://schemas.openxmlformats.org/officeDocument/2006/relationships/hyperlink" Target="https://www.tagesschau.de/inland/innenpolitik/klimaschutzgesetz-klage-100.html" TargetMode="External"/><Relationship Id="rId530" Type="http://schemas.openxmlformats.org/officeDocument/2006/relationships/hyperlink" Target="https://www.bmwk.de/Redaktion/DE/Artikel/Klimaschutz/pkns-download-dokumente.html" TargetMode="External"/><Relationship Id="rId768" Type="http://schemas.openxmlformats.org/officeDocument/2006/relationships/hyperlink" Target="https://gesetze-im-internet.de" TargetMode="External"/><Relationship Id="rId975" Type="http://schemas.openxmlformats.org/officeDocument/2006/relationships/hyperlink" Target="https://eur-lex.europa.eu/legal-content/DE/TXT/PDF/?uri=CELEX:32023R1542" TargetMode="External"/><Relationship Id="rId1160" Type="http://schemas.openxmlformats.org/officeDocument/2006/relationships/hyperlink" Target="https://eur-lex.europa.eu/legal-content/DE/TXT/PDF/?uri=OJ:L_202302413" TargetMode="External"/><Relationship Id="rId1398" Type="http://schemas.openxmlformats.org/officeDocument/2006/relationships/hyperlink" Target="https://de.wikipedia.org/wiki/Erd%C3%B6l/Tabellen_und_Grafiken" TargetMode="External"/><Relationship Id="rId1619" Type="http://schemas.openxmlformats.org/officeDocument/2006/relationships/hyperlink" Target="https://solaralliance.eu/wp-content/uploads/2023/06/ESIA_WG-Status-Report-Q2-2023.pdf" TargetMode="External"/><Relationship Id="rId1826" Type="http://schemas.openxmlformats.org/officeDocument/2006/relationships/hyperlink" Target="https://www.youtube.com/watch?v=YGVlD7PAaIY&amp;list=PLgT6DO8XUkP5oGh1ed710Lw5YvTpesX0U" TargetMode="External"/><Relationship Id="rId20" Type="http://schemas.openxmlformats.org/officeDocument/2006/relationships/hyperlink" Target="https://de.wikipedia.org/wiki/Kohlekraftwerk" TargetMode="External"/><Relationship Id="rId628" Type="http://schemas.openxmlformats.org/officeDocument/2006/relationships/hyperlink" Target="https://www.bmwk.de/Redaktion/DE/Wasserstoff/home.html" TargetMode="External"/><Relationship Id="rId835" Type="http://schemas.openxmlformats.org/officeDocument/2006/relationships/hyperlink" Target="https://www.europarl.europa.eu/news/de/press-room/20221212IPR64527/klimaschutz-einigung-uber-ehrgeizigeren-eu-emissionshandel-ets" TargetMode="External"/><Relationship Id="rId1258" Type="http://schemas.openxmlformats.org/officeDocument/2006/relationships/hyperlink" Target="https://eur-lex.europa.eu/legal-content/DE/TXT/PDF/?uri=CELEX:02015D1814-20240101" TargetMode="External"/><Relationship Id="rId1465" Type="http://schemas.openxmlformats.org/officeDocument/2006/relationships/hyperlink" Target="https://www.german-energy-solutions.de/GES/Redaktion/DE/Publikationen/Marktanalysen/2023/zma-brasilien.pdf?__blob=publicationFile&amp;v=2" TargetMode="External"/><Relationship Id="rId1672" Type="http://schemas.openxmlformats.org/officeDocument/2006/relationships/hyperlink" Target="https://www.irena.org/-/media/Irena/Files/Technical-papers/IRENA_Rare_Earth_Elements_2022.pdf" TargetMode="External"/><Relationship Id="rId267" Type="http://schemas.openxmlformats.org/officeDocument/2006/relationships/hyperlink" Target="https://www.kas.de/de/laenderberichte/detail/-/content/energiewende-in-indien" TargetMode="External"/><Relationship Id="rId474" Type="http://schemas.openxmlformats.org/officeDocument/2006/relationships/hyperlink" Target="https://www.iwkoeln.de/studien/andreas-fischer-thilo-schaefer-kurzfristige-entlastung-fuer-haushalte-und-kmu.html" TargetMode="External"/><Relationship Id="rId1020" Type="http://schemas.openxmlformats.org/officeDocument/2006/relationships/hyperlink" Target="https://eur-lex.europa.eu/legal-content/EN/TXT/?uri=CELEX:02018L2001-20240716" TargetMode="External"/><Relationship Id="rId1118" Type="http://schemas.openxmlformats.org/officeDocument/2006/relationships/hyperlink" Target="https://energy.ec.europa.eu/index_en" TargetMode="External"/><Relationship Id="rId1325" Type="http://schemas.openxmlformats.org/officeDocument/2006/relationships/hyperlink" Target="https://eur-lex.europa.eu/legal-content/DE/TXT/PDF/?uri=CELEX:32023R1773" TargetMode="External"/><Relationship Id="rId1532" Type="http://schemas.openxmlformats.org/officeDocument/2006/relationships/hyperlink" Target="https://ec.europa.eu/commission/presscorner/detail/de/memo_12_647" TargetMode="External"/><Relationship Id="rId127" Type="http://schemas.openxmlformats.org/officeDocument/2006/relationships/hyperlink" Target="https://unfccc.int/documents/636516" TargetMode="External"/><Relationship Id="rId681" Type="http://schemas.openxmlformats.org/officeDocument/2006/relationships/hyperlink" Target="https://www.h2-global.org/news" TargetMode="External"/><Relationship Id="rId779" Type="http://schemas.openxmlformats.org/officeDocument/2006/relationships/hyperlink" Target="https://www.spiegel.de/wirtschaft/soziales/gaskraftwerke-erster-rueckschlag-fuer-katherina-reiche-a-2d42203e-5e95-45b6-809c-4e8bbaa01981" TargetMode="External"/><Relationship Id="rId902" Type="http://schemas.openxmlformats.org/officeDocument/2006/relationships/hyperlink" Target="https://www.europarl.europa.eu/RegData/etudes/STUD/2020/655134/IPOL_STU(2020)655134(SUM01)_DE.pdf" TargetMode="External"/><Relationship Id="rId986" Type="http://schemas.openxmlformats.org/officeDocument/2006/relationships/hyperlink" Target="https://www.fraunhofer.de/de/presse/presseinformationen/2022/september-2022/kupfer-statt-silber-neuer-schub-fuer-solarzellen.html" TargetMode="External"/><Relationship Id="rId1837" Type="http://schemas.openxmlformats.org/officeDocument/2006/relationships/hyperlink" Target="https://www.zdfheute.de/politik/deutschland/klimawandel-schutz-transformationsfonds-sondervermoegen-milliarden-100.html" TargetMode="External"/><Relationship Id="rId31" Type="http://schemas.openxmlformats.org/officeDocument/2006/relationships/hyperlink" Target="https://www.umweltbundesamt.de/sites/default/files/medien/361/dokumente/vjs_2022_-_begleitbericht_final_kurzfassung.pdf" TargetMode="External"/><Relationship Id="rId334" Type="http://schemas.openxmlformats.org/officeDocument/2006/relationships/hyperlink" Target="https://www.tagesschau.de/ausland/europa/igh-gutachten-klima-analyse-100.html" TargetMode="External"/><Relationship Id="rId541" Type="http://schemas.openxmlformats.org/officeDocument/2006/relationships/hyperlink" Target="https://eudsoentity.eu/" TargetMode="External"/><Relationship Id="rId639" Type="http://schemas.openxmlformats.org/officeDocument/2006/relationships/hyperlink" Target="https://www.bmwk.de/Redaktion/DE/Downloads/G/green-paper-transformation-gas-wasserstoff-verteilernetze.pdf?__blob=publicationFile&amp;v=4" TargetMode="External"/><Relationship Id="rId1171" Type="http://schemas.openxmlformats.org/officeDocument/2006/relationships/hyperlink" Target="https://eur-lex.europa.eu/legal-content/EN/TXT/?uri=CELEX:02018L2001-20240716" TargetMode="External"/><Relationship Id="rId1269" Type="http://schemas.openxmlformats.org/officeDocument/2006/relationships/hyperlink" Target="https://eur-lex.europa.eu/legal-content/DE/TXT/PDF/?uri=CELEX:02015D1814-20240101" TargetMode="External"/><Relationship Id="rId1476" Type="http://schemas.openxmlformats.org/officeDocument/2006/relationships/hyperlink" Target="https://masdar.ae/en/news/newsroom/infinity-power-finalizes-acquisition-of-lekela-power" TargetMode="External"/><Relationship Id="rId180" Type="http://schemas.openxmlformats.org/officeDocument/2006/relationships/hyperlink" Target="https://www.boell.de/de/2020/03/10/redd-marktkonformer-waldschutz-mit-tuecken" TargetMode="External"/><Relationship Id="rId278" Type="http://schemas.openxmlformats.org/officeDocument/2006/relationships/hyperlink" Target="https://iea.blob.core.windows.net/assets/6ac243a9-247b-4b79-bc01-0e7730434118/RoadmaptoIncreaseInvestmentinCleanEnergyinDevelopingCountriesaninitiativebytheG20BrazilPresidency.pdf" TargetMode="External"/><Relationship Id="rId401" Type="http://schemas.openxmlformats.org/officeDocument/2006/relationships/hyperlink" Target="https://www.umweltbundesamt.de/publikationen/potenzial-windenergie-an-land" TargetMode="External"/><Relationship Id="rId846" Type="http://schemas.openxmlformats.org/officeDocument/2006/relationships/hyperlink" Target="https://eur-lex.europa.eu/legal-content/DE/TXT/PDF/?uri=CELEX:32002D0358&amp;qid=1704382586823" TargetMode="External"/><Relationship Id="rId1031" Type="http://schemas.openxmlformats.org/officeDocument/2006/relationships/hyperlink" Target="https://www.entsog.eu/sites/default/files/2024-02/entsog_roadmap_2050_A4_web_200219.pdf" TargetMode="External"/><Relationship Id="rId1129" Type="http://schemas.openxmlformats.org/officeDocument/2006/relationships/hyperlink" Target="https://ec.europa.eu/commission/presscorner/detail/en/ip_21_6776" TargetMode="External"/><Relationship Id="rId1683" Type="http://schemas.openxmlformats.org/officeDocument/2006/relationships/hyperlink" Target="https://sunfire.de/de/news/sunfire-vollzieht-markteintritt-in-spanien-mit-neuem-elektrolyse-projekt/" TargetMode="External"/><Relationship Id="rId485" Type="http://schemas.openxmlformats.org/officeDocument/2006/relationships/hyperlink" Target="https://www.destatis.de/DE/Themen/Gesellschaft-Umwelt/Umwelt/UGR/steuern-weitere-abgaben/Tabellen/gesamtaufkommen-steuern.html" TargetMode="External"/><Relationship Id="rId692" Type="http://schemas.openxmlformats.org/officeDocument/2006/relationships/hyperlink" Target="https://www.south2corridor.net/" TargetMode="External"/><Relationship Id="rId706" Type="http://schemas.openxmlformats.org/officeDocument/2006/relationships/hyperlink" Target="https://www.bundesregierung.de/breg-de/aktuelles/waermeplanungsgesetz-2213692" TargetMode="External"/><Relationship Id="rId913" Type="http://schemas.openxmlformats.org/officeDocument/2006/relationships/hyperlink" Target="https://en.wikipedia.org/wiki/Council_of_the_European_Union" TargetMode="External"/><Relationship Id="rId1336" Type="http://schemas.openxmlformats.org/officeDocument/2006/relationships/hyperlink" Target="https://www.acer.europa.eu/" TargetMode="External"/><Relationship Id="rId1543" Type="http://schemas.openxmlformats.org/officeDocument/2006/relationships/hyperlink" Target="https://www.uni-trier.de/universitaet/fachbereiche-faecher/fachbereich-iii/faecher/politikwissenschaft/team/vergleichende-regierungslehre/team/schild-joachim/forschung/arbeitspapiere-zur-eu" TargetMode="External"/><Relationship Id="rId1750" Type="http://schemas.openxmlformats.org/officeDocument/2006/relationships/hyperlink" Target="https://www.ndr.de/nachrichten/niedersachsen/oldenburg_ostfriesland/Gruener-Wasserstoff-fuer-Energiewende-Neue-Anlage-in-Sande-geplant,wasserstoff570.html" TargetMode="External"/><Relationship Id="rId42" Type="http://schemas.openxmlformats.org/officeDocument/2006/relationships/hyperlink" Target="https://www.mpic.de/3856319/ethangaskonzentrationen-steigen-wieder" TargetMode="External"/><Relationship Id="rId138" Type="http://schemas.openxmlformats.org/officeDocument/2006/relationships/hyperlink" Target="https://www.cop28.com/en/cop28-presidency" TargetMode="External"/><Relationship Id="rId345" Type="http://schemas.openxmlformats.org/officeDocument/2006/relationships/hyperlink" Target="https://www.bmwk.de/Redaktion/DE/Dossier/roadmap-systemstabilitaet.html" TargetMode="External"/><Relationship Id="rId552" Type="http://schemas.openxmlformats.org/officeDocument/2006/relationships/hyperlink" Target="https://www.youtube.com/watch?v=OXSdVa2bPTg" TargetMode="External"/><Relationship Id="rId997" Type="http://schemas.openxmlformats.org/officeDocument/2006/relationships/hyperlink" Target="https://commission.europa.eu/publications/key-documents-repowereu_en" TargetMode="External"/><Relationship Id="rId1182" Type="http://schemas.openxmlformats.org/officeDocument/2006/relationships/hyperlink" Target="https://single-market-economy.ec.europa.eu/publications/net-zero-industry-act_en" TargetMode="External"/><Relationship Id="rId1403" Type="http://schemas.openxmlformats.org/officeDocument/2006/relationships/hyperlink" Target="https://www.eba-net.org/wp-content/uploads/2023/06/10-Electricity-Committee-ReportFinal_updated06122023.pdf" TargetMode="External"/><Relationship Id="rId1610" Type="http://schemas.openxmlformats.org/officeDocument/2006/relationships/hyperlink" Target="https://www.concertation-holosolis.org/deutsch/das-projekt/" TargetMode="External"/><Relationship Id="rId1848" Type="http://schemas.openxmlformats.org/officeDocument/2006/relationships/hyperlink" Target="https://www.wn.de/muenster/ziegelwerk-janinhoff-wasserstoff-umstieg-foerderung-habeck-3169735?pid=true&amp;npg" TargetMode="External"/><Relationship Id="rId191" Type="http://schemas.openxmlformats.org/officeDocument/2006/relationships/hyperlink" Target="https://www.icao.int/environmental-protection/CORSIA/Pages/default.aspx" TargetMode="External"/><Relationship Id="rId205" Type="http://schemas.openxmlformats.org/officeDocument/2006/relationships/hyperlink" Target="https://www.noerr.com/de/insights/neuer-eu-zertifizierungsrahmen-fuer-taetigkeiten-zur-co2-neutralisierung-in-kraft-getreten" TargetMode="External"/><Relationship Id="rId412" Type="http://schemas.openxmlformats.org/officeDocument/2006/relationships/hyperlink" Target="https://eur-lex.europa.eu/legal-content/EN/TXT/?uri=CELEX:02019R0631-20240101" TargetMode="External"/><Relationship Id="rId857" Type="http://schemas.openxmlformats.org/officeDocument/2006/relationships/hyperlink" Target="https://vejamate.de/" TargetMode="External"/><Relationship Id="rId1042" Type="http://schemas.openxmlformats.org/officeDocument/2006/relationships/hyperlink" Target="https://dejure.org/gesetze/AEUV/107.html" TargetMode="External"/><Relationship Id="rId1487" Type="http://schemas.openxmlformats.org/officeDocument/2006/relationships/hyperlink" Target="https://www.gtai.de/de/trade/japan/branchen/regierung-wasserstoff-bietet-hohes-dekarbonisierungspotenzial--1011728" TargetMode="External"/><Relationship Id="rId1694" Type="http://schemas.openxmlformats.org/officeDocument/2006/relationships/hyperlink" Target="https://www.sms-group.com/de-de/insights/all-insights/from-iron-to-e-fuels-diversifying-into-the-hydrogen-industry" TargetMode="External"/><Relationship Id="rId1708" Type="http://schemas.openxmlformats.org/officeDocument/2006/relationships/hyperlink" Target="https://www.basf.com/global/de/media/news-releases/2025/05/p-25-099" TargetMode="External"/><Relationship Id="rId289" Type="http://schemas.openxmlformats.org/officeDocument/2006/relationships/hyperlink" Target="https://de.wikipedia.org/wiki/Peabody_Energy" TargetMode="External"/><Relationship Id="rId496" Type="http://schemas.openxmlformats.org/officeDocument/2006/relationships/hyperlink" Target="https://www.youtube.com/watch?v=xEYbVlk_618" TargetMode="External"/><Relationship Id="rId717" Type="http://schemas.openxmlformats.org/officeDocument/2006/relationships/hyperlink" Target="https://www.bundestag.de/dokumente/textarchiv/2023/kw24-pa-klimaschutz-energieeffizienzgesetz-950108" TargetMode="External"/><Relationship Id="rId924" Type="http://schemas.openxmlformats.org/officeDocument/2006/relationships/hyperlink" Target="https://commission.europa.eu/strategy-and-policy/priorities-2019-2024/european-green-deal_de" TargetMode="External"/><Relationship Id="rId1347" Type="http://schemas.openxmlformats.org/officeDocument/2006/relationships/hyperlink" Target="https://energy.ec.europa.eu/topics/renewable-energy/solar-energy/european-solar-charter_en" TargetMode="External"/><Relationship Id="rId1554" Type="http://schemas.openxmlformats.org/officeDocument/2006/relationships/hyperlink" Target="https://seia.org/research-resources/american-solar-storage-manufacturing-renaissance-managing-transition-away-china/" TargetMode="External"/><Relationship Id="rId1761" Type="http://schemas.openxmlformats.org/officeDocument/2006/relationships/hyperlink" Target="https://www.energy-charts.info/charts/energy_redispatch/chart.htm?l=de&amp;c=DE&amp;redispatch=redispatch_energies_costs_overall" TargetMode="External"/><Relationship Id="rId53" Type="http://schemas.openxmlformats.org/officeDocument/2006/relationships/hyperlink" Target="https://de.wikipedia.org/wiki/Wan_Gang" TargetMode="External"/><Relationship Id="rId149" Type="http://schemas.openxmlformats.org/officeDocument/2006/relationships/hyperlink" Target="https://de.wikipedia.org/wiki/Liste_der_Kernreaktoren_in_der_Volksrepublik_China" TargetMode="External"/><Relationship Id="rId356" Type="http://schemas.openxmlformats.org/officeDocument/2006/relationships/hyperlink" Target="https://www.wirtschaft.nrw/system/files/media/document/file/kurzleitfaden-bauplanungsrechtliche-grundlagen-fur-freiflachen-photovoltaik-anlagen-nrw.pdf" TargetMode="External"/><Relationship Id="rId563" Type="http://schemas.openxmlformats.org/officeDocument/2006/relationships/hyperlink" Target="file:///C:\Users\uwehe\Desktop\0000MyClimateText\%20https\www.bundesregierung.de\breg-de\themen\tipps-fuer-verbraucher\solarpaket-photovoltaik-balkonkraftwerke-2213726" TargetMode="External"/><Relationship Id="rId770" Type="http://schemas.openxmlformats.org/officeDocument/2006/relationships/hyperlink" Target="https://www.bmwk.de/Redaktion/DE/Downloads/E/240226-eckpunkte-negativemissionen.html" TargetMode="External"/><Relationship Id="rId1193" Type="http://schemas.openxmlformats.org/officeDocument/2006/relationships/hyperlink" Target="https://setis.ec.europa.eu/publications-and-documents/clean-energy-technology-observatory_en" TargetMode="External"/><Relationship Id="rId1207" Type="http://schemas.openxmlformats.org/officeDocument/2006/relationships/hyperlink" Target="https://www.umweltbundesamt.de/daten/klima/der-europaeische-emissionshandel" TargetMode="External"/><Relationship Id="rId1414" Type="http://schemas.openxmlformats.org/officeDocument/2006/relationships/hyperlink" Target="https://www.energy.gov/topics/hydrogen-shot" TargetMode="External"/><Relationship Id="rId1621" Type="http://schemas.openxmlformats.org/officeDocument/2006/relationships/hyperlink" Target="https://www.csp.fraunhofer.de/de/presse/pressemitteilungen/digitalisierte-produktionslinien-solarzellen-solarmodule-europa.html" TargetMode="External"/><Relationship Id="rId1859" Type="http://schemas.openxmlformats.org/officeDocument/2006/relationships/hyperlink" Target="https://geo.om/news-details-03.php" TargetMode="External"/><Relationship Id="rId216" Type="http://schemas.openxmlformats.org/officeDocument/2006/relationships/hyperlink" Target="https://www.g7germany.de/resource/blob/974430/2153140/353c0548bb27a75534468d624f738848/2022-12-12-g7-erklaerung-data.pdf?download=1" TargetMode="External"/><Relationship Id="rId423" Type="http://schemas.openxmlformats.org/officeDocument/2006/relationships/hyperlink" Target="https://www.automobil-industrie.vogel.de/vauxhall-luton-werk-schliessung-stellantis-ellesmere-port-a-f6773ea11d64f13f25236843d1d00918/" TargetMode="External"/><Relationship Id="rId868" Type="http://schemas.openxmlformats.org/officeDocument/2006/relationships/hyperlink" Target="https://climate.ec.europa.eu/eu-action/effort-sharing-member-states-emission-targets/effort-sharing-2021-2030-targets-and-flexibilities_de" TargetMode="External"/><Relationship Id="rId1053" Type="http://schemas.openxmlformats.org/officeDocument/2006/relationships/hyperlink" Target="https://competition-policy.ec.europa.eu/state-aid/temporary-crisis-and-transition-framework_en" TargetMode="External"/><Relationship Id="rId1260" Type="http://schemas.openxmlformats.org/officeDocument/2006/relationships/hyperlink" Target="https://eur-lex.europa.eu/legal-content/DE/TXT/PDF/?uri=CELEX:52023XC0515(01)" TargetMode="External"/><Relationship Id="rId1498" Type="http://schemas.openxmlformats.org/officeDocument/2006/relationships/hyperlink" Target="https://www.international-climate-initiative.com/iki-medien/artikel/china_startet_nationalen_emissionshandel/" TargetMode="External"/><Relationship Id="rId1719" Type="http://schemas.openxmlformats.org/officeDocument/2006/relationships/hyperlink" Target="https://single-market-economy.ec.europa.eu/single-market/public-procurement/international-public-procurement_en" TargetMode="External"/><Relationship Id="rId630" Type="http://schemas.openxmlformats.org/officeDocument/2006/relationships/hyperlink" Target="https://www.bmwk.de/Redaktion/DE/Wasserstoff/home.html" TargetMode="External"/><Relationship Id="rId728" Type="http://schemas.openxmlformats.org/officeDocument/2006/relationships/hyperlink" Target="https://www.bmwk.de/Redaktion/DE/Pressemitteilungen/2024/12/20241213-startschuss-fuer-die-chipfabrik-esmc-in-dresden.html" TargetMode="External"/><Relationship Id="rId935" Type="http://schemas.openxmlformats.org/officeDocument/2006/relationships/hyperlink" Target="https://ec.europa.eu/investeuportal/desktop/en/index.html" TargetMode="External"/><Relationship Id="rId1358" Type="http://schemas.openxmlformats.org/officeDocument/2006/relationships/hyperlink" Target="https://commission.europa.eu/topics/eu-competitiveness/draghi-report_en" TargetMode="External"/><Relationship Id="rId1565" Type="http://schemas.openxmlformats.org/officeDocument/2006/relationships/hyperlink" Target="https://suniva.com/us-solar-company-suniva-to-restart-idled-factory-thanks-to-biden-climate-law/" TargetMode="External"/><Relationship Id="rId1772" Type="http://schemas.openxmlformats.org/officeDocument/2006/relationships/hyperlink" Target="https://www.enpal.de" TargetMode="External"/><Relationship Id="rId64" Type="http://schemas.openxmlformats.org/officeDocument/2006/relationships/hyperlink" Target="https://www.umweltbundesamt.de/daten/klima/treibhausgas-emissionen-in-deutschland" TargetMode="External"/><Relationship Id="rId367" Type="http://schemas.openxmlformats.org/officeDocument/2006/relationships/hyperlink" Target="https://dip.bundestag.de/vorgang/gesetz-zur-sofortigen-verbesserung-der-rahmenbedingungen-f%C3%BCr-die-erneuerbaren-energien/292332" TargetMode="External"/><Relationship Id="rId574" Type="http://schemas.openxmlformats.org/officeDocument/2006/relationships/hyperlink" Target="https://www.netzentwicklungsplan.de/sites/default/files/2023-03/Studie_Stromverbrauchsmod_Dekarb_FfE.pdf" TargetMode="External"/><Relationship Id="rId1120" Type="http://schemas.openxmlformats.org/officeDocument/2006/relationships/hyperlink" Target="https://environment.ec.europa.eu/strategy/chemicals-strategy_en" TargetMode="External"/><Relationship Id="rId1218" Type="http://schemas.openxmlformats.org/officeDocument/2006/relationships/hyperlink" Target="https://ec.europa.eu/commission/presscorner/detail/en/ip_22_7796" TargetMode="External"/><Relationship Id="rId1425" Type="http://schemas.openxmlformats.org/officeDocument/2006/relationships/hyperlink" Target="https://machh2.com/" TargetMode="External"/><Relationship Id="rId227" Type="http://schemas.openxmlformats.org/officeDocument/2006/relationships/hyperlink" Target="https://www.g7italy.it/wp-content/uploads/G7-Climate-Energy-Environment-Ministerial-Communique_Final.pdf" TargetMode="External"/><Relationship Id="rId781" Type="http://schemas.openxmlformats.org/officeDocument/2006/relationships/hyperlink" Target="https://www.bdew.de/media/documents/2025_05_BDEW_Positionspapier_KWSG.pdf" TargetMode="External"/><Relationship Id="rId879" Type="http://schemas.openxmlformats.org/officeDocument/2006/relationships/hyperlink" Target="https://climate.ec.europa.eu/eu-action/effort-sharing-member-states-emission-targets/effort-sharing-2021-2030-targets-and-flexibilities_en" TargetMode="External"/><Relationship Id="rId1632" Type="http://schemas.openxmlformats.org/officeDocument/2006/relationships/hyperlink" Target="https://www.mdr.de/nachrichten/sachsen/chemnitz/freiberg/solar-meyer-burger-stopp-produktion-100.html" TargetMode="External"/><Relationship Id="rId434" Type="http://schemas.openxmlformats.org/officeDocument/2006/relationships/hyperlink" Target="https://www.spd.de/fileadmin/Dokumente/Koalitionsvertrag_2025.pdf" TargetMode="External"/><Relationship Id="rId641" Type="http://schemas.openxmlformats.org/officeDocument/2006/relationships/hyperlink" Target="https://fnb-gas.de/wp-content/uploads/2024/02/2022_09_23_DE_Ergaenzung-zum-SR-NEP-Gas-2022-2032.pdf%20" TargetMode="External"/><Relationship Id="rId739" Type="http://schemas.openxmlformats.org/officeDocument/2006/relationships/hyperlink" Target="https://www.cep.eu/fileadmin/user_upload/cep.eu/Studien/cepInput_Klimageld/cepInput_Das_Klimageld_als_Chance_fuer_einen_klimapolitischen_Neustart.pdf" TargetMode="External"/><Relationship Id="rId1064" Type="http://schemas.openxmlformats.org/officeDocument/2006/relationships/hyperlink" Target="https://eur-lex.europa.eu/legal-content/DE/TXT/PDF/?uri=CELEX:52022XC0218(03)" TargetMode="External"/><Relationship Id="rId1271" Type="http://schemas.openxmlformats.org/officeDocument/2006/relationships/hyperlink" Target="https://www.dehst.de/DE/Nationaler-Emissionshandel/Carbon-Leakage/carbon-leakage_node.html" TargetMode="External"/><Relationship Id="rId1369" Type="http://schemas.openxmlformats.org/officeDocument/2006/relationships/hyperlink" Target="https://dechema.de/Themen/Studien+und+Positionspapiere/2024+03+H2+Kompass/_/H2K_IND_Chemie.pdf" TargetMode="External"/><Relationship Id="rId1576" Type="http://schemas.openxmlformats.org/officeDocument/2006/relationships/hyperlink" Target="https://policy.trade.ec.europa.eu/eu-trade-relationships-country-and-region/countries-and-regions/china_en" TargetMode="External"/><Relationship Id="rId280" Type="http://schemas.openxmlformats.org/officeDocument/2006/relationships/hyperlink" Target="https://www.spiegel.de/wissenschaft/klimakrise-fossile-konzerne-investieren-hunderte-milliarden-dollar-in-neue-oel-und-gasfelder-a-004e721b-2536-4169-9abd-eda891bb6e57" TargetMode="External"/><Relationship Id="rId501" Type="http://schemas.openxmlformats.org/officeDocument/2006/relationships/hyperlink" Target="https://www.gesetze-im-internet.de/eeg_2014/BJNR106610014.html" TargetMode="External"/><Relationship Id="rId946" Type="http://schemas.openxmlformats.org/officeDocument/2006/relationships/hyperlink" Target="https://www.efre.nrw.de/fileadmin/EFRE_2021-2027/TJTP_Rheinisches_Revier_V3.pdf" TargetMode="External"/><Relationship Id="rId1131" Type="http://schemas.openxmlformats.org/officeDocument/2006/relationships/hyperlink" Target="https://ec.europa.eu/commission/presscorner/detail/en/ip_21_6682" TargetMode="External"/><Relationship Id="rId1229" Type="http://schemas.openxmlformats.org/officeDocument/2006/relationships/hyperlink" Target="https://eur-lex.europa.eu/legal-content/DE/TXT/PDF/?uri=CELEX:32015D1814" TargetMode="External"/><Relationship Id="rId1783" Type="http://schemas.openxmlformats.org/officeDocument/2006/relationships/hyperlink" Target="https://projects.research-and-innovation.ec.europa.eu/sites/default/files/bmr-2022/ec_rtd_bmr-2022-clean-steel-partnership-fiche.pdf" TargetMode="External"/><Relationship Id="rId75" Type="http://schemas.openxmlformats.org/officeDocument/2006/relationships/hyperlink" Target="https://www.onyx-power.com/de/aktuelles/kraftwerk-zolling-stellt-kommerziellen-betrieb-ein/" TargetMode="External"/><Relationship Id="rId140" Type="http://schemas.openxmlformats.org/officeDocument/2006/relationships/hyperlink" Target="https://climatechampions.unfccc.int/" TargetMode="External"/><Relationship Id="rId378" Type="http://schemas.openxmlformats.org/officeDocument/2006/relationships/hyperlink" Target="https://www.alpha-ventus.de" TargetMode="External"/><Relationship Id="rId585" Type="http://schemas.openxmlformats.org/officeDocument/2006/relationships/hyperlink" Target="https://www.wirtschaft.nrw/themen/energie/erneuerbare-energien/task-force-ausbaubeschleunigung-windenergie-nrw" TargetMode="External"/><Relationship Id="rId792" Type="http://schemas.openxmlformats.org/officeDocument/2006/relationships/hyperlink" Target="https://www.klimaschutzvertraege.info/news/habeck_ueberreicht_klimaschutzvertraege" TargetMode="External"/><Relationship Id="rId806" Type="http://schemas.openxmlformats.org/officeDocument/2006/relationships/hyperlink" Target="https://www.bmwk.de/Redaktion/DE/Pressemitteilungen/2024/07/20240729-vorverfahren-fuer-zweite-gebotsrunde-fuer-klimaschutzvertraege.html" TargetMode="External"/><Relationship Id="rId1436" Type="http://schemas.openxmlformats.org/officeDocument/2006/relationships/hyperlink" Target="https://www.energy.gov/eere/fuelcells/bipartisan-infrastructure-law-clean-hydrogen-electrolysis-manufacturing-and-0" TargetMode="External"/><Relationship Id="rId1643" Type="http://schemas.openxmlformats.org/officeDocument/2006/relationships/hyperlink" Target="https://www.wto.org/english/docs_e/legal_e/adp_e.htm" TargetMode="External"/><Relationship Id="rId1850" Type="http://schemas.openxmlformats.org/officeDocument/2006/relationships/hyperlink" Target="https://www.wienerberger.de/informationen/wand/klimaneutrale_ziegel.html" TargetMode="External"/><Relationship Id="rId6" Type="http://schemas.openxmlformats.org/officeDocument/2006/relationships/hyperlink" Target="https://www.umweltbundesamt.de/themen/klima-energie/klimaschutz-energiepolitik-in-deutschland/treibhausgas-emissionen/die-treibhausgase" TargetMode="External"/><Relationship Id="rId238" Type="http://schemas.openxmlformats.org/officeDocument/2006/relationships/hyperlink" Target="https://www.g7germany.de/g7-en" TargetMode="External"/><Relationship Id="rId445" Type="http://schemas.openxmlformats.org/officeDocument/2006/relationships/hyperlink" Target="https://www-statista-com.translate.goog/statistics/1488741/eu-annual-gasoline-consumption-in-road-sector/?%20q" TargetMode="External"/><Relationship Id="rId652" Type="http://schemas.openxmlformats.org/officeDocument/2006/relationships/hyperlink" Target="https://www.eca.europa.eu/de/publications/SR-2024-11" TargetMode="External"/><Relationship Id="rId1075" Type="http://schemas.openxmlformats.org/officeDocument/2006/relationships/hyperlink" Target="https://eur-lex.europa.eu/legal-content/DE/TXT/PDF/?uri=CELEX:52022XC0218(03)" TargetMode="External"/><Relationship Id="rId1282" Type="http://schemas.openxmlformats.org/officeDocument/2006/relationships/hyperlink" Target="https://eur-lex.europa.eu/legal-content/DE/TXT/PDF/?uri=CELEX:02003L0087-20230605" TargetMode="External"/><Relationship Id="rId1503" Type="http://schemas.openxmlformats.org/officeDocument/2006/relationships/hyperlink" Target="https://www.klimareporter.de/europaeische-union/in-der-klimaaussenpolitik-mit-dem-groessten-co2-emittenten-schwaecht-sich-die-eu-selbst" TargetMode="External"/><Relationship Id="rId1710" Type="http://schemas.openxmlformats.org/officeDocument/2006/relationships/hyperlink" Target="https://oecdgroups.oecd.org/Bodies/ShowBodyView.aspx?BodyID=7780&amp;BodyPID=15186&amp;Lang=en&amp;Book=False" TargetMode="External"/><Relationship Id="rId291" Type="http://schemas.openxmlformats.org/officeDocument/2006/relationships/hyperlink" Target="https://www.bmel.de/SharedDocs/Downloads/DE/_Landwirtschaft/Klimaschutz/Klimaschutzprogramm2030.html" TargetMode="External"/><Relationship Id="rId305" Type="http://schemas.openxmlformats.org/officeDocument/2006/relationships/hyperlink" Target="https://www.bundesfinanzministerium.de/Content/DE/Downloads/Klimaschutz/klimaschutzprogramm-2030-der-bundesregierung-zur-umsetzung-des-klimaschutzplans-2050.pdf?__blob=publicationFile&amp;v=4" TargetMode="External"/><Relationship Id="rId512" Type="http://schemas.openxmlformats.org/officeDocument/2006/relationships/hyperlink" Target="https://de.wikipedia.org/wiki/Erneuerbare-Energien-Gesetz" TargetMode="External"/><Relationship Id="rId957" Type="http://schemas.openxmlformats.org/officeDocument/2006/relationships/hyperlink" Target="https://www.unepfi.org/net-zero-alliance/about/" TargetMode="External"/><Relationship Id="rId1142" Type="http://schemas.openxmlformats.org/officeDocument/2006/relationships/hyperlink" Target="https://eippcb.jrc.ec.europa.eu/reference" TargetMode="External"/><Relationship Id="rId1587" Type="http://schemas.openxmlformats.org/officeDocument/2006/relationships/hyperlink" Target="https://eur-lex.europa.eu/legal-content/EN/TXT/PDF/?uri=CELEX:32020R1081&amp;from=EN" TargetMode="External"/><Relationship Id="rId1794" Type="http://schemas.openxmlformats.org/officeDocument/2006/relationships/hyperlink" Target="https://de.wikipedia.org/wiki/Liste_europ%C3%A4ischer_Hochofenwerke" TargetMode="External"/><Relationship Id="rId1808" Type="http://schemas.openxmlformats.org/officeDocument/2006/relationships/hyperlink" Target="https://www.vci.de/ergaenzende-downloads/chemiemaerkte-weltweit.pdf" TargetMode="External"/><Relationship Id="rId86" Type="http://schemas.openxmlformats.org/officeDocument/2006/relationships/hyperlink" Target="https://de.wikipedia.org/wiki/Konferenz_der_Vereinten_Nationen_%C3%BCber_Umwelt_und_Entwicklung" TargetMode="External"/><Relationship Id="rId151" Type="http://schemas.openxmlformats.org/officeDocument/2006/relationships/hyperlink" Target="https://www.faz.net/redaktion/lukas-fuhr-18155570.html?offset=1" TargetMode="External"/><Relationship Id="rId389" Type="http://schemas.openxmlformats.org/officeDocument/2006/relationships/hyperlink" Target="https://www.bundeswirtschaftsministerium.de/Redaktion/DE/Pressemitteilungen/2024/06/20240607-60-gigawatt-offshore-windenergie-bis-2037.html" TargetMode="External"/><Relationship Id="rId596" Type="http://schemas.openxmlformats.org/officeDocument/2006/relationships/hyperlink" Target="https://www.bundesrechnungshof.de/SharedDocs/Kurzmeldungen/DE/2024/energiewende/kurzmeldung.html" TargetMode="External"/><Relationship Id="rId817" Type="http://schemas.openxmlformats.org/officeDocument/2006/relationships/hyperlink" Target="https://www.agora-industrie.de/daten-tools/transformationskostenrechner-stahl" TargetMode="External"/><Relationship Id="rId1002" Type="http://schemas.openxmlformats.org/officeDocument/2006/relationships/hyperlink" Target="https://ec.europa.eu/commission/presscorner/detail/en/SPEECH_22_4549" TargetMode="External"/><Relationship Id="rId1447" Type="http://schemas.openxmlformats.org/officeDocument/2006/relationships/hyperlink" Target="https://www.huffpost.com/entry/tva-nuclear-power-debt-ceiling_n_66352e7de4b00b1eab534aca" TargetMode="External"/><Relationship Id="rId1654" Type="http://schemas.openxmlformats.org/officeDocument/2006/relationships/hyperlink" Target="https://de.wikipedia.org/wiki/Vestas_Wind_Systems" TargetMode="External"/><Relationship Id="rId249" Type="http://schemas.openxmlformats.org/officeDocument/2006/relationships/hyperlink" Target="https://www.climatechangenews.com/2024/11/20/india-donor-countries-give-up-jetp-german-us-finance/" TargetMode="External"/><Relationship Id="rId456" Type="http://schemas.openxmlformats.org/officeDocument/2006/relationships/hyperlink" Target="https://windrose.tech/about-us/" TargetMode="External"/><Relationship Id="rId663" Type="http://schemas.openxmlformats.org/officeDocument/2006/relationships/hyperlink" Target="https://langfristszenarien.de/enertile-explorer-wAssets/docs/LFS3-Langbericht-Energieangebot-final.pdf" TargetMode="External"/><Relationship Id="rId870" Type="http://schemas.openxmlformats.org/officeDocument/2006/relationships/hyperlink" Target="https://www.europarl.europa.eu/RegData/etudes/BRIE/2021/698812/EPRS_BRI(2021)698812_EN.pdf" TargetMode="External"/><Relationship Id="rId1086" Type="http://schemas.openxmlformats.org/officeDocument/2006/relationships/hyperlink" Target="https://grande-region-hydrogen.eu/" TargetMode="External"/><Relationship Id="rId1293" Type="http://schemas.openxmlformats.org/officeDocument/2006/relationships/hyperlink" Target="https://www.europarl.europa.eu/RegData/etudes/BRIE/2021/698812/EPRS_BRI(2021)698812_EN.pdf" TargetMode="External"/><Relationship Id="rId1307" Type="http://schemas.openxmlformats.org/officeDocument/2006/relationships/hyperlink" Target="https://ec.europa.eu/commission/presscorner/detail/en/ip_22_6495" TargetMode="External"/><Relationship Id="rId1514" Type="http://schemas.openxmlformats.org/officeDocument/2006/relationships/hyperlink" Target="https://en.wikipedia.org/wiki/Uranium" TargetMode="External"/><Relationship Id="rId1721" Type="http://schemas.openxmlformats.org/officeDocument/2006/relationships/hyperlink" Target="https://eur-lex.europa.eu/legal-content/EN/TXT/?uri=CELEX:32024R1781" TargetMode="External"/><Relationship Id="rId13" Type="http://schemas.openxmlformats.org/officeDocument/2006/relationships/hyperlink" Target="https://www.tvt.kit.edu/21_3547.php" TargetMode="External"/><Relationship Id="rId109" Type="http://schemas.openxmlformats.org/officeDocument/2006/relationships/hyperlink" Target="https://unfccc.int/sites/default/files/resource/cma2022_04.pdf" TargetMode="External"/><Relationship Id="rId316" Type="http://schemas.openxmlformats.org/officeDocument/2006/relationships/hyperlink" Target="https://www.agora-verkehrswende.de/veroeffentlichungen/verkehrswende-als-mehrwert/" TargetMode="External"/><Relationship Id="rId523" Type="http://schemas.openxmlformats.org/officeDocument/2006/relationships/hyperlink" Target="https://www.monopolkommission.de/images/PDF/SG/7sg_energie_volltext.pdf" TargetMode="External"/><Relationship Id="rId968" Type="http://schemas.openxmlformats.org/officeDocument/2006/relationships/hyperlink" Target="https://eur-lex.europa.eu/legal-content/DE/TXT/PDF/?uri=CELEX:32021R1119&amp;from=FR" TargetMode="External"/><Relationship Id="rId1153" Type="http://schemas.openxmlformats.org/officeDocument/2006/relationships/hyperlink" Target="https://eur-lex.europa.eu/legal-content/EN/TXT/?uri=celex%3A32023R0435" TargetMode="External"/><Relationship Id="rId1598" Type="http://schemas.openxmlformats.org/officeDocument/2006/relationships/hyperlink" Target="https://eur-lex.europa.eu/legal-content/EN/TXT/?uri=OJ:L_202401735" TargetMode="External"/><Relationship Id="rId1819" Type="http://schemas.openxmlformats.org/officeDocument/2006/relationships/hyperlink" Target="https://www.vci.de/ergaenzende-downloads/chemiemaerkte-weltweit.pdf" TargetMode="External"/><Relationship Id="rId97" Type="http://schemas.openxmlformats.org/officeDocument/2006/relationships/hyperlink" Target="https://eur-lex.europa.eu/legal-content/DE/TXT/PDF/?uri=CELEX:22016A1019(01)" TargetMode="External"/><Relationship Id="rId730" Type="http://schemas.openxmlformats.org/officeDocument/2006/relationships/hyperlink" Target="https://www.klimaschutz.de/de/ueber-die-initiative" TargetMode="External"/><Relationship Id="rId828" Type="http://schemas.openxmlformats.org/officeDocument/2006/relationships/hyperlink" Target="https://www.umweltbundesamt.de/presse/pressemitteilungen/neue-rekordeinnahmen-im-emissionshandel-ueber-18" TargetMode="External"/><Relationship Id="rId1013" Type="http://schemas.openxmlformats.org/officeDocument/2006/relationships/hyperlink" Target="https://www.bmwk.de/Redaktion/DE/Pressemitteilungen/2024/07/20240715-ipcei-wasserstoff-projekte.html" TargetMode="External"/><Relationship Id="rId1360" Type="http://schemas.openxmlformats.org/officeDocument/2006/relationships/hyperlink" Target="https://www.eib.org/de/index" TargetMode="External"/><Relationship Id="rId1458" Type="http://schemas.openxmlformats.org/officeDocument/2006/relationships/hyperlink" Target="https://www.viking-link.com/" TargetMode="External"/><Relationship Id="rId1665" Type="http://schemas.openxmlformats.org/officeDocument/2006/relationships/hyperlink" Target="https://www.faz.net/aktuell/wirtschaft/eu-leitete-verfahren-ein-19644364.html" TargetMode="External"/><Relationship Id="rId162" Type="http://schemas.openxmlformats.org/officeDocument/2006/relationships/hyperlink" Target="https://www.theguardian.com/environment/2023/jan/18/revealed-forest-carbon-offsets-biggest-provider-worthless-verra-aoe" TargetMode="External"/><Relationship Id="rId467" Type="http://schemas.openxmlformats.org/officeDocument/2006/relationships/hyperlink" Target="https://www.bundesanzeiger.de/pub/publication/pBGETer9tMfhgyQW8zK/content/pBGETer9tMfhgyQW8zK/BAnz%20AT%2001.09.2022%20B1.pdf?inline" TargetMode="External"/><Relationship Id="rId1097" Type="http://schemas.openxmlformats.org/officeDocument/2006/relationships/hyperlink" Target="https://hypower-mitteldeutschland.com/projekte/greenoctopus/" TargetMode="External"/><Relationship Id="rId1220" Type="http://schemas.openxmlformats.org/officeDocument/2006/relationships/hyperlink" Target="https://www.umweltbundesamt.de/presse/pressemitteilungen/europaeischer-emissionshandel-rekordrueckgang-der" TargetMode="External"/><Relationship Id="rId1318" Type="http://schemas.openxmlformats.org/officeDocument/2006/relationships/hyperlink" Target="https://www.wvstahl.de/wp-content/uploads/20250429_Statistisches-Jahresbuch_final.pdf" TargetMode="External"/><Relationship Id="rId1525" Type="http://schemas.openxmlformats.org/officeDocument/2006/relationships/hyperlink" Target="https://www.wirtschaftsdienst.eu/inhalt/jahr/2013/heft/8/beitrag/solarstreit-kompromiss-eu-und-china.html" TargetMode="External"/><Relationship Id="rId674" Type="http://schemas.openxmlformats.org/officeDocument/2006/relationships/hyperlink" Target="https://www.sefe.eu/" TargetMode="External"/><Relationship Id="rId881" Type="http://schemas.openxmlformats.org/officeDocument/2006/relationships/hyperlink" Target="https://www.europarl.europa.eu/thinktank/en/document/EPRS_BRI(2021)698812" TargetMode="External"/><Relationship Id="rId979" Type="http://schemas.openxmlformats.org/officeDocument/2006/relationships/hyperlink" Target="https://ec.europa.eu/commission/presscorner/detail/en/ip_22_2013" TargetMode="External"/><Relationship Id="rId1732" Type="http://schemas.openxmlformats.org/officeDocument/2006/relationships/hyperlink" Target="https://deneff.org/wp-content/uploads/2023/04/HSNR-Kurzstudie-EnEffPotentiale-Industrie-2023-03-31.pdf%20" TargetMode="External"/><Relationship Id="rId24" Type="http://schemas.openxmlformats.org/officeDocument/2006/relationships/hyperlink" Target="https://www.tagesschau.de/ausland/amerika/china-klima-treibhausgase-100.html" TargetMode="External"/><Relationship Id="rId327" Type="http://schemas.openxmlformats.org/officeDocument/2006/relationships/hyperlink" Target="https://www.germanwatch.org/de/93093" TargetMode="External"/><Relationship Id="rId534" Type="http://schemas.openxmlformats.org/officeDocument/2006/relationships/hyperlink" Target="https://www.klimaneutrales-stromsystem.de/downloads.html" TargetMode="External"/><Relationship Id="rId741" Type="http://schemas.openxmlformats.org/officeDocument/2006/relationships/hyperlink" Target="https://ec.europa.eu/commission/presscorner/detail/en/ip_22_7796" TargetMode="External"/><Relationship Id="rId839" Type="http://schemas.openxmlformats.org/officeDocument/2006/relationships/hyperlink" Target="https://ec.europa.eu/commission/presscorner/detail/en/ip_25_339" TargetMode="External"/><Relationship Id="rId1164" Type="http://schemas.openxmlformats.org/officeDocument/2006/relationships/hyperlink" Target="https://eur-lex.europa.eu/legal-content/EN/TXT/?uri=uriserv:OJ.L_.2018.328.01.0082.01.ENG" TargetMode="External"/><Relationship Id="rId1371" Type="http://schemas.openxmlformats.org/officeDocument/2006/relationships/hyperlink" Target="https://commission.europa.eu/topics/eu-competitiveness/draghi-report_en" TargetMode="External"/><Relationship Id="rId1469" Type="http://schemas.openxmlformats.org/officeDocument/2006/relationships/hyperlink" Target="https://www.alterra.ae/" TargetMode="External"/><Relationship Id="rId173" Type="http://schemas.openxmlformats.org/officeDocument/2006/relationships/hyperlink" Target="https://icvcm.org/" TargetMode="External"/><Relationship Id="rId380" Type="http://schemas.openxmlformats.org/officeDocument/2006/relationships/hyperlink" Target="https://de.wikipedia.org/wiki/Offshore-Windpark_alpha_ventus" TargetMode="External"/><Relationship Id="rId601" Type="http://schemas.openxmlformats.org/officeDocument/2006/relationships/hyperlink" Target="https://www.bundesnetzagentur.de/DE/Beschlusskammern/BK04/BK4_71_NetzE/BK4_71_Ind_NetzE_Strom/BK4_Ind_NetzEntg_Strom.html" TargetMode="External"/><Relationship Id="rId1024" Type="http://schemas.openxmlformats.org/officeDocument/2006/relationships/hyperlink" Target="https://www.eca.europa.eu/de/publications/SR-2024-11" TargetMode="External"/><Relationship Id="rId1231" Type="http://schemas.openxmlformats.org/officeDocument/2006/relationships/hyperlink" Target="https://climate.ec.europa.eu/eu-action/eu-emissions-trading-system-eu-ets/market-stability-reserve_de?prefLang=de" TargetMode="External"/><Relationship Id="rId1676" Type="http://schemas.openxmlformats.org/officeDocument/2006/relationships/hyperlink" Target="https://en.wikipedia.org/wiki/Enercon" TargetMode="External"/><Relationship Id="rId240" Type="http://schemas.openxmlformats.org/officeDocument/2006/relationships/hyperlink" Target="https://www.eeas.europa.eu/delegations/south-africa/south-africa%E2%80%99s-just-energy-transition-progressing-says-international-partners-group-ahead-cop28_en" TargetMode="External"/><Relationship Id="rId478" Type="http://schemas.openxmlformats.org/officeDocument/2006/relationships/hyperlink" Target="https://www.bundesanzeiger.de/pub/publication/dphpaDtrbve3zAhLMUF/content/dphpaDtrbve3zAhLMUF/BAnz%20AT%2026.03.2024%20B2.pdf?inline" TargetMode="External"/><Relationship Id="rId685" Type="http://schemas.openxmlformats.org/officeDocument/2006/relationships/hyperlink" Target="https://gen2energy.com/" TargetMode="External"/><Relationship Id="rId892" Type="http://schemas.openxmlformats.org/officeDocument/2006/relationships/hyperlink" Target="https://energy.ec.europa.eu/topics/energy-strategy/energy-union/eighth-report-state-energy-union_en?prefLang=de" TargetMode="External"/><Relationship Id="rId906" Type="http://schemas.openxmlformats.org/officeDocument/2006/relationships/hyperlink" Target="https://www.consilium.europa.eu/de/council-eu/voting-system/simple-majority/" TargetMode="External"/><Relationship Id="rId1329" Type="http://schemas.openxmlformats.org/officeDocument/2006/relationships/hyperlink" Target="https://www.ey.com/de_de/decarbonization/eu-ets-wie-stark-steigen-die-co-preise-bis-2030" TargetMode="External"/><Relationship Id="rId1536" Type="http://schemas.openxmlformats.org/officeDocument/2006/relationships/hyperlink" Target="http://www.prosunglass.org/" TargetMode="External"/><Relationship Id="rId1743" Type="http://schemas.openxmlformats.org/officeDocument/2006/relationships/hyperlink" Target="https://en.wikipedia.org/wiki/Prysmian_Group" TargetMode="External"/><Relationship Id="rId35" Type="http://schemas.openxmlformats.org/officeDocument/2006/relationships/hyperlink" Target="https://www.youtube.com/watch?v=94Vsee3WYqE&amp;t=432s" TargetMode="External"/><Relationship Id="rId100" Type="http://schemas.openxmlformats.org/officeDocument/2006/relationships/hyperlink" Target="https://unfccc.int/sites/default/files/resource/cma4_auv_2_cover_decision.pdf" TargetMode="External"/><Relationship Id="rId338" Type="http://schemas.openxmlformats.org/officeDocument/2006/relationships/hyperlink" Target="https://www.ipr.uni-heidelberg.de/md/jura/ipr/personen/weller/weller_klimatransformation_gesr_djt_empfehlungen_njw_2024.pdf" TargetMode="External"/><Relationship Id="rId545" Type="http://schemas.openxmlformats.org/officeDocument/2006/relationships/hyperlink" Target="https://www.gesetze-im-internet.de/eeg_2014/BJNR106610014.html" TargetMode="External"/><Relationship Id="rId752" Type="http://schemas.openxmlformats.org/officeDocument/2006/relationships/hyperlink" Target="https://biokraftstoffverband.de/gefaelschte-zertifikate-zur-emissionsminderung-biokraftstoffindustrie-fordert-verschaerfung-der-zertifizierung-und-kontrollen/" TargetMode="External"/><Relationship Id="rId1175" Type="http://schemas.openxmlformats.org/officeDocument/2006/relationships/hyperlink" Target="https://solaralliance.eu/" TargetMode="External"/><Relationship Id="rId1382" Type="http://schemas.openxmlformats.org/officeDocument/2006/relationships/hyperlink" Target="https://eur-lex.europa.eu/legal-content/DE/TXT/PDF/?uri=CELEX:52025DC0079" TargetMode="External"/><Relationship Id="rId1603" Type="http://schemas.openxmlformats.org/officeDocument/2006/relationships/hyperlink" Target="https://eur-lex.europa.eu/legal-content/DE/TXT/PDF/?uri=OJ:L_202401735" TargetMode="External"/><Relationship Id="rId1810" Type="http://schemas.openxmlformats.org/officeDocument/2006/relationships/hyperlink" Target="https://www.ewi.uni-koeln.de/de/publikationen/h2-reality-check-reappraising-the-eus-h2-strategy-in-a-new-era-of-geopolitical-disruptions/" TargetMode="External"/><Relationship Id="rId184" Type="http://schemas.openxmlformats.org/officeDocument/2006/relationships/hyperlink" Target="https://www.spd.de/fileadmin/Dokumente/Koalitionsvertrag_2025.pdf" TargetMode="External"/><Relationship Id="rId391" Type="http://schemas.openxmlformats.org/officeDocument/2006/relationships/hyperlink" Target="https://www.gesetze-im-internet.de/ensig_1975/index.html" TargetMode="External"/><Relationship Id="rId405" Type="http://schemas.openxmlformats.org/officeDocument/2006/relationships/hyperlink" Target="https://www.wind-energie.de/presse/pressemitteilungen/detail/ausbau-der-offshore-windenergie-jetzt-lieferketten-und-haefen-staerken/" TargetMode="External"/><Relationship Id="rId612" Type="http://schemas.openxmlformats.org/officeDocument/2006/relationships/hyperlink" Target="https://www.next-kraftwerke.de/wissen/netzfrequenz" TargetMode="External"/><Relationship Id="rId1035" Type="http://schemas.openxmlformats.org/officeDocument/2006/relationships/hyperlink" Target="https://competition-policy.ec.europa.eu/state-aid/ipcei_en" TargetMode="External"/><Relationship Id="rId1242" Type="http://schemas.openxmlformats.org/officeDocument/2006/relationships/hyperlink" Target="https://www.youtube.com/watch?v=YJTi-wseMUc" TargetMode="External"/><Relationship Id="rId1687" Type="http://schemas.openxmlformats.org/officeDocument/2006/relationships/hyperlink" Target="https://www.basf.com/global/de/who-we-are/organization/locations/europe/german-sites/Schwarzheide/our-motivation/sustainability/chEErs" TargetMode="External"/><Relationship Id="rId251" Type="http://schemas.openxmlformats.org/officeDocument/2006/relationships/hyperlink" Target="https://www.eeas.europa.eu/eeas/china-%E2%80%93-co2-neutralit%C3%A4t-im-jahr-2060-ein-m%C3%B6glicher-wendepunkt-f%C3%BCr-das-klima_de" TargetMode="External"/><Relationship Id="rId489" Type="http://schemas.openxmlformats.org/officeDocument/2006/relationships/hyperlink" Target="https://www.faire-energiewende.de/unsere-forderungen/" TargetMode="External"/><Relationship Id="rId696" Type="http://schemas.openxmlformats.org/officeDocument/2006/relationships/hyperlink" Target="https://hypat.de/hypat/" TargetMode="External"/><Relationship Id="rId917" Type="http://schemas.openxmlformats.org/officeDocument/2006/relationships/hyperlink" Target="https://commission.europa.eu/law/application-eu-law/implementing-eu-law/infringement-procedure/2022-annual-report-monitoring-application-eu-law_en" TargetMode="External"/><Relationship Id="rId1102" Type="http://schemas.openxmlformats.org/officeDocument/2006/relationships/hyperlink" Target="https://eur-lex.europa.eu/legal-content/DE/ALL/?uri=PI_COM:C(2023)7930" TargetMode="External"/><Relationship Id="rId1547" Type="http://schemas.openxmlformats.org/officeDocument/2006/relationships/hyperlink" Target="https://de.wikipedia.org/wiki/First_Solar" TargetMode="External"/><Relationship Id="rId1754" Type="http://schemas.openxmlformats.org/officeDocument/2006/relationships/hyperlink" Target="https://www.bundeshaushalt.de/DE/Bundeshaushalt-digital/bundeshaushalt-digital.html" TargetMode="External"/><Relationship Id="rId46" Type="http://schemas.openxmlformats.org/officeDocument/2006/relationships/hyperlink" Target="https://essd.copernicus.org/articles/16/2625/2024/" TargetMode="External"/><Relationship Id="rId349" Type="http://schemas.openxmlformats.org/officeDocument/2006/relationships/hyperlink" Target="https://www.bmwk.de/Redaktion/DE/Dossier/ses.html" TargetMode="External"/><Relationship Id="rId556" Type="http://schemas.openxmlformats.org/officeDocument/2006/relationships/hyperlink" Target="https://www.energy4climate.nrw/aktuelles/newsroom/energiewende-wie-buergerinnen-und-kommunen-vom-lokalen-ausbau-erneuerbarer-energien-profitieren-koennen" TargetMode="External"/><Relationship Id="rId763" Type="http://schemas.openxmlformats.org/officeDocument/2006/relationships/hyperlink" Target="https://www.bundestag.de/presse/hib/kurzmeldungen-1009674" TargetMode="External"/><Relationship Id="rId1186" Type="http://schemas.openxmlformats.org/officeDocument/2006/relationships/hyperlink" Target="https://single-market-economy.ec.europa.eu/system/files/2023-06/SWD_2023_219_F1_STAFF_WORKING_PAPER_EN_V9_P1_2785109.PDF" TargetMode="External"/><Relationship Id="rId1393" Type="http://schemas.openxmlformats.org/officeDocument/2006/relationships/hyperlink" Target="https://de.wikipedia.org/wiki/Liste_der_Offshore-Windparks" TargetMode="External"/><Relationship Id="rId1407" Type="http://schemas.openxmlformats.org/officeDocument/2006/relationships/hyperlink" Target="https://www.irs.gov/inflation-reduction-act-of-2022" TargetMode="External"/><Relationship Id="rId1614" Type="http://schemas.openxmlformats.org/officeDocument/2006/relationships/hyperlink" Target="https://carbon-solar.com/en/carbonnews/carbonnews-carbonnews/the-ministry-of-the-economy-reaffirms-its-support-for-a-sustainable-industry/" TargetMode="External"/><Relationship Id="rId1821" Type="http://schemas.openxmlformats.org/officeDocument/2006/relationships/hyperlink" Target="https://eur-lex.europa.eu/legal-content/DE/TXT/PDF/?uri=OJ:L_202302413" TargetMode="External"/><Relationship Id="rId111" Type="http://schemas.openxmlformats.org/officeDocument/2006/relationships/hyperlink" Target="https://energy.ec.europa.eu/publications/state-energy-union-report-2024-country-fiches_en" TargetMode="External"/><Relationship Id="rId195" Type="http://schemas.openxmlformats.org/officeDocument/2006/relationships/hyperlink" Target="https://akercarboncapture.com/?cision_id=1B168AAF40F6CC7F" TargetMode="External"/><Relationship Id="rId209" Type="http://schemas.openxmlformats.org/officeDocument/2006/relationships/hyperlink" Target="https://climate.ec.europa.eu/eu-action/eu-emissions-trading-system-eu-ets/scope-eu-emissions-trading-system_en?prefLang=de" TargetMode="External"/><Relationship Id="rId416" Type="http://schemas.openxmlformats.org/officeDocument/2006/relationships/hyperlink" Target="https://eur-lex.europa.eu/legal-content/EN/TXT/?uri=celex:32023R0851" TargetMode="External"/><Relationship Id="rId970" Type="http://schemas.openxmlformats.org/officeDocument/2006/relationships/hyperlink" Target="https://eur-lex.europa.eu/legal-content/DE/ALL/?uri=CELEX:52021DC0350" TargetMode="External"/><Relationship Id="rId1046" Type="http://schemas.openxmlformats.org/officeDocument/2006/relationships/hyperlink" Target="https://stiftung-umweltenergierecht.de/wp-content/uploads/2022/04/Stiftung_Umweltenergierecht_WueBerichte_54_Energiekrise-und-Beihilfenrecht.pdf" TargetMode="External"/><Relationship Id="rId1253" Type="http://schemas.openxmlformats.org/officeDocument/2006/relationships/hyperlink" Target="https://www.umweltbundesamt.de/daten/klima/der-europaeische-emissionshandel" TargetMode="External"/><Relationship Id="rId1698" Type="http://schemas.openxmlformats.org/officeDocument/2006/relationships/hyperlink" Target="https://www.automobil-produktion.de/produktion/batteriestrategien-chinesischer-player-in-europa-104.html" TargetMode="External"/><Relationship Id="rId623" Type="http://schemas.openxmlformats.org/officeDocument/2006/relationships/hyperlink" Target="https://www.youtube.com/watch?v=2isal2dq1kM&amp;t=1s" TargetMode="External"/><Relationship Id="rId830" Type="http://schemas.openxmlformats.org/officeDocument/2006/relationships/hyperlink" Target="https://www.bmuv.de/themen/klimaanpassung/das-klimaanpassungsgesetz-kang" TargetMode="External"/><Relationship Id="rId928" Type="http://schemas.openxmlformats.org/officeDocument/2006/relationships/hyperlink" Target="https://www.bmwk.de/Redaktion/DE/Artikel/Energie/monitoring-prozess.html" TargetMode="External"/><Relationship Id="rId1460" Type="http://schemas.openxmlformats.org/officeDocument/2006/relationships/hyperlink" Target="https://www.br.de/nachrichten/deutschland-welt/alle-mit-waermepumpe-so-heizen-unsere-nachbarlaender,TjJBBua" TargetMode="External"/><Relationship Id="rId1558" Type="http://schemas.openxmlformats.org/officeDocument/2006/relationships/hyperlink" Target="https://www.projectfinance.law/publications/2022/august/solar-tariff-moratorium-and-customs-detentions/" TargetMode="External"/><Relationship Id="rId1765" Type="http://schemas.openxmlformats.org/officeDocument/2006/relationships/hyperlink" Target="https://www.bpb.de/kurz-knapp/zahlen-und-fakten/soziale-situation-in-deutschland/61772/einkommensteueranteile/" TargetMode="External"/><Relationship Id="rId57" Type="http://schemas.openxmlformats.org/officeDocument/2006/relationships/hyperlink" Target="https://de.wikipedia.org/wiki/Erneuerbare_Energien_in_China" TargetMode="External"/><Relationship Id="rId262" Type="http://schemas.openxmlformats.org/officeDocument/2006/relationships/hyperlink" Target="https://www.bmz.de/de/aktuelles/deutsche-g7-praesidentschaft-just-energy-transition-partnerships-114320" TargetMode="External"/><Relationship Id="rId567" Type="http://schemas.openxmlformats.org/officeDocument/2006/relationships/hyperlink" Target="https://de.wikipedia.org/wiki/%C3%9Cbertragungsnetzbetreiber" TargetMode="External"/><Relationship Id="rId1113" Type="http://schemas.openxmlformats.org/officeDocument/2006/relationships/hyperlink" Target="https://ec.europa.eu/info/law/better-regulation/have-your-say/initiatives/12265-Klimazielplan-2030_de" TargetMode="External"/><Relationship Id="rId1197" Type="http://schemas.openxmlformats.org/officeDocument/2006/relationships/hyperlink" Target="https://www.energy.gov/sites/default/files/2022-02/Solar%20Energy%20Supply%20Chain%20Report%20-%20Final.pdf" TargetMode="External"/><Relationship Id="rId1320" Type="http://schemas.openxmlformats.org/officeDocument/2006/relationships/hyperlink" Target="https://www.bmwk.de/Redaktion/DE/Publikationen/Wirtschaft/handlungskonzept-stahl.html" TargetMode="External"/><Relationship Id="rId1418" Type="http://schemas.openxmlformats.org/officeDocument/2006/relationships/hyperlink" Target="https://hystorenergy.com/mississippi/" TargetMode="External"/><Relationship Id="rId122" Type="http://schemas.openxmlformats.org/officeDocument/2006/relationships/hyperlink" Target="https://unfccc.int/cop28/outcomes" TargetMode="External"/><Relationship Id="rId774" Type="http://schemas.openxmlformats.org/officeDocument/2006/relationships/hyperlink" Target="https://www.bbh-blog.de/alle-themen/emissionshandel/kraftwerksstrategie-bundesregierung-veroeffentlicht-neue-eckpunkte/" TargetMode="External"/><Relationship Id="rId981" Type="http://schemas.openxmlformats.org/officeDocument/2006/relationships/hyperlink" Target="https://commission.europa.eu/energy-climate-change-environment/standards-tools-and-labels/products-labelling-rules-and-requirements/ecodesign-sustainable-products-regulation_en" TargetMode="External"/><Relationship Id="rId1057" Type="http://schemas.openxmlformats.org/officeDocument/2006/relationships/hyperlink" Target="https://eur-lex.europa.eu/legal-content/EN/TXT/?uri=CELEX:02023XC0317(01)-20231121" TargetMode="External"/><Relationship Id="rId1625" Type="http://schemas.openxmlformats.org/officeDocument/2006/relationships/hyperlink" Target="https://ecosolifer.com/" TargetMode="External"/><Relationship Id="rId1832" Type="http://schemas.openxmlformats.org/officeDocument/2006/relationships/hyperlink" Target="https://eur-lex.europa.eu/legal-content/DE/TXT/?uri=uriserv:OJ.L_.2023.130.01.0052.01.DEU" TargetMode="External"/><Relationship Id="rId427" Type="http://schemas.openxmlformats.org/officeDocument/2006/relationships/hyperlink" Target="https://www.elab2.kit.edu/power2liquid.php" TargetMode="External"/><Relationship Id="rId634" Type="http://schemas.openxmlformats.org/officeDocument/2006/relationships/hyperlink" Target="https://www.bmwk.de/Redaktion/EN/Publikationen/Energie/national-hydrogen-strategy-update.pdf?__blob=publicationFile&amp;v=2" TargetMode="External"/><Relationship Id="rId841" Type="http://schemas.openxmlformats.org/officeDocument/2006/relationships/hyperlink" Target="https://eur-lex.europa.eu/legal-content/DE/TXT/PDF/?uri=CELEX:12012E/TXT" TargetMode="External"/><Relationship Id="rId1264" Type="http://schemas.openxmlformats.org/officeDocument/2006/relationships/hyperlink" Target="https://eur-lex.europa.eu/legal-content/DE/TXT/PDF/?uri=CELEX:02015D1814-20240101" TargetMode="External"/><Relationship Id="rId1471" Type="http://schemas.openxmlformats.org/officeDocument/2006/relationships/hyperlink" Target="https://www.alterra.ae/news/tpg-announces-initial-1-25-billion-for-global-south-initiative-anchored-by-alterra" TargetMode="External"/><Relationship Id="rId1569" Type="http://schemas.openxmlformats.org/officeDocument/2006/relationships/hyperlink" Target="https://www.corning.com/emea/de.html" TargetMode="External"/><Relationship Id="rId273" Type="http://schemas.openxmlformats.org/officeDocument/2006/relationships/hyperlink" Target="https://www.giz.de/de/weltweit/63299.html" TargetMode="External"/><Relationship Id="rId480" Type="http://schemas.openxmlformats.org/officeDocument/2006/relationships/hyperlink" Target="https://www.agora-energiewende.de/publikationen/die-energiewende-in-deutschland-stand-der-dinge-2024" TargetMode="External"/><Relationship Id="rId701" Type="http://schemas.openxmlformats.org/officeDocument/2006/relationships/hyperlink" Target="https://eur-lex.europa.eu/legal-content/DE/TXT/?uri=CELEX:32023R1185" TargetMode="External"/><Relationship Id="rId939" Type="http://schemas.openxmlformats.org/officeDocument/2006/relationships/hyperlink" Target="https://eur-lex.europa.eu/legal-content/DE/TXT/PDF/?uri=CELEX:52020DC0021" TargetMode="External"/><Relationship Id="rId1124" Type="http://schemas.openxmlformats.org/officeDocument/2006/relationships/hyperlink" Target="https://ec.europa.eu/commission/presscorner/detail/en/ip_21_2345" TargetMode="External"/><Relationship Id="rId1331" Type="http://schemas.openxmlformats.org/officeDocument/2006/relationships/hyperlink" Target="https://merics.org/de/kommentar/chinas-emerging-decarbonization-toolkit" TargetMode="External"/><Relationship Id="rId1776" Type="http://schemas.openxmlformats.org/officeDocument/2006/relationships/hyperlink" Target="https://www.bmwk.de/Redaktion/DE/Publikationen/Industrie/industriepolitik-in-der-zeitenwende.html%20" TargetMode="External"/><Relationship Id="rId68" Type="http://schemas.openxmlformats.org/officeDocument/2006/relationships/hyperlink" Target="https://www.eex.com/en/market-data/market-data-hub/environmentals/spot" TargetMode="External"/><Relationship Id="rId133" Type="http://schemas.openxmlformats.org/officeDocument/2006/relationships/hyperlink" Target="https://www.swp-berlin.org/publikation/the-global-shift-away-from-fossil-energy" TargetMode="External"/><Relationship Id="rId340" Type="http://schemas.openxmlformats.org/officeDocument/2006/relationships/hyperlink" Target="https://www.ipr.uni-heidelberg.de/md/jura/ipr/personen/weller/weller_klimatransformation_gesr_djt_empfehlungen_njw_2024.pdf" TargetMode="External"/><Relationship Id="rId578" Type="http://schemas.openxmlformats.org/officeDocument/2006/relationships/hyperlink" Target="https://www.bundesnetzagentur.de/DE/Fachthemen/ElektrizitaetundGas/NEP/DL_Szenariorahmen/Genehm_SR_2025Strom.pdf?__blob=publicationFile&amp;v=2" TargetMode="External"/><Relationship Id="rId785" Type="http://schemas.openxmlformats.org/officeDocument/2006/relationships/hyperlink" Target="https://www.klimaschutzvertraege.info/thema/allgemeine_informationen_ksv" TargetMode="External"/><Relationship Id="rId992" Type="http://schemas.openxmlformats.org/officeDocument/2006/relationships/hyperlink" Target="https://single-market-economy.ec.europa.eu/industry/strategy/industrial-alliances/european-clean-hydrogen-alliance_en" TargetMode="External"/><Relationship Id="rId1429" Type="http://schemas.openxmlformats.org/officeDocument/2006/relationships/hyperlink" Target="https://www.energy.gov/oced/pacific-northwest-hydrogen-hub-pnwh2" TargetMode="External"/><Relationship Id="rId1636" Type="http://schemas.openxmlformats.org/officeDocument/2006/relationships/hyperlink" Target="https://www.meyerburger.com/de/newsroom/artikel/meyer-burger-stoppt-solarmodulproduktion-und-entlaesst-282-mitarbeitende-in-den-usa" TargetMode="External"/><Relationship Id="rId1843" Type="http://schemas.openxmlformats.org/officeDocument/2006/relationships/hyperlink" Target="https://www.mw.niedersachsen.de/startseite/uber_uns/presse/presseinformationen/glencore-nordenham-erhalt-rund-360-millionen-euro-im-rahmen-des-bundesforderprogramms-klimaschutzvertrage-236450.html" TargetMode="External"/><Relationship Id="rId200" Type="http://schemas.openxmlformats.org/officeDocument/2006/relationships/hyperlink" Target="https://www.helaba.com/media/docs/de/presse/news/studie-freiwillige-co2-kompensation-helaba-response.pdf" TargetMode="External"/><Relationship Id="rId438" Type="http://schemas.openxmlformats.org/officeDocument/2006/relationships/hyperlink" Target="https://www.icao.int/environmental-protection/CORSIA/Pages/default.aspx" TargetMode="External"/><Relationship Id="rId645" Type="http://schemas.openxmlformats.org/officeDocument/2006/relationships/hyperlink" Target="https://www.bundesnetzagentur.de/DE/Fachthemen/ElektrizitaetundGas/NEP/Gas/start.html" TargetMode="External"/><Relationship Id="rId852" Type="http://schemas.openxmlformats.org/officeDocument/2006/relationships/hyperlink" Target="https://eur-lex.europa.eu/legal-content/DE/TXT/PDF/?uri=CELEX:32009L0031" TargetMode="External"/><Relationship Id="rId1068" Type="http://schemas.openxmlformats.org/officeDocument/2006/relationships/hyperlink" Target="https://eur-lex.europa.eu/legal-content/DE/TXT/PDF/?uri=CELEX:52022XC0218(03)" TargetMode="External"/><Relationship Id="rId1275" Type="http://schemas.openxmlformats.org/officeDocument/2006/relationships/hyperlink" Target="https://www.dehst.de/DE/Nationaler-Emissionshandel/Carbon-Leakage/carbon-leakage_node.html" TargetMode="External"/><Relationship Id="rId1482" Type="http://schemas.openxmlformats.org/officeDocument/2006/relationships/hyperlink" Target="https://www.gtai.de/de/trade/japan-wirtschaft/chemische-industrie" TargetMode="External"/><Relationship Id="rId1703" Type="http://schemas.openxmlformats.org/officeDocument/2006/relationships/hyperlink" Target="https://nelhydrogen.com/wp-content/uploads/2024/10/Q3-presentation-2024-for-publication.pdf" TargetMode="External"/><Relationship Id="rId284" Type="http://schemas.openxmlformats.org/officeDocument/2006/relationships/hyperlink" Target="https://www.bankingonclimatechaos.org/wp-content/uploads/2024/07/BOCC_2024_vF3.pdf" TargetMode="External"/><Relationship Id="rId491" Type="http://schemas.openxmlformats.org/officeDocument/2006/relationships/hyperlink" Target="https://klimawirtschaft.org/" TargetMode="External"/><Relationship Id="rId505" Type="http://schemas.openxmlformats.org/officeDocument/2006/relationships/hyperlink" Target="https://www.umweltbundesamt.de/sites/default/files/medien/11850/publikationen/24_2023_cc_analyse_eines_unternehmensentwertungsrechts_fuer_strom-herkunftsnachweise_in_deutschland.pdf%20" TargetMode="External"/><Relationship Id="rId712" Type="http://schemas.openxmlformats.org/officeDocument/2006/relationships/hyperlink" Target="https://www.smard.de/" TargetMode="External"/><Relationship Id="rId1135" Type="http://schemas.openxmlformats.org/officeDocument/2006/relationships/hyperlink" Target="https://ec.europa.eu/commission/presscorner/detail/en/ip_22_2013" TargetMode="External"/><Relationship Id="rId1342" Type="http://schemas.openxmlformats.org/officeDocument/2006/relationships/hyperlink" Target="https://www.acer.europa.eu/" TargetMode="External"/><Relationship Id="rId1787" Type="http://schemas.openxmlformats.org/officeDocument/2006/relationships/hyperlink" Target="https://www.aspire2050.eu/sites/default/files/users/user85/p4planet_07.06.2022._final.pdf" TargetMode="External"/><Relationship Id="rId79" Type="http://schemas.openxmlformats.org/officeDocument/2006/relationships/hyperlink" Target="https://www.nabu.de/imperia/md/content/nabude/energie/wind/200130-thesenpapier-windenergieausbau.pdf" TargetMode="External"/><Relationship Id="rId144" Type="http://schemas.openxmlformats.org/officeDocument/2006/relationships/hyperlink" Target="https://www.cop28.com/en/cop28-presidency" TargetMode="External"/><Relationship Id="rId589" Type="http://schemas.openxmlformats.org/officeDocument/2006/relationships/hyperlink" Target="https://www.handelsblatt.com/meinung/kommentare/kommentar-reiche-und-die-grosse-lebensluege-der-erneuerbare-energien-branche/100201914.html%20" TargetMode="External"/><Relationship Id="rId796" Type="http://schemas.openxmlformats.org/officeDocument/2006/relationships/hyperlink" Target="https://www.energie-kreis-meissen.de/index.php?object=tx,3837.5.1&amp;ModID=7&amp;FID=3837.94.1" TargetMode="External"/><Relationship Id="rId1202" Type="http://schemas.openxmlformats.org/officeDocument/2006/relationships/hyperlink" Target="https://www.bmwk.de/Redaktion/DE/Publikationen/Energie/energieeffiezienzstrategie-2050.html" TargetMode="External"/><Relationship Id="rId1647" Type="http://schemas.openxmlformats.org/officeDocument/2006/relationships/hyperlink" Target="https://eur-lex.europa.eu/legal-content/DE/TXT/PDF/?uri=CELEX:32019R1379" TargetMode="External"/><Relationship Id="rId1854" Type="http://schemas.openxmlformats.org/officeDocument/2006/relationships/hyperlink" Target="https://www.tesa.com/de-de/ueber-uns/press-insights/presse/nachhaltigere-produktion-tesa-setzt-auf-gruenen-wasserstoff-fuer-eine-klimaneutrale-zukunft.html" TargetMode="External"/><Relationship Id="rId351" Type="http://schemas.openxmlformats.org/officeDocument/2006/relationships/hyperlink" Target="https://www.wirtschaft.nrw/system/files/media/document/file/kurzleitfaden-bauplanungsrechtliche-grundlagen-fur-freiflachen-photovoltaik-anlagen-nrw.pdf" TargetMode="External"/><Relationship Id="rId449" Type="http://schemas.openxmlformats.org/officeDocument/2006/relationships/hyperlink" Target="https://www.ihk.de/darmstadt/produktmarken/beraten-und-informieren/umwelt-energie/energie/co2-4728298?print=true&amp;printsrc=button" TargetMode="External"/><Relationship Id="rId656" Type="http://schemas.openxmlformats.org/officeDocument/2006/relationships/hyperlink" Target="https://www.eca.europa.eu/de/publications/SR-2024-11" TargetMode="External"/><Relationship Id="rId863" Type="http://schemas.openxmlformats.org/officeDocument/2006/relationships/hyperlink" Target="https://www.erneuerbare-energien.de/EE/Navigation/DE/Recht-Politik/EU_Klima_Energierahmen/eu_klima_und_energierahmen.html" TargetMode="External"/><Relationship Id="rId1079" Type="http://schemas.openxmlformats.org/officeDocument/2006/relationships/hyperlink" Target="https://competition-cases.ec.europa.eu/cases/SA.105244" TargetMode="External"/><Relationship Id="rId1286" Type="http://schemas.openxmlformats.org/officeDocument/2006/relationships/hyperlink" Target="https://www.esma.europa.eu/press-news/esma-news/esma-publishes-its-final-report-eu-carbon-market" TargetMode="External"/><Relationship Id="rId1493" Type="http://schemas.openxmlformats.org/officeDocument/2006/relationships/hyperlink" Target="https://www.reuters.com/world/china/china-widens-wind-power-lead-with-new-generation-record-maguire-2024-04-18/" TargetMode="External"/><Relationship Id="rId1507" Type="http://schemas.openxmlformats.org/officeDocument/2006/relationships/hyperlink" Target="https://www.forbes.com/sites/davidrvetter/2022/01/26/china-built-more-offshore-wind-in-2021-than-every-other-country-built-in-5-years/?sh=76ee518c4634" TargetMode="External"/><Relationship Id="rId1714" Type="http://schemas.openxmlformats.org/officeDocument/2006/relationships/hyperlink" Target="https://www.cleanenergyministerial.org/initiatives-campaigns/industrial-deep-decarbonisation-initiative/" TargetMode="External"/><Relationship Id="rId211" Type="http://schemas.openxmlformats.org/officeDocument/2006/relationships/hyperlink" Target="https://de.wikipedia.org/wiki/Emissionsrechtehandel" TargetMode="External"/><Relationship Id="rId295" Type="http://schemas.openxmlformats.org/officeDocument/2006/relationships/hyperlink" Target="https://www.bundestag.de/dokumente/textarchiv/2022/kw45-de-atomgesetz-freitag-917474" TargetMode="External"/><Relationship Id="rId309" Type="http://schemas.openxmlformats.org/officeDocument/2006/relationships/hyperlink" Target="https://www.gesetze-im-internet.de/ksg/__8.html" TargetMode="External"/><Relationship Id="rId516" Type="http://schemas.openxmlformats.org/officeDocument/2006/relationships/hyperlink" Target="https://www.monopolkommission.de/images/PDF/SG/7sg_energie_volltext.pdf" TargetMode="External"/><Relationship Id="rId1146" Type="http://schemas.openxmlformats.org/officeDocument/2006/relationships/hyperlink" Target="https://ec.europa.eu/commission/presscorner/detail/en/IP_22_2189" TargetMode="External"/><Relationship Id="rId1798" Type="http://schemas.openxmlformats.org/officeDocument/2006/relationships/hyperlink" Target="https://research-and-innovation.ec.europa.eu/funding/funding-opportunities/funding-programmes-and-open-calls/horizon-europe_en" TargetMode="External"/><Relationship Id="rId723" Type="http://schemas.openxmlformats.org/officeDocument/2006/relationships/hyperlink" Target="https://www.pik-potsdam.de/de/institut/abteilungen/klimaoekonomie-und-politik/mcc-dokumente-archiv/2024_mcc_der_ktf_auf_unsicheren_fuessen.pdf" TargetMode="External"/><Relationship Id="rId930" Type="http://schemas.openxmlformats.org/officeDocument/2006/relationships/hyperlink" Target="https://eur-lex.europa.eu/legal-content/DE/TXT/PDF/?uri=CELEX:52020DC0021" TargetMode="External"/><Relationship Id="rId1006" Type="http://schemas.openxmlformats.org/officeDocument/2006/relationships/hyperlink" Target="https://ipcei-hydrogen.eu/news/view/85bb104e-d8ea-4451-bef5-6908168af6dd/commission-approves-up-to-69-billion-of-state-aid-for-ipcei-hy2infra" TargetMode="External"/><Relationship Id="rId1353" Type="http://schemas.openxmlformats.org/officeDocument/2006/relationships/hyperlink" Target="https://cinea.ec.europa.eu/system/files/2023-11/Hydrogen%20Week%20-%20CINEA%20projects_website_0.pdf" TargetMode="External"/><Relationship Id="rId1560" Type="http://schemas.openxmlformats.org/officeDocument/2006/relationships/hyperlink" Target="https://seia.org/research-resources/american-solar-storage-manufacturing-renaissance-managing-transition-away-china/" TargetMode="External"/><Relationship Id="rId1658" Type="http://schemas.openxmlformats.org/officeDocument/2006/relationships/hyperlink" Target="https://www.capital.de/wirtschaft-politik/china-entdeckt-die-europaeische-windindustrie-33737100.html" TargetMode="External"/><Relationship Id="rId155" Type="http://schemas.openxmlformats.org/officeDocument/2006/relationships/hyperlink" Target="https://globalmatchmakingplatform.climate-club.org/wp-content/uploads/COP29-Global-Pledge-Scaling-International-Assistance-for-Industry-Decarbonisation-.pdf" TargetMode="External"/><Relationship Id="rId362" Type="http://schemas.openxmlformats.org/officeDocument/2006/relationships/hyperlink" Target="https://landesplanung.nrw.de/system/files/media/document/file/flaechenanalyse_windenergie_zwischenbericht_nrw_-_stand_8.03.2023.pdf" TargetMode="External"/><Relationship Id="rId1213" Type="http://schemas.openxmlformats.org/officeDocument/2006/relationships/hyperlink" Target="https://unitingaviation.com/news/environment/the-evolution-of-market-based-measures-icaos-three-decade-climate-action-journey-to-corsia/%20" TargetMode="External"/><Relationship Id="rId1297" Type="http://schemas.openxmlformats.org/officeDocument/2006/relationships/hyperlink" Target="https://www.landtag.nrw.de/portal/WWW/dokumentenarchiv/Dokument/MMD18-9763.pdf" TargetMode="External"/><Relationship Id="rId1420" Type="http://schemas.openxmlformats.org/officeDocument/2006/relationships/hyperlink" Target="https://www.wvh2hub.com" TargetMode="External"/><Relationship Id="rId1518" Type="http://schemas.openxmlformats.org/officeDocument/2006/relationships/hyperlink" Target="https://pris.iaea.org/pris/home.aspx" TargetMode="External"/><Relationship Id="rId222" Type="http://schemas.openxmlformats.org/officeDocument/2006/relationships/hyperlink" Target="https://www.g7italy.it/wp-content/uploads/Apulia-G7-Leaders-Communique.pdf" TargetMode="External"/><Relationship Id="rId667" Type="http://schemas.openxmlformats.org/officeDocument/2006/relationships/hyperlink" Target="https://www.wasserstoff-leitprojekte.de/leitprojekte/transhyde" TargetMode="External"/><Relationship Id="rId874" Type="http://schemas.openxmlformats.org/officeDocument/2006/relationships/hyperlink" Target="https://eur-lex.europa.eu/legal-content/DE/TXT/PDF/?uri=CELEX:32018R0842" TargetMode="External"/><Relationship Id="rId1725" Type="http://schemas.openxmlformats.org/officeDocument/2006/relationships/hyperlink" Target="https://www.euractiv.de/section/energie-und-umwelt/news/stahlindustrie-draengt-auf-eu-quoten-fuer-gruenen-stahl-im-automobilsektor/" TargetMode="External"/><Relationship Id="rId17" Type="http://schemas.openxmlformats.org/officeDocument/2006/relationships/hyperlink" Target="https://edgar.jrc.ec.europa.eu/" TargetMode="External"/><Relationship Id="rId527" Type="http://schemas.openxmlformats.org/officeDocument/2006/relationships/hyperlink" Target="https://www.monopolkommission.de/images/PDF/SG/8sg_energie_volltext.pdf" TargetMode="External"/><Relationship Id="rId734" Type="http://schemas.openxmlformats.org/officeDocument/2006/relationships/hyperlink" Target="https://www.energiewechsel.de/KAENEF/Redaktion/DE/Dossier/beg.html" TargetMode="External"/><Relationship Id="rId941" Type="http://schemas.openxmlformats.org/officeDocument/2006/relationships/hyperlink" Target="https://ec.europa.eu/regional_policy/funding/just-transition-fund/just-transition-platform_en" TargetMode="External"/><Relationship Id="rId1157" Type="http://schemas.openxmlformats.org/officeDocument/2006/relationships/hyperlink" Target="https://eur-lex.europa.eu/legal-content/EN/TXT/?uri=CELEX:52020DC0301" TargetMode="External"/><Relationship Id="rId1364" Type="http://schemas.openxmlformats.org/officeDocument/2006/relationships/hyperlink" Target="https://www.bmwk.de/Redaktion/DE/Publikationen/Klimaschutz/leitmaerkte-fuer-klimafreundliche-grundstoffe.html%20" TargetMode="External"/><Relationship Id="rId1571" Type="http://schemas.openxmlformats.org/officeDocument/2006/relationships/hyperlink" Target="https://www.energy.gov/sites/default/files/2022-02/Solar%20Energy%20Supply%20Chain%20Report%20-%20Final.pdf" TargetMode="External"/><Relationship Id="rId70" Type="http://schemas.openxmlformats.org/officeDocument/2006/relationships/hyperlink" Target="https://de.wikipedia.org/wiki/Kraftwerk_Weisweiler" TargetMode="External"/><Relationship Id="rId166" Type="http://schemas.openxmlformats.org/officeDocument/2006/relationships/hyperlink" Target="https://unfccc.int/documents/460950" TargetMode="External"/><Relationship Id="rId373" Type="http://schemas.openxmlformats.org/officeDocument/2006/relationships/hyperlink" Target="https://de.wikipedia.org/wiki/Windenergie-auf-See-Gesetz" TargetMode="External"/><Relationship Id="rId580" Type="http://schemas.openxmlformats.org/officeDocument/2006/relationships/hyperlink" Target="https://www.ramboll.com/de-de/news/100mw-elektrolyseanlage-moorburg-energiewende-in-hamburg-nimmt-fahrt-auf" TargetMode="External"/><Relationship Id="rId801" Type="http://schemas.openxmlformats.org/officeDocument/2006/relationships/hyperlink" Target="https://www.wienerberger.de/informationen/wand/klimaneutrale_ziegel.html" TargetMode="External"/><Relationship Id="rId1017" Type="http://schemas.openxmlformats.org/officeDocument/2006/relationships/hyperlink" Target="https://www.eca.europa.eu/de/publications/SR-2024-11" TargetMode="External"/><Relationship Id="rId1224" Type="http://schemas.openxmlformats.org/officeDocument/2006/relationships/hyperlink" Target="https://www.dehst.de/DE/Nationaler-Emissionshandel/nationaler-emissionshandel_node.html" TargetMode="External"/><Relationship Id="rId1431" Type="http://schemas.openxmlformats.org/officeDocument/2006/relationships/hyperlink" Target="https://www.youtube.com/watch?v=2Ow3Y9rpf4s" TargetMode="External"/><Relationship Id="rId1669" Type="http://schemas.openxmlformats.org/officeDocument/2006/relationships/hyperlink" Target="https://policy.trade.ec.europa.eu/enforcement-and-protection/investment-screening_en" TargetMode="External"/><Relationship Id="rId1" Type="http://schemas.openxmlformats.org/officeDocument/2006/relationships/hyperlink" Target="https://www.ipcc.ch/" TargetMode="External"/><Relationship Id="rId233" Type="http://schemas.openxmlformats.org/officeDocument/2006/relationships/hyperlink" Target="https://globalfoundation.org.au/wp-content/uploads/2024/06/Brazil-Government-Tropical-Forests-Forever-Initiative.pdf" TargetMode="External"/><Relationship Id="rId440" Type="http://schemas.openxmlformats.org/officeDocument/2006/relationships/hyperlink" Target="https://science.orf.at/stories/3217976/" TargetMode="External"/><Relationship Id="rId678" Type="http://schemas.openxmlformats.org/officeDocument/2006/relationships/hyperlink" Target="https://oci-global.com/" TargetMode="External"/><Relationship Id="rId885" Type="http://schemas.openxmlformats.org/officeDocument/2006/relationships/hyperlink" Target="https://eur-lex.europa.eu/legal-content/DE/TXT/PDF/?uri=CELEX:32023R0857" TargetMode="External"/><Relationship Id="rId1070" Type="http://schemas.openxmlformats.org/officeDocument/2006/relationships/hyperlink" Target="https://eur-lex.europa.eu/legal-content/DE/TXT/PDF/?uri=CELEX:52022XC0218(03)" TargetMode="External"/><Relationship Id="rId1529" Type="http://schemas.openxmlformats.org/officeDocument/2006/relationships/hyperlink" Target="https://eur-lex.europa.eu/legal-content/EN/TXT/PDF/?uri=CELEX:32013D0707&amp;from=EN" TargetMode="External"/><Relationship Id="rId1736" Type="http://schemas.openxmlformats.org/officeDocument/2006/relationships/hyperlink" Target="https://www.bmwk.de/Redaktion/DE/Publikationen/Energie/stakeholderdialog-industrielle-produktionskapazitaten-fur-die-energiewende.html" TargetMode="External"/><Relationship Id="rId28" Type="http://schemas.openxmlformats.org/officeDocument/2006/relationships/hyperlink" Target="https://www.gem.wiki/McElmo_Dome" TargetMode="External"/><Relationship Id="rId300" Type="http://schemas.openxmlformats.org/officeDocument/2006/relationships/hyperlink" Target="https://www.bmwk.de/Redaktion/DE/Artikel/Energie/monitoring-prozess.html" TargetMode="External"/><Relationship Id="rId538" Type="http://schemas.openxmlformats.org/officeDocument/2006/relationships/hyperlink" Target="https://www.entsoe.eu/news/2025/04/28/bidding-zone-study-released/" TargetMode="External"/><Relationship Id="rId745" Type="http://schemas.openxmlformats.org/officeDocument/2006/relationships/hyperlink" Target="https://biokraftstoffverband.de/gefaelschte-zertifikate-zur-emissionsminderung-biokraftstoffindustrie-fordert-verschaerfung-der-zertifizierung-und-kontrollen/" TargetMode="External"/><Relationship Id="rId952" Type="http://schemas.openxmlformats.org/officeDocument/2006/relationships/hyperlink" Target="https://www.eib.org/attachments/lucalli/20240364_eib_group_operational_plan_2025_de.pdf" TargetMode="External"/><Relationship Id="rId1168" Type="http://schemas.openxmlformats.org/officeDocument/2006/relationships/hyperlink" Target="https://www.bdew.de/presse/red-iii-zuegig-umsetzen-fadenriss-bei-genehmigungsbeschleunigung-vermeiden/" TargetMode="External"/><Relationship Id="rId1375" Type="http://schemas.openxmlformats.org/officeDocument/2006/relationships/hyperlink" Target="https://transport.ec.europa.eu/document/download/89b3143e-09b6-4ae6-a826-932b90ed0816_en?filename=Communication%20-%20Action%20Plan.pdf" TargetMode="External"/><Relationship Id="rId1582" Type="http://schemas.openxmlformats.org/officeDocument/2006/relationships/hyperlink" Target="https://eur-lex.europa.eu/legal-content/EN/TXT/?uri=CELEX:02024R1866-20240704" TargetMode="External"/><Relationship Id="rId1803" Type="http://schemas.openxmlformats.org/officeDocument/2006/relationships/hyperlink" Target="https://www.agora-industrie.de/fileadmin/Projekte/2021/2021_10_DE_KIT/A-EW_249_Klimaschutzvertraege-Industrietransformation-Studie_WEB.pdf" TargetMode="External"/><Relationship Id="rId81" Type="http://schemas.openxmlformats.org/officeDocument/2006/relationships/hyperlink" Target="https://www.nabu.de/umwelt-und-ressourcen/energie/erneuerbare-energien-energiewende/windenergie/31709.html" TargetMode="External"/><Relationship Id="rId177" Type="http://schemas.openxmlformats.org/officeDocument/2006/relationships/hyperlink" Target="https://www.wrm.org.uy//wp-content/uploads/2014/12/REDD-A-Collection-of-Conflict_Contradictions_Lies_expanded.pdf" TargetMode="External"/><Relationship Id="rId384" Type="http://schemas.openxmlformats.org/officeDocument/2006/relationships/hyperlink" Target="https://www.gesetze-im-internet.de/windseeg/BJNR231000016.html" TargetMode="External"/><Relationship Id="rId591" Type="http://schemas.openxmlformats.org/officeDocument/2006/relationships/hyperlink" Target="https://www.ieh.uni-stuttgart.de/dokumente/symposium/2024_03-Jesberger_TransnetBW.pdf" TargetMode="External"/><Relationship Id="rId605" Type="http://schemas.openxmlformats.org/officeDocument/2006/relationships/hyperlink" Target="https://www.agora-energiewende.de/publikationen/die-energiewende-in-deutschland-stand-der-dinge-2024" TargetMode="External"/><Relationship Id="rId812" Type="http://schemas.openxmlformats.org/officeDocument/2006/relationships/hyperlink" Target="https://www.agora-industrie.de/fileadmin/Projekte/2021/2021_10_DE_KIT/A-EW_249_Klimaschutzvertraege-Industrietransformation-Studie_WEB.pdf" TargetMode="External"/><Relationship Id="rId1028" Type="http://schemas.openxmlformats.org/officeDocument/2006/relationships/hyperlink" Target="https://www.eca.europa.eu/de/publications/SR-2024-11" TargetMode="External"/><Relationship Id="rId1235" Type="http://schemas.openxmlformats.org/officeDocument/2006/relationships/hyperlink" Target="https://www.eex.com/en/market-data/market-data-hub/environmentals/spot" TargetMode="External"/><Relationship Id="rId1442" Type="http://schemas.openxmlformats.org/officeDocument/2006/relationships/hyperlink" Target="https://www.eia.gov/dnav/pet/hist/LeafHandler.ashx?n=PET&amp;s=MCRFPLA1&amp;f=M" TargetMode="External"/><Relationship Id="rId244" Type="http://schemas.openxmlformats.org/officeDocument/2006/relationships/hyperlink" Target="https://jakarta.diplo.de/id-en/joint-statement-2632552" TargetMode="External"/><Relationship Id="rId689" Type="http://schemas.openxmlformats.org/officeDocument/2006/relationships/hyperlink" Target="https://www.bmwk.de/Redaktion/DE/Pressemitteilungen/2024/06/20240628-deutschland-marokko-allianz-fuer-klima-und-energie.html" TargetMode="External"/><Relationship Id="rId896" Type="http://schemas.openxmlformats.org/officeDocument/2006/relationships/hyperlink" Target="https://commission.europa.eu/energy-climate-change-environment/implementation-eu-countries/energy-and-climate-governance-and-reporting/national-energy-and-climate-plans_en" TargetMode="External"/><Relationship Id="rId1081" Type="http://schemas.openxmlformats.org/officeDocument/2006/relationships/hyperlink" Target="https://eur-lex.europa.eu/DE/legal-content/summary/2022-guidelines-on-state-aid-for-climate-environmental-protection-and-energy.html" TargetMode="External"/><Relationship Id="rId1302" Type="http://schemas.openxmlformats.org/officeDocument/2006/relationships/hyperlink" Target="https://de.wikipedia.org/wiki/Richtlinie_2003/96/EG_(Energiesteuerrichtlinie)" TargetMode="External"/><Relationship Id="rId1747" Type="http://schemas.openxmlformats.org/officeDocument/2006/relationships/hyperlink" Target="https://www.leka-mv.de/buegem-mv/" TargetMode="External"/><Relationship Id="rId39" Type="http://schemas.openxmlformats.org/officeDocument/2006/relationships/hyperlink" Target="https://gml.noaa.gov/ccgg/" TargetMode="External"/><Relationship Id="rId451" Type="http://schemas.openxmlformats.org/officeDocument/2006/relationships/hyperlink" Target="https://www.next-kraftwerke.de/energie-blog/gewinnabschoepfung-strompreisdeckel" TargetMode="External"/><Relationship Id="rId549" Type="http://schemas.openxmlformats.org/officeDocument/2006/relationships/hyperlink" Target="https://www.leka-mv.de/buegem-mv/" TargetMode="External"/><Relationship Id="rId756" Type="http://schemas.openxmlformats.org/officeDocument/2006/relationships/hyperlink" Target="https://de.wikipedia.org/wiki/Treibhausgasminderungsquote" TargetMode="External"/><Relationship Id="rId1179" Type="http://schemas.openxmlformats.org/officeDocument/2006/relationships/hyperlink" Target="https://ec.europa.eu/commission/presscorner/detail/en/ip_22_7156" TargetMode="External"/><Relationship Id="rId1386" Type="http://schemas.openxmlformats.org/officeDocument/2006/relationships/hyperlink" Target="https://energy.ec.europa.eu/system/files/2023-12/Charter_logos_final_02.pdf" TargetMode="External"/><Relationship Id="rId1593" Type="http://schemas.openxmlformats.org/officeDocument/2006/relationships/hyperlink" Target="https://single-market-economy.ec.europa.eu/sectors/raw-materials/areas-specific-interest/critical-raw-materials/critical-raw-materials-act_en" TargetMode="External"/><Relationship Id="rId1607" Type="http://schemas.openxmlformats.org/officeDocument/2006/relationships/hyperlink" Target="https://eur-lex.europa.eu/legal-content/DE/TXT/PDF/?uri=CELEX:52022XC0218(03)" TargetMode="External"/><Relationship Id="rId1814" Type="http://schemas.openxmlformats.org/officeDocument/2006/relationships/hyperlink" Target="https://www.youtube.com/watch?v=YGVlD7PAaIY&amp;list=PLgT6DO8XUkP5oGh1ed710Lw5YvTpesX0U" TargetMode="External"/><Relationship Id="rId104" Type="http://schemas.openxmlformats.org/officeDocument/2006/relationships/hyperlink" Target="https://www.zdf.de/nachrichten/politik/ausland/trump-usa-pariser-klimaabkommen-ausstieg-folgen-100.html" TargetMode="External"/><Relationship Id="rId188" Type="http://schemas.openxmlformats.org/officeDocument/2006/relationships/hyperlink" Target="https://verra.org/" TargetMode="External"/><Relationship Id="rId311" Type="http://schemas.openxmlformats.org/officeDocument/2006/relationships/hyperlink" Target="https://www.umweltbundesamt.de/themen/verkehr/klimaschutz-im-verkehr" TargetMode="External"/><Relationship Id="rId395" Type="http://schemas.openxmlformats.org/officeDocument/2006/relationships/hyperlink" Target="https://www.bmwk.de/Redaktion/DE/Pressemitteilungen/2022/10/20221007-bundesrat-verabschiedet-ensig-30.html" TargetMode="External"/><Relationship Id="rId409" Type="http://schemas.openxmlformats.org/officeDocument/2006/relationships/hyperlink" Target="https://www.lee-nrw.de/data/documents/2022/06/10/118-62a33845049d7.pdf" TargetMode="External"/><Relationship Id="rId963" Type="http://schemas.openxmlformats.org/officeDocument/2006/relationships/hyperlink" Target="https://commission.europa.eu/strategy-and-policy/priorities-2019-2024/european-green-deal_en" TargetMode="External"/><Relationship Id="rId1039" Type="http://schemas.openxmlformats.org/officeDocument/2006/relationships/hyperlink" Target="https://competition-policy.ec.europa.eu/publications/annual-reports_en" TargetMode="External"/><Relationship Id="rId1246" Type="http://schemas.openxmlformats.org/officeDocument/2006/relationships/hyperlink" Target="https://eur-lex.europa.eu/legal-content/DE/TXT/PDF/?uri=CELEX:32018L0410" TargetMode="External"/><Relationship Id="rId92" Type="http://schemas.openxmlformats.org/officeDocument/2006/relationships/hyperlink" Target="https://www.bpb.de/kurz-knapp/hintergrund-aktuell/322749/fuenf-jahre-pariser-klimaabkommen/" TargetMode="External"/><Relationship Id="rId616" Type="http://schemas.openxmlformats.org/officeDocument/2006/relationships/hyperlink" Target="https://www.youtube.com/watch?v=XywqozHsqno&amp;t=714s" TargetMode="External"/><Relationship Id="rId823" Type="http://schemas.openxmlformats.org/officeDocument/2006/relationships/hyperlink" Target="https://www.dehst.de/DE/Strompreiskompensation/SPK_verstehen/spk-verstehen_node.html" TargetMode="External"/><Relationship Id="rId1453" Type="http://schemas.openxmlformats.org/officeDocument/2006/relationships/hyperlink" Target="https://www.utilitydive.com/news/judge-orders-trump-reinstate-inflation-reduction-act-funding/745541/" TargetMode="External"/><Relationship Id="rId1660" Type="http://schemas.openxmlformats.org/officeDocument/2006/relationships/hyperlink" Target="https://eur-lex.europa.eu/legal-content/EN/TXT/?uri=CELEX:52023DC0669" TargetMode="External"/><Relationship Id="rId1758" Type="http://schemas.openxmlformats.org/officeDocument/2006/relationships/hyperlink" Target="https://www.netztransparenz.de/de-de/Erneuerbare-Energien-und-Umlagen/EEG/EEG-Finanzierung/EEG-Finanzierungsbedarf/EEG-Finanzierungsbedarf-2023" TargetMode="External"/><Relationship Id="rId255" Type="http://schemas.openxmlformats.org/officeDocument/2006/relationships/hyperlink" Target="https://www.giz.de/de/weltweit/33978.html" TargetMode="External"/><Relationship Id="rId462" Type="http://schemas.openxmlformats.org/officeDocument/2006/relationships/hyperlink" Target="https://www.dehst.de/DE/Nationaler-Emissionshandel/Carbon-Leakage/carbon-leakage_node.html" TargetMode="External"/><Relationship Id="rId1092" Type="http://schemas.openxmlformats.org/officeDocument/2006/relationships/hyperlink" Target="https://commission.europa.eu/strategy-and-policy/priorities-2019-2024/european-green-deal/green-deal-industrial-plan/net-zero-industry-act_de" TargetMode="External"/><Relationship Id="rId1106" Type="http://schemas.openxmlformats.org/officeDocument/2006/relationships/hyperlink" Target="https://eur-lex.europa.eu/resource.html?uri=cellar:8343d7e8-8de6-11ee-8aa6-01aa75ed71a1.0012.02/DOC_2&amp;format=PDF" TargetMode="External"/><Relationship Id="rId1313" Type="http://schemas.openxmlformats.org/officeDocument/2006/relationships/hyperlink" Target="https://eur-lex.europa.eu/legal-content/DE/TXT/?uri=uriserv:OJ.L_.2023.130.01.0052.01.DEU" TargetMode="External"/><Relationship Id="rId1397" Type="http://schemas.openxmlformats.org/officeDocument/2006/relationships/hyperlink" Target="https://de.wikipedia.org/wiki/Erd%C3%B6l/Tabellen_und_Grafiken" TargetMode="External"/><Relationship Id="rId1520" Type="http://schemas.openxmlformats.org/officeDocument/2006/relationships/hyperlink" Target="https://english.www.gov.cn/news/202406/23/content_WS667760b9c6d0868f4e8e8730.html" TargetMode="External"/><Relationship Id="rId115" Type="http://schemas.openxmlformats.org/officeDocument/2006/relationships/hyperlink" Target="https://unfccc.int/cop28/outcomes" TargetMode="External"/><Relationship Id="rId322" Type="http://schemas.openxmlformats.org/officeDocument/2006/relationships/hyperlink" Target="https://www.klimaschutz-niedersachsen.de/" TargetMode="External"/><Relationship Id="rId767" Type="http://schemas.openxmlformats.org/officeDocument/2006/relationships/hyperlink" Target="https://www.recht.bund.de" TargetMode="External"/><Relationship Id="rId974" Type="http://schemas.openxmlformats.org/officeDocument/2006/relationships/hyperlink" Target="https://eur-lex.europa.eu/legal-content/DE/TXT/PDF/?uri=CELEX:52020DC0098" TargetMode="External"/><Relationship Id="rId1618" Type="http://schemas.openxmlformats.org/officeDocument/2006/relationships/hyperlink" Target="https://solaralliance.eu/" TargetMode="External"/><Relationship Id="rId1825" Type="http://schemas.openxmlformats.org/officeDocument/2006/relationships/hyperlink" Target="https://protonventures.com/news/what-is-the-best-hydrogen-carrier-2/" TargetMode="External"/><Relationship Id="rId199" Type="http://schemas.openxmlformats.org/officeDocument/2006/relationships/hyperlink" Target="https://eur-lex.europa.eu/legal-content/DE/TXT/PDF/?uri=CELEX:52023XC0515(01)" TargetMode="External"/><Relationship Id="rId627" Type="http://schemas.openxmlformats.org/officeDocument/2006/relationships/hyperlink" Target="https://www.wasserstoffrat.de/" TargetMode="External"/><Relationship Id="rId834" Type="http://schemas.openxmlformats.org/officeDocument/2006/relationships/hyperlink" Target="https://www.europarl.europa.eu/legislative-train/theme-a-european-green-deal/file-carbon-border-adjustment-mechanism" TargetMode="External"/><Relationship Id="rId1257" Type="http://schemas.openxmlformats.org/officeDocument/2006/relationships/hyperlink" Target="https://eur-lex.europa.eu/legal-content/DE/TXT/PDF/?uri=CELEX:02003L0087-20230605" TargetMode="External"/><Relationship Id="rId1464" Type="http://schemas.openxmlformats.org/officeDocument/2006/relationships/hyperlink" Target="https://www.gtai.de/de/trade/indien/branchen/branchenstruktur-537346" TargetMode="External"/><Relationship Id="rId1671" Type="http://schemas.openxmlformats.org/officeDocument/2006/relationships/hyperlink" Target="https://www.energy.gov/sites/default/files/2024-12/Neodymium%2520Magnets%2520Supply%2520Chain%2520Report%2520-%2520Final%5B1%5D.pdf" TargetMode="External"/><Relationship Id="rId266" Type="http://schemas.openxmlformats.org/officeDocument/2006/relationships/hyperlink" Target="https://greengridsinitiative.net/" TargetMode="External"/><Relationship Id="rId473" Type="http://schemas.openxmlformats.org/officeDocument/2006/relationships/hyperlink" Target="https://energieinstitut.net/sites/default/files/factsheet-beihilfeindirekteco2-kosten.pdf" TargetMode="External"/><Relationship Id="rId680" Type="http://schemas.openxmlformats.org/officeDocument/2006/relationships/hyperlink" Target="https://www.h2-global.org/news" TargetMode="External"/><Relationship Id="rId901" Type="http://schemas.openxmlformats.org/officeDocument/2006/relationships/hyperlink" Target="https://www.europarl.europa.eu/RegData/etudes/STUD/2020/655134/IPOL_STU(2020)655134(SUM01)_DE.pdf" TargetMode="External"/><Relationship Id="rId1117" Type="http://schemas.openxmlformats.org/officeDocument/2006/relationships/hyperlink" Target="https://ec.europa.eu/commission/presscorner/detail/en/ip_20_1833" TargetMode="External"/><Relationship Id="rId1324" Type="http://schemas.openxmlformats.org/officeDocument/2006/relationships/hyperlink" Target="https://taxation-customs.ec.europa.eu/system/files/2023-12/Guidance%20document%20on%20CBAM%20implementation%20for%20importers%20of%20goods%20into%20the%20EU.pdf%20" TargetMode="External"/><Relationship Id="rId1531" Type="http://schemas.openxmlformats.org/officeDocument/2006/relationships/hyperlink" Target="https://de.wikipedia.org/wiki/Solarworld" TargetMode="External"/><Relationship Id="rId1769" Type="http://schemas.openxmlformats.org/officeDocument/2006/relationships/hyperlink" Target="https://www.tagesschau.de/wirtschaft/wirtschaft-siemens-gamesa-energy-staatshilfe-garantien-100.html" TargetMode="External"/><Relationship Id="rId30" Type="http://schemas.openxmlformats.org/officeDocument/2006/relationships/hyperlink" Target="https://de.wikipedia.org/wiki/Distickstoffmonoxid" TargetMode="External"/><Relationship Id="rId126" Type="http://schemas.openxmlformats.org/officeDocument/2006/relationships/hyperlink" Target="https://www.thegef.org/" TargetMode="External"/><Relationship Id="rId333" Type="http://schemas.openxmlformats.org/officeDocument/2006/relationships/hyperlink" Target="https://www.pisfcc.org/" TargetMode="External"/><Relationship Id="rId540" Type="http://schemas.openxmlformats.org/officeDocument/2006/relationships/hyperlink" Target="https://www.spd.de/fileadmin/Dokumente/Koalitionsvertrag2025_bf.pdf" TargetMode="External"/><Relationship Id="rId778" Type="http://schemas.openxmlformats.org/officeDocument/2006/relationships/hyperlink" Target="https://www.tagesschau.de/wissen/technologie/gaskraftwerke-und-klimaschutz-100.html" TargetMode="External"/><Relationship Id="rId985" Type="http://schemas.openxmlformats.org/officeDocument/2006/relationships/hyperlink" Target="https://eprel.ec.europa.eu/screen/home" TargetMode="External"/><Relationship Id="rId1170" Type="http://schemas.openxmlformats.org/officeDocument/2006/relationships/hyperlink" Target="https://www.eca.europa.eu/Lists/ECAReplies/COM-Replies-SR-2024-11/COM-Replies-SR-2024-11_DE.pdf" TargetMode="External"/><Relationship Id="rId1629" Type="http://schemas.openxmlformats.org/officeDocument/2006/relationships/hyperlink" Target="https://www.enelgreenpower.com/who-we-are/innovation/3SUN-factory" TargetMode="External"/><Relationship Id="rId1836" Type="http://schemas.openxmlformats.org/officeDocument/2006/relationships/hyperlink" Target="https://www.klimaschutzvertraege.info/" TargetMode="External"/><Relationship Id="rId638" Type="http://schemas.openxmlformats.org/officeDocument/2006/relationships/hyperlink" Target="https://www.schleswig-holstein.de/DE/landesregierung/ministerien-behoerden/V/Presse/PI/2024/10/241022_H2_Netz" TargetMode="External"/><Relationship Id="rId845" Type="http://schemas.openxmlformats.org/officeDocument/2006/relationships/hyperlink" Target="https://pure.rug.nl/ws/portalfiles/portal/194764335/PeetersMarjanEl_2020_28EUEmissionsTradingI_ResearchHandbookOnEUE.pdf" TargetMode="External"/><Relationship Id="rId1030" Type="http://schemas.openxmlformats.org/officeDocument/2006/relationships/hyperlink" Target="https://eur-lex.europa.eu/legal-content/DE/TXT/?uri=uriserv:OJ.L_.2022.152.01.0045.01.DEU" TargetMode="External"/><Relationship Id="rId1268" Type="http://schemas.openxmlformats.org/officeDocument/2006/relationships/hyperlink" Target="https://eur-lex.europa.eu/legal-content/DE/TXT/PDF/?uri=CELEX:02003L0087-20230605" TargetMode="External"/><Relationship Id="rId1475" Type="http://schemas.openxmlformats.org/officeDocument/2006/relationships/hyperlink" Target="https://iea.blob.core.windows.net/assets/b80ed5fc-7483-4b65-ae73-d39d5b2de40d/Senegal2023.pdf" TargetMode="External"/><Relationship Id="rId1682" Type="http://schemas.openxmlformats.org/officeDocument/2006/relationships/hyperlink" Target="https://www.youtube.com/watch?v=YGVlD7PAaIY" TargetMode="External"/><Relationship Id="rId277" Type="http://schemas.openxmlformats.org/officeDocument/2006/relationships/hyperlink" Target="https://www.global-energy-transformation.eu/" TargetMode="External"/><Relationship Id="rId400" Type="http://schemas.openxmlformats.org/officeDocument/2006/relationships/hyperlink" Target="https://de.wikipedia.org/wiki/Windpark_Werder/Kessin" TargetMode="External"/><Relationship Id="rId484" Type="http://schemas.openxmlformats.org/officeDocument/2006/relationships/hyperlink" Target="https://www.spd.de/fileadmin/Dokumente/Koalitionsvertrag2025_bf.pdf" TargetMode="External"/><Relationship Id="rId705" Type="http://schemas.openxmlformats.org/officeDocument/2006/relationships/hyperlink" Target="https://www.bmwsb.bund.de/Webs/BMWSB/DE/themen/stadt-wohnen/WPG/kommunale-waermeplanung.html" TargetMode="External"/><Relationship Id="rId1128" Type="http://schemas.openxmlformats.org/officeDocument/2006/relationships/hyperlink" Target="https://ec.europa.eu/commission/presscorner/detail/en/ip_21_5916" TargetMode="External"/><Relationship Id="rId1335" Type="http://schemas.openxmlformats.org/officeDocument/2006/relationships/hyperlink" Target="https://eudsoentity.eu/" TargetMode="External"/><Relationship Id="rId1542" Type="http://schemas.openxmlformats.org/officeDocument/2006/relationships/hyperlink" Target="https://web.archive.org/web/20180412150449/https://www.solarworld.de/home/" TargetMode="External"/><Relationship Id="rId137" Type="http://schemas.openxmlformats.org/officeDocument/2006/relationships/hyperlink" Target="https://www.cop28.com/en/cop28-presidency" TargetMode="External"/><Relationship Id="rId344" Type="http://schemas.openxmlformats.org/officeDocument/2006/relationships/hyperlink" Target="https://www.bmwk.de/Redaktion/DE/Publikationen/Industrie/industriepolitik-in-der-zeitenwende.html" TargetMode="External"/><Relationship Id="rId691" Type="http://schemas.openxmlformats.org/officeDocument/2006/relationships/hyperlink" Target="https://www.vng.de/de/newsroom/2024-10-14-vng-ag-unterzeichnet-absichtserklaerung-zum-import-von-gruenem-wasserstoff" TargetMode="External"/><Relationship Id="rId789" Type="http://schemas.openxmlformats.org/officeDocument/2006/relationships/hyperlink" Target="https://www.klimaschutzvertraege.info/news/notifizierung-bruessel-europaeische-kommission-zweites-gebotsverfahren-klimaschutzvertraege" TargetMode="External"/><Relationship Id="rId912" Type="http://schemas.openxmlformats.org/officeDocument/2006/relationships/hyperlink" Target="https://de.wikipedia.org/wiki/Rat_der_Europ%C3%A4ischen_Union" TargetMode="External"/><Relationship Id="rId996" Type="http://schemas.openxmlformats.org/officeDocument/2006/relationships/hyperlink" Target="https://eur-lex.europa.eu/legal-content/EN/TXT/?uri=COM:2022:230:FIN" TargetMode="External"/><Relationship Id="rId1847" Type="http://schemas.openxmlformats.org/officeDocument/2006/relationships/hyperlink" Target="https://weser-ems-wirtschaft.de/index.php/2024/10/17/statement-von-ihk-geschaeftsbereichsleiterin-anke-schweda-zum-klimaschutzvertrag-fuer-die-hr-chemisch-pharmazeutische-spezialitaeten-gmbh-aus-salzber/" TargetMode="External"/><Relationship Id="rId41" Type="http://schemas.openxmlformats.org/officeDocument/2006/relationships/hyperlink" Target="https://www.bmwk.de/Redaktion/DE/Publikationen/Klimaschutz/leitmaerkte-fuer-klimafreundliche-grundstoffe.html%20" TargetMode="External"/><Relationship Id="rId551" Type="http://schemas.openxmlformats.org/officeDocument/2006/relationships/hyperlink" Target="https://www.leka-mv.de/buegem-mv/" TargetMode="External"/><Relationship Id="rId649" Type="http://schemas.openxmlformats.org/officeDocument/2006/relationships/hyperlink" Target="https://www.wasserstoffrat.de/fileadmin/wasserstoffrat/media/Dokumente/2023/2023-02-01_NWR_Grundlagenpapier_H2-Bedarf_2.pdf%20" TargetMode="External"/><Relationship Id="rId856" Type="http://schemas.openxmlformats.org/officeDocument/2006/relationships/hyperlink" Target="https://climate.ec.europa.eu/eu-action/eu-funding-climate-action/ner-300-programme_de" TargetMode="External"/><Relationship Id="rId1181" Type="http://schemas.openxmlformats.org/officeDocument/2006/relationships/hyperlink" Target="https://commission.europa.eu/system/files/2023-02/COM_2023_62_2_EN_ACT_A%20Green%20Deal%20Industrial%20Plan%20for%20the%20Net-Zero%20Age.pdf" TargetMode="External"/><Relationship Id="rId1279" Type="http://schemas.openxmlformats.org/officeDocument/2006/relationships/hyperlink" Target="https://www.bundesanzeiger.de/pub/publication/pBGETer9tMfhgyQW8zK/content/pBGETer9tMfhgyQW8zK/BAnz%20AT%2001.09.2022%20B1.pdf?inline" TargetMode="External"/><Relationship Id="rId1402" Type="http://schemas.openxmlformats.org/officeDocument/2006/relationships/hyperlink" Target="https://www.utilitydive.com/news/judge-orders-trump-reinstate-inflation-reduction-act-funding/745541/" TargetMode="External"/><Relationship Id="rId1486" Type="http://schemas.openxmlformats.org/officeDocument/2006/relationships/hyperlink" Target="https://www.gtai.de/de/trade/japan/branchen/regierung-wasserstoff-bietet-hohes-dekarbonisierungspotenzial--1011728" TargetMode="External"/><Relationship Id="rId1707" Type="http://schemas.openxmlformats.org/officeDocument/2006/relationships/hyperlink" Target="https://lowemissionsteelstandard.org/" TargetMode="External"/><Relationship Id="rId190" Type="http://schemas.openxmlformats.org/officeDocument/2006/relationships/hyperlink" Target="https://www.climateactionreserve.org/" TargetMode="External"/><Relationship Id="rId204" Type="http://schemas.openxmlformats.org/officeDocument/2006/relationships/hyperlink" Target="https://eur-lex.europa.eu/legal-content/DE/ALL/?uri=CELEX:32024R3012" TargetMode="External"/><Relationship Id="rId288" Type="http://schemas.openxmlformats.org/officeDocument/2006/relationships/hyperlink" Target="https://carbonmajors.org/" TargetMode="External"/><Relationship Id="rId411" Type="http://schemas.openxmlformats.org/officeDocument/2006/relationships/hyperlink" Target="https://www.consilium.europa.eu/en/press/press-releases/2023/03/28/fit-for-55-council-adopts-regulation-on-co2-emissions-for-new-cars-and-vans/" TargetMode="External"/><Relationship Id="rId509" Type="http://schemas.openxmlformats.org/officeDocument/2006/relationships/hyperlink" Target="https://www.epexspot.com" TargetMode="External"/><Relationship Id="rId1041" Type="http://schemas.openxmlformats.org/officeDocument/2006/relationships/hyperlink" Target="https://ec.europa.eu/commission/presscorner/detail/en/ip_24_1007" TargetMode="External"/><Relationship Id="rId1139" Type="http://schemas.openxmlformats.org/officeDocument/2006/relationships/hyperlink" Target="https://ec.europa.eu/commission/presscorner/detail/en/ip_22_2238" TargetMode="External"/><Relationship Id="rId1346" Type="http://schemas.openxmlformats.org/officeDocument/2006/relationships/hyperlink" Target="https://single-market-economy.ec.europa.eu/industry/industrial-alliances/european-clean-hydrogen-alliance/roundtables-european-clean-hydrogen-alliance_en" TargetMode="External"/><Relationship Id="rId1693" Type="http://schemas.openxmlformats.org/officeDocument/2006/relationships/hyperlink" Target="https://www.norsk-e-fuel.com/" TargetMode="External"/><Relationship Id="rId495" Type="http://schemas.openxmlformats.org/officeDocument/2006/relationships/hyperlink" Target="https://www.spd.de/fileadmin/Dokumente/Koalitionsvertrag2025_bf.pdf" TargetMode="External"/><Relationship Id="rId716" Type="http://schemas.openxmlformats.org/officeDocument/2006/relationships/hyperlink" Target="https://www.bundesregierung.de/breg-de/aktuelles/energieeffizienzgesetz-2184812" TargetMode="External"/><Relationship Id="rId923" Type="http://schemas.openxmlformats.org/officeDocument/2006/relationships/hyperlink" Target="https://www.consilium.europa.eu/media/41779/12-euco-final-conclusions-de.pdf" TargetMode="External"/><Relationship Id="rId1553" Type="http://schemas.openxmlformats.org/officeDocument/2006/relationships/hyperlink" Target="https://www.energy.gov/sites/default/files/2022-02/Solar%20Energy%20Supply%20Chain%20Report%20-%20Final.pdf" TargetMode="External"/><Relationship Id="rId1760" Type="http://schemas.openxmlformats.org/officeDocument/2006/relationships/hyperlink" Target="https://www.destatis.de/DE/Themen/Gesellschaft-Umwelt/Umwelt/UGR/steuern-weitere-abgaben/Tabellen/gesamtaufkommen-steuern.html" TargetMode="External"/><Relationship Id="rId1858" Type="http://schemas.openxmlformats.org/officeDocument/2006/relationships/hyperlink" Target="https://geo.om/" TargetMode="External"/><Relationship Id="rId52" Type="http://schemas.openxmlformats.org/officeDocument/2006/relationships/hyperlink" Target="https://www.tradefocus.de/publikationen.html" TargetMode="External"/><Relationship Id="rId148" Type="http://schemas.openxmlformats.org/officeDocument/2006/relationships/hyperlink" Target="https://www.energy.gov/articles/cop28-countries-launch-declaration-triple-nuclear-energy-capacity-2050-recognizing-key" TargetMode="External"/><Relationship Id="rId355" Type="http://schemas.openxmlformats.org/officeDocument/2006/relationships/hyperlink" Target="https://www.bmwsb.bund.de/SharedDocs/gesetzgebungsverfahren/Webs/BMWSB/DE/ExterneLinks/wind-an-land-gesetz.html" TargetMode="External"/><Relationship Id="rId562" Type="http://schemas.openxmlformats.org/officeDocument/2006/relationships/hyperlink" Target="https://www.bundesregierung.de/breg-de/themen/tipps-fuer-verbraucher/solarpaket-photovoltaik-balkonkraftwerke-2213726%20" TargetMode="External"/><Relationship Id="rId1192" Type="http://schemas.openxmlformats.org/officeDocument/2006/relationships/hyperlink" Target="https://www.energy.gov/policy/securing-americas-clean-energy-supply-chain" TargetMode="External"/><Relationship Id="rId1206" Type="http://schemas.openxmlformats.org/officeDocument/2006/relationships/hyperlink" Target="https://eur-lex.europa.eu/legal-content/DE/TXT/PDF/?uri=CELEX:32003L0087" TargetMode="External"/><Relationship Id="rId1413" Type="http://schemas.openxmlformats.org/officeDocument/2006/relationships/hyperlink" Target="https://www.govinfo.gov/content/pkg/BILLS-117hr5376enr/pdf/BILLS-117hr5376enr.pdf" TargetMode="External"/><Relationship Id="rId1620" Type="http://schemas.openxmlformats.org/officeDocument/2006/relationships/hyperlink" Target="https://pilatus-project.eu/" TargetMode="External"/><Relationship Id="rId215" Type="http://schemas.openxmlformats.org/officeDocument/2006/relationships/hyperlink" Target="https://www.bundesregierung.de/breg-de/aktuelles/koalitionsvertrag-2021-1990800" TargetMode="External"/><Relationship Id="rId422" Type="http://schemas.openxmlformats.org/officeDocument/2006/relationships/hyperlink" Target="https://www.tagesschau.de/wirtschaft/energie/verbrenneraus-folgen-100.html%20" TargetMode="External"/><Relationship Id="rId867" Type="http://schemas.openxmlformats.org/officeDocument/2006/relationships/hyperlink" Target="https://pure.rug.nl/ws/portalfiles/portal/194764335/PeetersMarjanEl_2020_28EUEmissionsTradingI_ResearchHandbookOnEUE.pdf%20" TargetMode="External"/><Relationship Id="rId1052" Type="http://schemas.openxmlformats.org/officeDocument/2006/relationships/hyperlink" Target="https://competition-policy.ec.europa.eu/state-aid/temporary-crisis-and-transition-framework_en" TargetMode="External"/><Relationship Id="rId1497" Type="http://schemas.openxmlformats.org/officeDocument/2006/relationships/hyperlink" Target="https://www.tagesschau.de/ausland/amerika/china-klima-treibhausgase-100.html" TargetMode="External"/><Relationship Id="rId1718" Type="http://schemas.openxmlformats.org/officeDocument/2006/relationships/hyperlink" Target="https://single-market-economy.ec.europa.eu/single-market/public-procurement/international-public-procurement_en" TargetMode="External"/><Relationship Id="rId299" Type="http://schemas.openxmlformats.org/officeDocument/2006/relationships/hyperlink" Target="https://www.bmel.de/SharedDocs/Downloads/DE/_Landwirtschaft/Klimaschutz/Klimaschutzprogramm2030.html" TargetMode="External"/><Relationship Id="rId727" Type="http://schemas.openxmlformats.org/officeDocument/2006/relationships/hyperlink" Target="https://www.bundesregierung.de/resource/blob/975228/2250742/2b0b8637c130f344f3f79f129c8ba1f0/2023-12-22-anhang-ktf-data.pdf?download=1" TargetMode="External"/><Relationship Id="rId934" Type="http://schemas.openxmlformats.org/officeDocument/2006/relationships/hyperlink" Target="https://investeu.europa.eu/index_en" TargetMode="External"/><Relationship Id="rId1357" Type="http://schemas.openxmlformats.org/officeDocument/2006/relationships/hyperlink" Target="https://ec.europa.eu/commission/presscorner/detail/en/qanda_20_24" TargetMode="External"/><Relationship Id="rId1564" Type="http://schemas.openxmlformats.org/officeDocument/2006/relationships/hyperlink" Target="https://seia.org/wp-content/uploads/2022/08/SEIA20Manufacturing20Roadmap202022_4.pdf" TargetMode="External"/><Relationship Id="rId1771" Type="http://schemas.openxmlformats.org/officeDocument/2006/relationships/hyperlink" Target="https://www.kfw.de/%C3%9Cber-die-KfW/Newsroom/Aktuelles/Wasserstoff-Kernnetz.html" TargetMode="External"/><Relationship Id="rId63" Type="http://schemas.openxmlformats.org/officeDocument/2006/relationships/hyperlink" Target="https://www.umweltbundesamt.de/daten/klima/treibhausgas-emissionen-in-deutschland" TargetMode="External"/><Relationship Id="rId159" Type="http://schemas.openxmlformats.org/officeDocument/2006/relationships/hyperlink" Target="https://globalmatchmakingplatform.climate-club.org/" TargetMode="External"/><Relationship Id="rId366" Type="http://schemas.openxmlformats.org/officeDocument/2006/relationships/hyperlink" Target="https://recht.nrw.de/lmi/owa/br_bes_text?anw_nr=1&amp;gld_nr=2&amp;ugl_nr=2310&amp;bes_id=38805&amp;val=38805&amp;ver=7&amp;sg=0&amp;aufgehoben=N&amp;menu=1" TargetMode="External"/><Relationship Id="rId573" Type="http://schemas.openxmlformats.org/officeDocument/2006/relationships/hyperlink" Target="https://www.bmwk.de/Redaktion/DE/Dossier/ses.html" TargetMode="External"/><Relationship Id="rId780" Type="http://schemas.openxmlformats.org/officeDocument/2006/relationships/hyperlink" Target="https://www.bdew.de/presse/entwurf-zum-kraftwerkssicherheitsgesetz-zuegig-verabschieden/" TargetMode="External"/><Relationship Id="rId1217" Type="http://schemas.openxmlformats.org/officeDocument/2006/relationships/hyperlink" Target="https://www.europarl.europa.eu/news/de/press-room/20221212IPR64527/klimaschutz-einigung-uber-ehrgeizigeren-eu-emissionshandel-ets" TargetMode="External"/><Relationship Id="rId1424" Type="http://schemas.openxmlformats.org/officeDocument/2006/relationships/hyperlink" Target="https://www.energy.gov/oced/appalachian-hydrogen-hub-arch2" TargetMode="External"/><Relationship Id="rId1631" Type="http://schemas.openxmlformats.org/officeDocument/2006/relationships/hyperlink" Target="https://www.freiberg.de/stadt-und-buerger/aktuelles/neuigkeiten/meyer-burger-erhaelt-200-mio-eur-eu-foerderung" TargetMode="External"/><Relationship Id="rId226" Type="http://schemas.openxmlformats.org/officeDocument/2006/relationships/hyperlink" Target="https://www.mofa.go.jp/policy/economy/summit/hiroshima23/en/" TargetMode="External"/><Relationship Id="rId433" Type="http://schemas.openxmlformats.org/officeDocument/2006/relationships/hyperlink" Target="https://www.spd.de/fileadmin/Dokumente/Koalitionsvertrag_2025.pdf" TargetMode="External"/><Relationship Id="rId878" Type="http://schemas.openxmlformats.org/officeDocument/2006/relationships/hyperlink" Target="https://eur-lex.europa.eu/legal-content/EN/TXT/PDF/?uri=CELEX:32023D1319" TargetMode="External"/><Relationship Id="rId1063" Type="http://schemas.openxmlformats.org/officeDocument/2006/relationships/hyperlink" Target="https://eur-lex.europa.eu/legal-content/DE/TXT/PDF/?uri=CELEX:52022XC0218(03)" TargetMode="External"/><Relationship Id="rId1270" Type="http://schemas.openxmlformats.org/officeDocument/2006/relationships/hyperlink" Target="https://www.faz.net/aktuell/wirtschaft/brennstoffgesetz-hohe-co2-kosten-koennten-ins-leere-laufen-17094218.html?printPagedArticle=true" TargetMode="External"/><Relationship Id="rId1729" Type="http://schemas.openxmlformats.org/officeDocument/2006/relationships/hyperlink" Target="https://www.gesetze-im-internet.de/eeg_2014/EEG_2023.pdf" TargetMode="External"/><Relationship Id="rId640" Type="http://schemas.openxmlformats.org/officeDocument/2006/relationships/hyperlink" Target="https://ko-nep.de/" TargetMode="External"/><Relationship Id="rId738" Type="http://schemas.openxmlformats.org/officeDocument/2006/relationships/hyperlink" Target="https://de.wikipedia.org/wiki/CO2-Preis_mit_Klimapr%C3%A4mie" TargetMode="External"/><Relationship Id="rId945" Type="http://schemas.openxmlformats.org/officeDocument/2006/relationships/hyperlink" Target="https://ec.europa.eu/regional_policy/funding/just-transition-fund/just-transition-platform_en" TargetMode="External"/><Relationship Id="rId1368" Type="http://schemas.openxmlformats.org/officeDocument/2006/relationships/hyperlink" Target="https://commission.europa.eu/topics/eu-competitiveness/draghi-report_en" TargetMode="External"/><Relationship Id="rId1575" Type="http://schemas.openxmlformats.org/officeDocument/2006/relationships/hyperlink" Target="https://policy.trade.ec.europa.eu/enforcement-and-protection/trade-defence/anti-subsidy-measures_en" TargetMode="External"/><Relationship Id="rId1782" Type="http://schemas.openxmlformats.org/officeDocument/2006/relationships/hyperlink" Target="https://www.eurofer.eu/assets/publications/reports-or-studies/steel-in-action-2025/European-Steel-In-Action-2025.pdf" TargetMode="External"/><Relationship Id="rId74" Type="http://schemas.openxmlformats.org/officeDocument/2006/relationships/hyperlink" Target="https://de.wikipedia.org/wiki/Ausstieg_aus_der_Kohleverstromung_in_Deutschland" TargetMode="External"/><Relationship Id="rId377" Type="http://schemas.openxmlformats.org/officeDocument/2006/relationships/hyperlink" Target="https://www.gesetze-im-internet.de/windseeg/BJNR231000016.html" TargetMode="External"/><Relationship Id="rId500" Type="http://schemas.openxmlformats.org/officeDocument/2006/relationships/hyperlink" Target="https://www.youtube.com/watch?v=xEYbVlk_618&amp;t=21s" TargetMode="External"/><Relationship Id="rId584" Type="http://schemas.openxmlformats.org/officeDocument/2006/relationships/hyperlink" Target="https://www.h2-powerd.de/" TargetMode="External"/><Relationship Id="rId805" Type="http://schemas.openxmlformats.org/officeDocument/2006/relationships/hyperlink" Target="https://www.tesa.com/de-de/ueber-uns/press-insights/presse/nachhaltigere-produktion-tesa-setzt-auf-gruenen-wasserstoff-fuer-eine-klimaneutrale-zukunft.html" TargetMode="External"/><Relationship Id="rId1130" Type="http://schemas.openxmlformats.org/officeDocument/2006/relationships/hyperlink" Target="https://ec.europa.eu/commission/presscorner/detail/en/ip_21_6687" TargetMode="External"/><Relationship Id="rId1228" Type="http://schemas.openxmlformats.org/officeDocument/2006/relationships/hyperlink" Target="https://eur-lex.europa.eu/legal-content/DE/TXT/PDF/?uri=CELEX:32015D1814" TargetMode="External"/><Relationship Id="rId1435" Type="http://schemas.openxmlformats.org/officeDocument/2006/relationships/hyperlink" Target="https://www.energy.gov/eere/fuelcells/hydrogen-and-fuel-cell-technologies-office" TargetMode="External"/><Relationship Id="rId5" Type="http://schemas.openxmlformats.org/officeDocument/2006/relationships/hyperlink" Target="https://www.umweltbundesamt.de/service/glossar/t?tag=Treibhausgas" TargetMode="External"/><Relationship Id="rId237" Type="http://schemas.openxmlformats.org/officeDocument/2006/relationships/hyperlink" Target="https://g7.utoronto.ca/" TargetMode="External"/><Relationship Id="rId791" Type="http://schemas.openxmlformats.org/officeDocument/2006/relationships/hyperlink" Target="https://www.klimaschutzvertraege.info/news/grosses_interesse_an_ksv%20" TargetMode="External"/><Relationship Id="rId889" Type="http://schemas.openxmlformats.org/officeDocument/2006/relationships/hyperlink" Target="https://eur-lex.europa.eu/legal-content/DE/TXT/PDF/?uri=CELEX:32018R1999%20" TargetMode="External"/><Relationship Id="rId1074" Type="http://schemas.openxmlformats.org/officeDocument/2006/relationships/hyperlink" Target="https://eur-lex.europa.eu/legal-content/DE/TXT/PDF/?uri=CELEX:52022XC0218(03)" TargetMode="External"/><Relationship Id="rId1642" Type="http://schemas.openxmlformats.org/officeDocument/2006/relationships/hyperlink" Target="https://eur-lex.europa.eu/legal-content/EN/TXT/?uri=CELEX:02023R2675-20231207" TargetMode="External"/><Relationship Id="rId444" Type="http://schemas.openxmlformats.org/officeDocument/2006/relationships/hyperlink" Target="https://www.transportenvironment.org/te-deutschland/articles/europas-verkehrssektor-wird-2030-fast-die-halfte-der-emissionen-ausmachen" TargetMode="External"/><Relationship Id="rId651" Type="http://schemas.openxmlformats.org/officeDocument/2006/relationships/hyperlink" Target="https://ec.europa.eu/commission/presscorner/detail/en/fs_23_1610" TargetMode="External"/><Relationship Id="rId749" Type="http://schemas.openxmlformats.org/officeDocument/2006/relationships/hyperlink" Target="https://ghgprotocol.org/" TargetMode="External"/><Relationship Id="rId1281" Type="http://schemas.openxmlformats.org/officeDocument/2006/relationships/hyperlink" Target="https://eur-lex.europa.eu/legal-content/DE/TXT/PDF/?uri=CELEX:02003L0087-20230605" TargetMode="External"/><Relationship Id="rId1379" Type="http://schemas.openxmlformats.org/officeDocument/2006/relationships/hyperlink" Target="https://hydrogen-portal.com/european-clean-hydrogen-alliance/" TargetMode="External"/><Relationship Id="rId1502" Type="http://schemas.openxmlformats.org/officeDocument/2006/relationships/hyperlink" Target="https://merics.org/de/kommentar/chinas-emerging-decarbonization-toolkit" TargetMode="External"/><Relationship Id="rId1586" Type="http://schemas.openxmlformats.org/officeDocument/2006/relationships/hyperlink" Target="https://eur-lex.europa.eu/legal-content/EN/TXT/?uri=CELEX:32021R2239" TargetMode="External"/><Relationship Id="rId1807" Type="http://schemas.openxmlformats.org/officeDocument/2006/relationships/hyperlink" Target="https://de.euronews.com/my-europe/2025/03/21/wer-sind-die-wichtigsten-eisen-und-stahlhandelspartner-der-eu" TargetMode="External"/><Relationship Id="rId290" Type="http://schemas.openxmlformats.org/officeDocument/2006/relationships/hyperlink" Target="https://carbonmajors.org/Entities" TargetMode="External"/><Relationship Id="rId304" Type="http://schemas.openxmlformats.org/officeDocument/2006/relationships/hyperlink" Target="https://www.consilium.europa.eu/media/41779/12-euco-final-conclusions-de.pdf" TargetMode="External"/><Relationship Id="rId388" Type="http://schemas.openxmlformats.org/officeDocument/2006/relationships/hyperlink" Target="https://www.bmwk.de/Redaktion/DE/Pressemitteilungen/2024/06/20240607-60-gigawatt-offshore-windenergie-bis-2037.html" TargetMode="External"/><Relationship Id="rId511" Type="http://schemas.openxmlformats.org/officeDocument/2006/relationships/hyperlink" Target="https://de.wikipedia.org/wiki/Erneuerbare-Energien-Gesetz" TargetMode="External"/><Relationship Id="rId609" Type="http://schemas.openxmlformats.org/officeDocument/2006/relationships/hyperlink" Target="https://www.bundesnetzagentur.de/DE/Fachthemen/ElektrizitaetundGas/Versorgungssicherheit/Netzengpassmanagement/start.html" TargetMode="External"/><Relationship Id="rId956" Type="http://schemas.openxmlformats.org/officeDocument/2006/relationships/hyperlink" Target="https://kpmg.com/de/de/home/dienstleistungen/branchen-und-maerkte/financial-services/sustainable-finance-und-esg-services-fuer-asset-management.html" TargetMode="External"/><Relationship Id="rId1141" Type="http://schemas.openxmlformats.org/officeDocument/2006/relationships/hyperlink" Target="https://ec.europa.eu/commission/presscorner/detail/en/ip_22_2238" TargetMode="External"/><Relationship Id="rId1239" Type="http://schemas.openxmlformats.org/officeDocument/2006/relationships/hyperlink" Target="https://www.umweltbundesamt.de/daten/klima/der-europaeische-emissionshandel" TargetMode="External"/><Relationship Id="rId1793" Type="http://schemas.openxmlformats.org/officeDocument/2006/relationships/hyperlink" Target="https://de.wikipedia.org/wiki/Liste_europ%C3%A4ischer_Hochofenwerke" TargetMode="External"/><Relationship Id="rId85" Type="http://schemas.openxmlformats.org/officeDocument/2006/relationships/hyperlink" Target="https://www.nabu.de/wir-ueber-uns/organisation/struktur-und-gremien/34635.html" TargetMode="External"/><Relationship Id="rId150" Type="http://schemas.openxmlformats.org/officeDocument/2006/relationships/hyperlink" Target="https://unfccc.int/news/june-climate-meetings-take-modest-steps-forward-steep-mountain-still-to-climb-ahead-of-cop29" TargetMode="External"/><Relationship Id="rId595" Type="http://schemas.openxmlformats.org/officeDocument/2006/relationships/hyperlink" Target="https://www.stadtwerke-solingen.de/blog/spitzenlastglaettung-strom-drosseln-abschaltbare-verbrauchseinrichtungen/" TargetMode="External"/><Relationship Id="rId816" Type="http://schemas.openxmlformats.org/officeDocument/2006/relationships/hyperlink" Target="https://www.agora-industrie.de/fileadmin/Projekte/2021/2021_10_DE_KIT/A-EW_249_Klimaschutzvertraege-Industrietransformation-Studie_WEB.pdf" TargetMode="External"/><Relationship Id="rId1001" Type="http://schemas.openxmlformats.org/officeDocument/2006/relationships/hyperlink" Target="https://competition-policy.ec.europa.eu/state-aid/ipcei/approved-ipceis_en" TargetMode="External"/><Relationship Id="rId1446" Type="http://schemas.openxmlformats.org/officeDocument/2006/relationships/hyperlink" Target="https://globalenergymonitor.org/de/report/proposed-gas-fired-power-plants-in-the-united-state-rise-due-to-ai-energy-demand-speculation-but-remain-largely-in-early-development-stage/" TargetMode="External"/><Relationship Id="rId1653" Type="http://schemas.openxmlformats.org/officeDocument/2006/relationships/hyperlink" Target="https://www.windkraft-journal.de/2021/07/08/lm-wind-power-von-ge-renewable-energy-produziert-bereits-das-44-444-rotorblatt-in-indien/164225" TargetMode="External"/><Relationship Id="rId248" Type="http://schemas.openxmlformats.org/officeDocument/2006/relationships/hyperlink" Target="https://de.wikipedia.org/wiki/Jochen_Flasbarth" TargetMode="External"/><Relationship Id="rId455" Type="http://schemas.openxmlformats.org/officeDocument/2006/relationships/hyperlink" Target="https://www.youtube.com/watch?v=oBhGXpQvBEw&amp;t=2093s" TargetMode="External"/><Relationship Id="rId662" Type="http://schemas.openxmlformats.org/officeDocument/2006/relationships/hyperlink" Target="https://www.umweltbundesamt.de/sites/default/files/medien/1410/publikationen/2019-01-21_texte_07-2019_abwaermenutzungspotenziale-huettenwerke.pdf%20" TargetMode="External"/><Relationship Id="rId1085" Type="http://schemas.openxmlformats.org/officeDocument/2006/relationships/hyperlink" Target="https://eur-lex.europa.eu/legal-content/DE/TXT/PDF/?uri=CELEX:52014XC0731(01)%20" TargetMode="External"/><Relationship Id="rId1292" Type="http://schemas.openxmlformats.org/officeDocument/2006/relationships/hyperlink" Target="https://www.ey.com/de_de/decarbonization/eu-ets-wie-stark-steigen-die-co-preise-bis-2030" TargetMode="External"/><Relationship Id="rId1306" Type="http://schemas.openxmlformats.org/officeDocument/2006/relationships/hyperlink" Target="https://www.consilium.europa.eu/en/press/press-releases/2023/03/28/fit-for-55-council-adopts-regulation-on-co2-emissions-for-new-cars-and-vans/" TargetMode="External"/><Relationship Id="rId1513" Type="http://schemas.openxmlformats.org/officeDocument/2006/relationships/hyperlink" Target="https://www.bundestag.de/resource/blob/509082/5594603c3ecf27933ad76d31faf89c27/uran-als-kernbrennstoff-data.pdf" TargetMode="External"/><Relationship Id="rId1720" Type="http://schemas.openxmlformats.org/officeDocument/2006/relationships/hyperlink" Target="https://commission.europa.eu/energy-climate-change-environment/standards-tools-and-labels/products-labelling-rules-and-requirements/ecodesign-sustainable-products-regulation_en" TargetMode="External"/><Relationship Id="rId12" Type="http://schemas.openxmlformats.org/officeDocument/2006/relationships/hyperlink" Target="https://www.ingenieur.de/technik/fachbereiche/umwelt/vom-umweltgift-zum-wertstoff-anlage-produziert-kohlenstoff-aus-umgebungsluft/" TargetMode="External"/><Relationship Id="rId108" Type="http://schemas.openxmlformats.org/officeDocument/2006/relationships/hyperlink" Target="https://unfccc.int/sites/default/files/resource/cma2021_08_adv_1.pdf" TargetMode="External"/><Relationship Id="rId315" Type="http://schemas.openxmlformats.org/officeDocument/2006/relationships/hyperlink" Target="https://www.umweltbundesamt.de/publikationen/verkehrssektor-auf-kurs-bringen-szenarien-zur" TargetMode="External"/><Relationship Id="rId522" Type="http://schemas.openxmlformats.org/officeDocument/2006/relationships/hyperlink" Target="https://de.wikipedia.org/wiki/Merit-Order" TargetMode="External"/><Relationship Id="rId967" Type="http://schemas.openxmlformats.org/officeDocument/2006/relationships/hyperlink" Target="https://www.consilium.europa.eu/de/council-eu/decision-making/implementing-and-delegated-acts/" TargetMode="External"/><Relationship Id="rId1152" Type="http://schemas.openxmlformats.org/officeDocument/2006/relationships/hyperlink" Target="https://www.ey.com/de_de/decarbonization/eu-ets-wie-stark-steigen-die-co-preise-bis-2030" TargetMode="External"/><Relationship Id="rId1597" Type="http://schemas.openxmlformats.org/officeDocument/2006/relationships/hyperlink" Target="https://op.europa.eu/en/publication-detail/-/publication/57318397-fdd4-11ed-a05c-01aa75ed71a1" TargetMode="External"/><Relationship Id="rId1818" Type="http://schemas.openxmlformats.org/officeDocument/2006/relationships/hyperlink" Target="https://de.euronews.com/my-europe/2025/03/21/wer-sind-die-wichtigsten-eisen-und-stahlhandelspartner-der-eu" TargetMode="External"/><Relationship Id="rId96" Type="http://schemas.openxmlformats.org/officeDocument/2006/relationships/hyperlink" Target="https://www.un.org/en/climatechange/all-about-ndcs" TargetMode="External"/><Relationship Id="rId161" Type="http://schemas.openxmlformats.org/officeDocument/2006/relationships/hyperlink" Target="https://www.atmosfair.de/wp-content/uploads/news-wald-fur-den-klimaschutz-18012023.pdf" TargetMode="External"/><Relationship Id="rId399" Type="http://schemas.openxmlformats.org/officeDocument/2006/relationships/hyperlink" Target="https://www.bundesnetzagentur.de/SharedDocs/Pressemitteilungen/DE/2025/20250108_EE.html" TargetMode="External"/><Relationship Id="rId827" Type="http://schemas.openxmlformats.org/officeDocument/2006/relationships/hyperlink" Target="https://www.stabilitaetsrat.de/" TargetMode="External"/><Relationship Id="rId1012" Type="http://schemas.openxmlformats.org/officeDocument/2006/relationships/hyperlink" Target="https://www.faz.net/agenturmeldungen/dpa/milliardenschweres-projekt-auch-niedersachsen-profitiert-19522822.html" TargetMode="External"/><Relationship Id="rId1457" Type="http://schemas.openxmlformats.org/officeDocument/2006/relationships/hyperlink" Target="https://www.nationalgrid.com/national-grid-ventures/interconnectors-connecting-cleaner-future/north-sea-link" TargetMode="External"/><Relationship Id="rId1664" Type="http://schemas.openxmlformats.org/officeDocument/2006/relationships/hyperlink" Target="https://competition-policy.ec.europa.eu/foreign-subsidies-regulation/legislation_en" TargetMode="External"/><Relationship Id="rId259" Type="http://schemas.openxmlformats.org/officeDocument/2006/relationships/hyperlink" Target="https://www.tagesschau.de/ausland/amerika/china-klima-treibhausgase-100.html" TargetMode="External"/><Relationship Id="rId466" Type="http://schemas.openxmlformats.org/officeDocument/2006/relationships/hyperlink" Target="https://eur-lex.europa.eu/legal-content/DE/TXT/PDF/?uri=CELEX:52020XC0925(01)&amp;from=DE" TargetMode="External"/><Relationship Id="rId673" Type="http://schemas.openxmlformats.org/officeDocument/2006/relationships/hyperlink" Target="https://www.h2-global.de/post/900-million-eur-market-ramp-up-green-hydrogen" TargetMode="External"/><Relationship Id="rId880" Type="http://schemas.openxmlformats.org/officeDocument/2006/relationships/hyperlink" Target="https://www.europarl.europa.eu/RegData/etudes/BRIE/2021/698812/EPRS_BRI(2021)698812_EN.pdf" TargetMode="External"/><Relationship Id="rId1096" Type="http://schemas.openxmlformats.org/officeDocument/2006/relationships/hyperlink" Target="https://www.youtube.com/watch?v=YGVlD7PAaIY&amp;list=PLgT6DO8XUkP5oGh1ed710Lw5YvTpesX0U" TargetMode="External"/><Relationship Id="rId1317" Type="http://schemas.openxmlformats.org/officeDocument/2006/relationships/hyperlink" Target="https://www.wvstahl.de/wp-content/uploads/WV-Stahl_Daten-und-Fakten-2024_RZ-Web.pdf" TargetMode="External"/><Relationship Id="rId1524" Type="http://schemas.openxmlformats.org/officeDocument/2006/relationships/hyperlink" Target="https://ec.europa.eu/commission/presscorner/detail/de/memo_13_497" TargetMode="External"/><Relationship Id="rId1731" Type="http://schemas.openxmlformats.org/officeDocument/2006/relationships/hyperlink" Target="https://bdi.eu/artikel/news/transformationspfade-studie-energiewende-auf-kurs-bringen" TargetMode="External"/><Relationship Id="rId23" Type="http://schemas.openxmlformats.org/officeDocument/2006/relationships/hyperlink" Target="https://www.eeas.europa.eu/eeas/china-%E2%80%93-co2-neutralit%C3%A4t-im-jahr-2060-ein-m%C3%B6glicher-wendepunkt-f%C3%BCr-das-klima_de" TargetMode="External"/><Relationship Id="rId119" Type="http://schemas.openxmlformats.org/officeDocument/2006/relationships/hyperlink" Target="https://unfccc.int/documents/631600" TargetMode="External"/><Relationship Id="rId326" Type="http://schemas.openxmlformats.org/officeDocument/2006/relationships/hyperlink" Target="https://www.olg-hamm.nrw.de/behoerde/presse/Pressemitteilungen/14_26_PE_OLG_VT-Lliuya_RWE/index.php" TargetMode="External"/><Relationship Id="rId533" Type="http://schemas.openxmlformats.org/officeDocument/2006/relationships/hyperlink" Target="https://www.bmwk.de/Redaktion/DE/Dossier/plattform-klimaneutrales-stromsystem.html" TargetMode="External"/><Relationship Id="rId978" Type="http://schemas.openxmlformats.org/officeDocument/2006/relationships/hyperlink" Target="https://environment.ec.europa.eu/topics/waste-and-recycling/batteries_en" TargetMode="External"/><Relationship Id="rId1163" Type="http://schemas.openxmlformats.org/officeDocument/2006/relationships/hyperlink" Target="https://www.wasserstoffrat.de/fileadmin/wasserstoffrat/media/Dokumente/2024/2024-03-01_NWR-Stellungnahme_Umsetzung_RED_III_Industriequote.pdf" TargetMode="External"/><Relationship Id="rId1370" Type="http://schemas.openxmlformats.org/officeDocument/2006/relationships/hyperlink" Target="https://www.basf.com/global/de/investors/calendar-and-publications/reporting" TargetMode="External"/><Relationship Id="rId1829" Type="http://schemas.openxmlformats.org/officeDocument/2006/relationships/hyperlink" Target="https://setis.ec.europa.eu/publications-and-documents/clean-energy-technology-observatory/ceto-reports-2024_en%20" TargetMode="External"/><Relationship Id="rId740" Type="http://schemas.openxmlformats.org/officeDocument/2006/relationships/hyperlink" Target="https://www.n-tv.de/politik/Lindner-Klimageld-kommt-nicht-mehr-in-dieser-Wahlperiode-article24660991.html" TargetMode="External"/><Relationship Id="rId838" Type="http://schemas.openxmlformats.org/officeDocument/2006/relationships/hyperlink" Target="https://commission.europa.eu/topics/eu-competitiveness/draghi-report_en" TargetMode="External"/><Relationship Id="rId1023" Type="http://schemas.openxmlformats.org/officeDocument/2006/relationships/hyperlink" Target="https://www.eca.europa.eu/de/publications/SR-2024-11" TargetMode="External"/><Relationship Id="rId1468" Type="http://schemas.openxmlformats.org/officeDocument/2006/relationships/hyperlink" Target="https://iea.blob.core.windows.net/assets/6ac243a9-247b-4b79-bc01-0e7730434118/RoadmaptoIncreaseInvestmentinCleanEnergyinDevelopingCountriesaninitiativebytheG20BrazilPresidency.pdf" TargetMode="External"/><Relationship Id="rId1675" Type="http://schemas.openxmlformats.org/officeDocument/2006/relationships/hyperlink" Target="https://www.whitehouse.gov/ostp/ostps-teams/nstc/" TargetMode="External"/><Relationship Id="rId172" Type="http://schemas.openxmlformats.org/officeDocument/2006/relationships/hyperlink" Target="https://www.cfp.energy/en/insight/why-is-article-6-so-relevant-to-the-vcm-from-a-quality-and-integrity-perspective" TargetMode="External"/><Relationship Id="rId477" Type="http://schemas.openxmlformats.org/officeDocument/2006/relationships/hyperlink" Target="https://www.agora-energiewende.de/publikationen/die-energiewende-in-deutschland-stand-der-dinge-2024" TargetMode="External"/><Relationship Id="rId600" Type="http://schemas.openxmlformats.org/officeDocument/2006/relationships/hyperlink" Target="https://www.bundesnetzagentur.de/DE/Beschlusskammern/BK_Start.html" TargetMode="External"/><Relationship Id="rId684" Type="http://schemas.openxmlformats.org/officeDocument/2006/relationships/hyperlink" Target="https://www.sefe-energy.eu/blog/detail/wasserstoffbedarf-waechst-erzeugung-und-import-heute-und-morgen.html" TargetMode="External"/><Relationship Id="rId1230" Type="http://schemas.openxmlformats.org/officeDocument/2006/relationships/hyperlink" Target="https://eur-lex.europa.eu/legal-content/DE/TXT/PDF/?uri=CELEX:02015D1814-20240101" TargetMode="External"/><Relationship Id="rId1328" Type="http://schemas.openxmlformats.org/officeDocument/2006/relationships/hyperlink" Target="https://eur-lex.europa.eu/legal-content/DE/TXT/PDF/?uri=CELEX:32023R1773" TargetMode="External"/><Relationship Id="rId1535" Type="http://schemas.openxmlformats.org/officeDocument/2006/relationships/hyperlink" Target="https://eur-lex.europa.eu/legal-content/DE/TXT/?uri=uriserv:OJ.C_.2012.340.01.0013.01.DEU" TargetMode="External"/><Relationship Id="rId337" Type="http://schemas.openxmlformats.org/officeDocument/2006/relationships/hyperlink" Target="https://www.icj-cij.org/sites/default/files/case-related/187/187-20250723-adv-01-00-en.pdf" TargetMode="External"/><Relationship Id="rId891" Type="http://schemas.openxmlformats.org/officeDocument/2006/relationships/hyperlink" Target="https://eur-lex.europa.eu/legal-content/DE/TXT/PDF/?uri=CELEX:32018R1999" TargetMode="External"/><Relationship Id="rId905" Type="http://schemas.openxmlformats.org/officeDocument/2006/relationships/hyperlink" Target="https://www.consilium.europa.eu/de/council-eu/voting-system/unanimity/" TargetMode="External"/><Relationship Id="rId989" Type="http://schemas.openxmlformats.org/officeDocument/2006/relationships/hyperlink" Target="https://agriculture.ec.europa.eu/farming/organic-farming/organic-action-plan_en" TargetMode="External"/><Relationship Id="rId1742" Type="http://schemas.openxmlformats.org/officeDocument/2006/relationships/hyperlink" Target="https://de.prysmian.com/" TargetMode="External"/><Relationship Id="rId34" Type="http://schemas.openxmlformats.org/officeDocument/2006/relationships/hyperlink" Target="https://www.youtube.com/watch?v=SdI0wqPwGwo" TargetMode="External"/><Relationship Id="rId544" Type="http://schemas.openxmlformats.org/officeDocument/2006/relationships/hyperlink" Target="https://www.acer.europa.eu/" TargetMode="External"/><Relationship Id="rId751" Type="http://schemas.openxmlformats.org/officeDocument/2006/relationships/hyperlink" Target="https://de.wikipedia.org/wiki/Upstream-Emission" TargetMode="External"/><Relationship Id="rId849" Type="http://schemas.openxmlformats.org/officeDocument/2006/relationships/hyperlink" Target="https://climate.ec.europa.eu/eu-action/international-action-climate-change/kyoto-2nd-commitment-period-2013-20_de" TargetMode="External"/><Relationship Id="rId1174" Type="http://schemas.openxmlformats.org/officeDocument/2006/relationships/hyperlink" Target="https://ec.europa.eu/info/law/better-regulation/have-your-say/initiatives/13338-EU-Strategie-fur-Solarenergie_de" TargetMode="External"/><Relationship Id="rId1381" Type="http://schemas.openxmlformats.org/officeDocument/2006/relationships/hyperlink" Target="https://single-market-economy.ec.europa.eu/document/download/fe4b7a0b-cfb9-49fd-9d37-139c1e23832d_en" TargetMode="External"/><Relationship Id="rId1479" Type="http://schemas.openxmlformats.org/officeDocument/2006/relationships/hyperlink" Target="https://www.gtai.de/de/trade/japan-wirtschaft/chemische-industrie" TargetMode="External"/><Relationship Id="rId1602" Type="http://schemas.openxmlformats.org/officeDocument/2006/relationships/hyperlink" Target="https://www.bmwk.de/Redaktion/DE/Artikel/Industrie/critical-raw-materials-act.html" TargetMode="External"/><Relationship Id="rId1686" Type="http://schemas.openxmlformats.org/officeDocument/2006/relationships/hyperlink" Target="https://www.basf.com/global/de/media/news-releases/2025/03/p-25-046" TargetMode="External"/><Relationship Id="rId183" Type="http://schemas.openxmlformats.org/officeDocument/2006/relationships/hyperlink" Target="https://www.cfp.energy/en/insight/cop29-article-6-approved" TargetMode="External"/><Relationship Id="rId390" Type="http://schemas.openxmlformats.org/officeDocument/2006/relationships/hyperlink" Target="https://de.wikipedia.org/wiki/Energiesicherungsgesetz" TargetMode="External"/><Relationship Id="rId404" Type="http://schemas.openxmlformats.org/officeDocument/2006/relationships/hyperlink" Target="https://www.offshore-stiftung.de/pressestatement-dreiecksvereinbarung-f%C3%BCr-die-ko-nutzung-der-warnow-werft-mit-dem-marinearsenal-und-0" TargetMode="External"/><Relationship Id="rId611" Type="http://schemas.openxmlformats.org/officeDocument/2006/relationships/hyperlink" Target="https://www.energy-charts.info/charts/energy_redispatch/chart.htm?l=de&amp;c=DE&amp;redispatch=redispatch_energies_costs_overall" TargetMode="External"/><Relationship Id="rId1034" Type="http://schemas.openxmlformats.org/officeDocument/2006/relationships/hyperlink" Target="https://eur-lex.europa.eu/legal-content/DE/TXT/PDF/?uri=CELEX:32020R0852" TargetMode="External"/><Relationship Id="rId1241" Type="http://schemas.openxmlformats.org/officeDocument/2006/relationships/hyperlink" Target="https://www.isi.fraunhofer.de/de/competence-center/energiepolitik-energiemaerkte/mitarbeiter/duscha.html" TargetMode="External"/><Relationship Id="rId1339" Type="http://schemas.openxmlformats.org/officeDocument/2006/relationships/hyperlink" Target="https://www.consilium.europa.eu/de/infographics/how-is-eu-electricity-produced-and-sold/" TargetMode="External"/><Relationship Id="rId250" Type="http://schemas.openxmlformats.org/officeDocument/2006/relationships/hyperlink" Target="https://www.bmz.de/de/aktuelles/aktuelle-meldungen/schulze-reist-zur-energiewende-konferenz-in-indien-225146" TargetMode="External"/><Relationship Id="rId488" Type="http://schemas.openxmlformats.org/officeDocument/2006/relationships/hyperlink" Target="https://www.faire-energiewende.de/" TargetMode="External"/><Relationship Id="rId695" Type="http://schemas.openxmlformats.org/officeDocument/2006/relationships/hyperlink" Target="https://devkopsys.de/ptx-atlas/" TargetMode="External"/><Relationship Id="rId709" Type="http://schemas.openxmlformats.org/officeDocument/2006/relationships/hyperlink" Target="https://www.ndr.de/nachrichten/mecklenburg-vorpommern/Power-to-Heat-Anklage-der-Rostocker-,powertoheat102.html" TargetMode="External"/><Relationship Id="rId916" Type="http://schemas.openxmlformats.org/officeDocument/2006/relationships/hyperlink" Target="https://commission.europa.eu/law/application-eu-law_de" TargetMode="External"/><Relationship Id="rId1101" Type="http://schemas.openxmlformats.org/officeDocument/2006/relationships/hyperlink" Target="https://eur-lex.europa.eu/legal-content/DE/TXT/?uri=CELEX:32022R0869" TargetMode="External"/><Relationship Id="rId1546" Type="http://schemas.openxmlformats.org/officeDocument/2006/relationships/hyperlink" Target="https://www.tradefocus.de/U.HermannsChinaOrdoDynamikReport2020.pdf" TargetMode="External"/><Relationship Id="rId1753" Type="http://schemas.openxmlformats.org/officeDocument/2006/relationships/hyperlink" Target="https://foes.de/publikationen/2024/2024-10_FOES_Kraftwerkssicherheitsgesetz.pdf" TargetMode="External"/><Relationship Id="rId45" Type="http://schemas.openxmlformats.org/officeDocument/2006/relationships/hyperlink" Target="https://www.ipcc.ch/" TargetMode="External"/><Relationship Id="rId110" Type="http://schemas.openxmlformats.org/officeDocument/2006/relationships/hyperlink" Target="https://ec.europa.eu/commission/presscorner/detail/en/ip_24_4581" TargetMode="External"/><Relationship Id="rId348" Type="http://schemas.openxmlformats.org/officeDocument/2006/relationships/hyperlink" Target="https://www.gesetze-im-internet.de/enwg_2005/" TargetMode="External"/><Relationship Id="rId555" Type="http://schemas.openxmlformats.org/officeDocument/2006/relationships/hyperlink" Target="https://www.gruene-fraktion-sachsen.de/wp-content/uploads/2025/05/Stellungnahme-Aenderung-saechsisches-Beteiligungsgesetz.pdf" TargetMode="External"/><Relationship Id="rId762" Type="http://schemas.openxmlformats.org/officeDocument/2006/relationships/hyperlink" Target="https://www.bundesregierung.de/breg-de/aktuelles/carbon-management-strategie-2289146" TargetMode="External"/><Relationship Id="rId1185" Type="http://schemas.openxmlformats.org/officeDocument/2006/relationships/hyperlink" Target="https://transport.ec.europa.eu/document/download/89b3143e-09b6-4ae6-a826-932b90ed0816_en?filename=Communication%20-%20Action%20Plan.pdf" TargetMode="External"/><Relationship Id="rId1392" Type="http://schemas.openxmlformats.org/officeDocument/2006/relationships/hyperlink" Target="https://www.youtube.com/watch?v=242pqLSFzh4" TargetMode="External"/><Relationship Id="rId1406" Type="http://schemas.openxmlformats.org/officeDocument/2006/relationships/hyperlink" Target="https://www.irs.gov/credits-and-deductions-under-the-inflation-reduction-act-of-2022" TargetMode="External"/><Relationship Id="rId1613" Type="http://schemas.openxmlformats.org/officeDocument/2006/relationships/hyperlink" Target="https://carbon-solar.com/en/" TargetMode="External"/><Relationship Id="rId1820" Type="http://schemas.openxmlformats.org/officeDocument/2006/relationships/hyperlink" Target="https://eur-lex.europa.eu/legal-content/EN/TXT/?uri=CELEX:02018L2001-20240716" TargetMode="External"/><Relationship Id="rId194" Type="http://schemas.openxmlformats.org/officeDocument/2006/relationships/hyperlink" Target="https://www.co280.com/" TargetMode="External"/><Relationship Id="rId208" Type="http://schemas.openxmlformats.org/officeDocument/2006/relationships/hyperlink" Target="https://www.carbon-mechanisms.de/" TargetMode="External"/><Relationship Id="rId415" Type="http://schemas.openxmlformats.org/officeDocument/2006/relationships/hyperlink" Target="https://data.consilium.europa.eu/doc/document/PE-66-2022-INIT/de/pdf" TargetMode="External"/><Relationship Id="rId622" Type="http://schemas.openxmlformats.org/officeDocument/2006/relationships/hyperlink" Target="https://www.interconnector.de/" TargetMode="External"/><Relationship Id="rId1045" Type="http://schemas.openxmlformats.org/officeDocument/2006/relationships/hyperlink" Target="https://dejure.org/gesetze/AEUV/107.html" TargetMode="External"/><Relationship Id="rId1252" Type="http://schemas.openxmlformats.org/officeDocument/2006/relationships/hyperlink" Target="https://climate.ec.europa.eu/news-your-voice/news/ets-market-stability-reserve-reduce-auction-volume-around-267-million-allowances-between-september-2024-06-01_en" TargetMode="External"/><Relationship Id="rId1697" Type="http://schemas.openxmlformats.org/officeDocument/2006/relationships/hyperlink" Target="https://www.volkswagen-newsroom.com/de/volkswagen-group-china-5897" TargetMode="External"/><Relationship Id="rId261" Type="http://schemas.openxmlformats.org/officeDocument/2006/relationships/hyperlink" Target="https://www.auswaertiges-amt.de/blob/2633110/a64259603803cb057a6bf6ed99e86419/kap-strategie-data.pdf" TargetMode="External"/><Relationship Id="rId499" Type="http://schemas.openxmlformats.org/officeDocument/2006/relationships/hyperlink" Target="https://www.bundesnetzagentur.de/SharedDocs/Pressemitteilungen/DE/2021/20210902_RegEnergieEugh.html" TargetMode="External"/><Relationship Id="rId927" Type="http://schemas.openxmlformats.org/officeDocument/2006/relationships/hyperlink" Target="https://www.europarl.europa.eu/legislative-train/" TargetMode="External"/><Relationship Id="rId1112" Type="http://schemas.openxmlformats.org/officeDocument/2006/relationships/hyperlink" Target="https://cinea.ec.europa.eu/system/files/2023-11/CEF-Energy-2023_Latest%20achievements%20and%20way%20forward-web_en.pdf" TargetMode="External"/><Relationship Id="rId1557" Type="http://schemas.openxmlformats.org/officeDocument/2006/relationships/hyperlink" Target="https://seia.org/wp-content/uploads/2022/08/SEIA20Manufacturing20Roadmap202022_4.pdf" TargetMode="External"/><Relationship Id="rId1764" Type="http://schemas.openxmlformats.org/officeDocument/2006/relationships/hyperlink" Target="https://www.bpb.de/kurz-knapp/zahlen-und-fakten/soziale-situation-in-deutschland/61874/steuereinnahmen-nach-steuerarten/" TargetMode="External"/><Relationship Id="rId56" Type="http://schemas.openxmlformats.org/officeDocument/2006/relationships/hyperlink" Target="https://www.geothermie.de/bibliothek/lexikon-der-geothermie/l/lithium-extraktion" TargetMode="External"/><Relationship Id="rId359" Type="http://schemas.openxmlformats.org/officeDocument/2006/relationships/hyperlink" Target="https://www.mhkbd.nrw/themenportal/regelungen-zu-windkraftanlagen-nordrhein-westfalen" TargetMode="External"/><Relationship Id="rId566" Type="http://schemas.openxmlformats.org/officeDocument/2006/relationships/hyperlink" Target="https://www.bundesverfassungsgericht.de/SharedDocs/Pressemitteilungen/DE/2023/bvg23-101.html" TargetMode="External"/><Relationship Id="rId773" Type="http://schemas.openxmlformats.org/officeDocument/2006/relationships/hyperlink" Target="https://www.bbh-blog.de/alle-themen/emissionshandel/kraftwerksstrategie-bundesregierung-veroeffentlicht-neue-eckpunkte/" TargetMode="External"/><Relationship Id="rId1196" Type="http://schemas.openxmlformats.org/officeDocument/2006/relationships/hyperlink" Target="https://www.energy.gov/sites/default/files/2022-02/Solar%20Energy%20Supply%20Chain%20Report%20-%20Final.pdf" TargetMode="External"/><Relationship Id="rId1417" Type="http://schemas.openxmlformats.org/officeDocument/2006/relationships/hyperlink" Target="https://hystorenergy.com/mississippi/" TargetMode="External"/><Relationship Id="rId1624" Type="http://schemas.openxmlformats.org/officeDocument/2006/relationships/hyperlink" Target="https://www.azurspace.com/index.php/en/" TargetMode="External"/><Relationship Id="rId1831" Type="http://schemas.openxmlformats.org/officeDocument/2006/relationships/hyperlink" Target="https://www.bmwk.de/Redaktion/DE/Dossier/ses.html" TargetMode="External"/><Relationship Id="rId121" Type="http://schemas.openxmlformats.org/officeDocument/2006/relationships/hyperlink" Target="https://unfccc.int/cop28" TargetMode="External"/><Relationship Id="rId219" Type="http://schemas.openxmlformats.org/officeDocument/2006/relationships/hyperlink" Target="https://climate-club.org/" TargetMode="External"/><Relationship Id="rId426" Type="http://schemas.openxmlformats.org/officeDocument/2006/relationships/hyperlink" Target="https://erneuerbarekraftstoffe.de/" TargetMode="External"/><Relationship Id="rId633" Type="http://schemas.openxmlformats.org/officeDocument/2006/relationships/hyperlink" Target="https://www.bundesnetzagentur.de/DE/Fachthemen/ElektrizitaetundGas/Wasserstoff/Ausblick/start.html" TargetMode="External"/><Relationship Id="rId980" Type="http://schemas.openxmlformats.org/officeDocument/2006/relationships/hyperlink" Target="https://eur-lex.europa.eu/legal-content/EN/TXT/?uri=CELEX%3A52022DC0140&amp;qid=1649112555090" TargetMode="External"/><Relationship Id="rId1056" Type="http://schemas.openxmlformats.org/officeDocument/2006/relationships/hyperlink" Target="https://competition-policy.ec.europa.eu/document/download/ddb5f752-659a-41dc-9c39-fa01cc5eb880_en?filename=overview_of_TCTF_section_2.8_schemes.pdf" TargetMode="External"/><Relationship Id="rId1263" Type="http://schemas.openxmlformats.org/officeDocument/2006/relationships/hyperlink" Target="https://eur-lex.europa.eu/legal-content/DE/TXT/PDF/?uri=CELEX:02015D1814-20240101" TargetMode="External"/><Relationship Id="rId840" Type="http://schemas.openxmlformats.org/officeDocument/2006/relationships/hyperlink" Target="https://eur-lex.europa.eu/LexUriServ/LexUriServ.do?uri=CELEX:12012E/TXT:de:PDF" TargetMode="External"/><Relationship Id="rId938" Type="http://schemas.openxmlformats.org/officeDocument/2006/relationships/hyperlink" Target="https://eur-lex.europa.eu/legal-content/DE/TXT/PDF/?uri=CELEX:52020DC0021" TargetMode="External"/><Relationship Id="rId1470" Type="http://schemas.openxmlformats.org/officeDocument/2006/relationships/hyperlink" Target="https://therisefund.com/tpgriseclimate" TargetMode="External"/><Relationship Id="rId1568" Type="http://schemas.openxmlformats.org/officeDocument/2006/relationships/hyperlink" Target="https://seia.org/research-resources/solar-storage-supply-chain-dashboard/" TargetMode="External"/><Relationship Id="rId1775" Type="http://schemas.openxmlformats.org/officeDocument/2006/relationships/hyperlink" Target="https://www.thyssenkrupp.com/de/newsroom/pressemeldungen/pressedetailseite/gruner-wasserstoff-fur-grunen-stahl-aus-duisburg--steag-und-thyssenkrupp-planen-gemeinsames-wasserstoffprojekt-91318" TargetMode="External"/><Relationship Id="rId67" Type="http://schemas.openxmlformats.org/officeDocument/2006/relationships/hyperlink" Target="https://green-planet-energy.de/fileadmin/docs/publikationen/Studien/2023-02-06_GPE_Kurzstudie_Kohle-Mehremissionen_EnergyBrainpool_V20.pdf" TargetMode="External"/><Relationship Id="rId272" Type="http://schemas.openxmlformats.org/officeDocument/2006/relationships/hyperlink" Target="https://www.bmuv.de/themen/verkehr/wasserstoff-und-power-to-x/gruener-wasserstoff-und-ptx" TargetMode="External"/><Relationship Id="rId577" Type="http://schemas.openxmlformats.org/officeDocument/2006/relationships/hyperlink" Target="https://www.bundesnetzagentur.de/DE/Fachthemen/ElektrizitaetundGas/NEP/Gas/start.html" TargetMode="External"/><Relationship Id="rId700" Type="http://schemas.openxmlformats.org/officeDocument/2006/relationships/hyperlink" Target="https://eur-lex.europa.eu/legal-content/EN/TXT/?uri=CELEX:02023R1184-20240610" TargetMode="External"/><Relationship Id="rId1123" Type="http://schemas.openxmlformats.org/officeDocument/2006/relationships/hyperlink" Target="https://climate-adapt.eea.europa.eu/" TargetMode="External"/><Relationship Id="rId1330" Type="http://schemas.openxmlformats.org/officeDocument/2006/relationships/hyperlink" Target="https://www.bmwk.de/Redaktion/DE/Publikationen/Klimaschutz/leitmaerkte-fuer-klimafreundliche-grundstoffe.html%20" TargetMode="External"/><Relationship Id="rId1428" Type="http://schemas.openxmlformats.org/officeDocument/2006/relationships/hyperlink" Target="https://archesh2.org/california-energy-grid-has-gone-green-but-is-that-enough-to-meet-the-needs-of-a-warming-california/" TargetMode="External"/><Relationship Id="rId1635" Type="http://schemas.openxmlformats.org/officeDocument/2006/relationships/hyperlink" Target="https://www.meyerburger.com/de/newsroom/artikel/meyer-burger-beantragt-insolvenz-fuer-deutsche-gesellschaften" TargetMode="External"/><Relationship Id="rId132" Type="http://schemas.openxmlformats.org/officeDocument/2006/relationships/hyperlink" Target="https://asia.fes.de/news/cop28-asian-perspective" TargetMode="External"/><Relationship Id="rId784" Type="http://schemas.openxmlformats.org/officeDocument/2006/relationships/hyperlink" Target="https://www.klimaschutzvertraege.info/" TargetMode="External"/><Relationship Id="rId991" Type="http://schemas.openxmlformats.org/officeDocument/2006/relationships/hyperlink" Target="https://eur-lex.europa.eu/legal-content/EN/TXT/?uri=CELEX:52020DC0301" TargetMode="External"/><Relationship Id="rId1067" Type="http://schemas.openxmlformats.org/officeDocument/2006/relationships/hyperlink" Target="https://eur-lex.europa.eu/legal-content/DE/TXT/PDF/?uri=CELEX:52022XC0218(03)" TargetMode="External"/><Relationship Id="rId1842" Type="http://schemas.openxmlformats.org/officeDocument/2006/relationships/hyperlink" Target="https://www.die-bbh-gruppe.de/de/aktuelles/news/360-mio-euro-fuer-die-dekarbonisierung-industrieller-prozesse-die-bbh-gruppe-begleitet-glencore-nordenham-erfolgreich-bei-ihrem-foerderantrag-klimaschutzvertraege" TargetMode="External"/><Relationship Id="rId437" Type="http://schemas.openxmlformats.org/officeDocument/2006/relationships/hyperlink" Target="https://transport.ec.europa.eu/transport-modes/air/environment/refueleu-aviation_en" TargetMode="External"/><Relationship Id="rId644" Type="http://schemas.openxmlformats.org/officeDocument/2006/relationships/hyperlink" Target="https://www.bundesnetzagentur.de/DE/Fachthemen/ElektrizitaetundGas/NEP/Strom/start.html" TargetMode="External"/><Relationship Id="rId851" Type="http://schemas.openxmlformats.org/officeDocument/2006/relationships/hyperlink" Target="https://www.erneuerbare-energien.de/EE/Navigation/DE/Recht-Politik/EU_Richtlinie_fuer_EE/eu_richtlinie_fuer_erneuerbare_energien.html" TargetMode="External"/><Relationship Id="rId1274" Type="http://schemas.openxmlformats.org/officeDocument/2006/relationships/hyperlink" Target="https://www.dehst.de/SharedDocs/downloads/DE/praesentationen/nehs-infoveranstaltung-2022-2-cl.pdf?__blob=publicationFile&amp;v=3" TargetMode="External"/><Relationship Id="rId1481" Type="http://schemas.openxmlformats.org/officeDocument/2006/relationships/hyperlink" Target="https://www.gtai.de/de/trade/japan/branchen/regierung-wasserstoff-bietet-hohes-dekarbonisierungspotenzial--1011728" TargetMode="External"/><Relationship Id="rId1579" Type="http://schemas.openxmlformats.org/officeDocument/2006/relationships/hyperlink" Target="https://eur-lex.europa.eu/legal-content/EN/TXT/?uri=CELEX:52023JC0020" TargetMode="External"/><Relationship Id="rId1702" Type="http://schemas.openxmlformats.org/officeDocument/2006/relationships/hyperlink" Target="https://www.automobil-produktion.de/produktion/batteriestrategien-chinesischer-player-in-europa-104.html" TargetMode="External"/><Relationship Id="rId283" Type="http://schemas.openxmlformats.org/officeDocument/2006/relationships/hyperlink" Target="https://www.bankingonclimatechaos.org/wp-content/uploads/2024/07/BOCC_2024_vF3.pdf" TargetMode="External"/><Relationship Id="rId490" Type="http://schemas.openxmlformats.org/officeDocument/2006/relationships/hyperlink" Target="https://www.faire-energiewende.de/unsere-forderungen/" TargetMode="External"/><Relationship Id="rId504" Type="http://schemas.openxmlformats.org/officeDocument/2006/relationships/hyperlink" Target="https://www.bundesnetzagentur.de/DE/Fachthemen/ElektrizitaetundGas/ErneuerbareEnergien/ZahlenDatenInformationen/start.html" TargetMode="External"/><Relationship Id="rId711" Type="http://schemas.openxmlformats.org/officeDocument/2006/relationships/hyperlink" Target="https://kraftwerk-rostock.de/" TargetMode="External"/><Relationship Id="rId949" Type="http://schemas.openxmlformats.org/officeDocument/2006/relationships/hyperlink" Target="https://ec.europa.eu/regional_policy/funding/just-transition-fund/just-transition-platform/opportunities_en" TargetMode="External"/><Relationship Id="rId1134" Type="http://schemas.openxmlformats.org/officeDocument/2006/relationships/hyperlink" Target="https://ec.europa.eu/commission/presscorner/detail/en/ip_22_1936" TargetMode="External"/><Relationship Id="rId1341" Type="http://schemas.openxmlformats.org/officeDocument/2006/relationships/hyperlink" Target="https://www.dnr.de/aktuelles-termine/aktuelles/eu-rat-erzielt-einigung-ueber-strommarkt-reform" TargetMode="External"/><Relationship Id="rId1786" Type="http://schemas.openxmlformats.org/officeDocument/2006/relationships/hyperlink" Target="https://www.aspire2050.eu/sites/default/files/users/user85/p4planet_07.06.2022._final.pdf" TargetMode="External"/><Relationship Id="rId78" Type="http://schemas.openxmlformats.org/officeDocument/2006/relationships/hyperlink" Target="https://www.germanwatch.org/de/5910" TargetMode="External"/><Relationship Id="rId143" Type="http://schemas.openxmlformats.org/officeDocument/2006/relationships/hyperlink" Target="https://www.cop28.com/en/cop28-presidency" TargetMode="External"/><Relationship Id="rId350" Type="http://schemas.openxmlformats.org/officeDocument/2006/relationships/hyperlink" Target="https://www.bundesnetzagentur.de/DE/Fachthemen/ElektrizitaetundGas/NEP/start.html" TargetMode="External"/><Relationship Id="rId588" Type="http://schemas.openxmlformats.org/officeDocument/2006/relationships/hyperlink" Target="https://www.energieatlas.bayern.de/erneuerbare-energien/windenergie/themenplattform-planen-genehmigen/regionalplanung" TargetMode="External"/><Relationship Id="rId795" Type="http://schemas.openxmlformats.org/officeDocument/2006/relationships/hyperlink" Target="https://www.kunststoffe.de/a/news/habeck-ueberreicht-basf-klimaschutzvertr-6205260" TargetMode="External"/><Relationship Id="rId809" Type="http://schemas.openxmlformats.org/officeDocument/2006/relationships/hyperlink" Target="https://www.agora-industrie.de/fileadmin/Projekte/2021/2021_10_DE_KIT/A-EW_249_Klimaschutzvertraege-Industrietransformation-Studie_WEB.pdf" TargetMode="External"/><Relationship Id="rId1201" Type="http://schemas.openxmlformats.org/officeDocument/2006/relationships/hyperlink" Target="https://www.bfee-online.de/BfEE/DE/Effizienzpolitik/NationaleEnergieeffizienzpolitik/nationaleenergieeffizienzpolitik_node.html" TargetMode="External"/><Relationship Id="rId1439" Type="http://schemas.openxmlformats.org/officeDocument/2006/relationships/hyperlink" Target="https://www.whitehouse.gov/climate/" TargetMode="External"/><Relationship Id="rId1646" Type="http://schemas.openxmlformats.org/officeDocument/2006/relationships/hyperlink" Target="https://www.mdr.de/nachrichten/deutschland/wirtschaft/kemfert-solar-meyer-burger-100.html" TargetMode="External"/><Relationship Id="rId1853" Type="http://schemas.openxmlformats.org/officeDocument/2006/relationships/hyperlink" Target="https://www.flexotiefdruck.de/menschen-maerkte/bundeswirtschaftsminister-robert-habeck-uebergibt-klimaschutzvertrag-an-schumacher-packaging/" TargetMode="External"/><Relationship Id="rId9" Type="http://schemas.openxmlformats.org/officeDocument/2006/relationships/hyperlink" Target="https://edgar.jrc.ec.europa.eu/" TargetMode="External"/><Relationship Id="rId210" Type="http://schemas.openxmlformats.org/officeDocument/2006/relationships/hyperlink" Target="https://www.bafu.admin.ch/bafu/de/home/dokumentation/medienmitteilungen/anzeige-nsb-unter-medienmitteilungen.msg-id-77037.html" TargetMode="External"/><Relationship Id="rId448" Type="http://schemas.openxmlformats.org/officeDocument/2006/relationships/hyperlink" Target="https://www.dehst.de/DE/Nationaler-Emissionshandel/nEHS-verstehen/nehs-verstehen_node.html" TargetMode="External"/><Relationship Id="rId655" Type="http://schemas.openxmlformats.org/officeDocument/2006/relationships/hyperlink" Target="https://www.eca.europa.eu/de/publications/SR-2024-11" TargetMode="External"/><Relationship Id="rId862" Type="http://schemas.openxmlformats.org/officeDocument/2006/relationships/hyperlink" Target="https://data.consilium.europa.eu/doc/document/ST-169-2014-INIT/de/pdf" TargetMode="External"/><Relationship Id="rId1078" Type="http://schemas.openxmlformats.org/officeDocument/2006/relationships/hyperlink" Target="https://webgate.ec.europa.eu/competition/transparency/public?lang=en" TargetMode="External"/><Relationship Id="rId1285" Type="http://schemas.openxmlformats.org/officeDocument/2006/relationships/hyperlink" Target="https://www.esma.europa.eu/" TargetMode="External"/><Relationship Id="rId1492" Type="http://schemas.openxmlformats.org/officeDocument/2006/relationships/hyperlink" Target="https://de.wikipedia.org/wiki/Erneuerbare_Energien_in_China" TargetMode="External"/><Relationship Id="rId1506" Type="http://schemas.openxmlformats.org/officeDocument/2006/relationships/hyperlink" Target="https://en.wikipedia.org/wiki/Gansu_Wind_Farm" TargetMode="External"/><Relationship Id="rId1713" Type="http://schemas.openxmlformats.org/officeDocument/2006/relationships/hyperlink" Target="https://climate-club.org/wp-content/uploads/2025/01/Climate_Club_Work_Programme-_2025-26-final-.pdf" TargetMode="External"/><Relationship Id="rId294" Type="http://schemas.openxmlformats.org/officeDocument/2006/relationships/hyperlink" Target="https://www.bundesnetzagentur.de/DE/Fachthemen/ElektrizitaetundGas/Versorgungssicherheit/Erzeugungskapazitaeten/Kraftwerksliste/start.html" TargetMode="External"/><Relationship Id="rId308" Type="http://schemas.openxmlformats.org/officeDocument/2006/relationships/hyperlink" Target="https://expertenrat-klima.de" TargetMode="External"/><Relationship Id="rId515" Type="http://schemas.openxmlformats.org/officeDocument/2006/relationships/hyperlink" Target="https://www.agora-energiewende.de/publikationen/die-energiewende-in-deutschland-stand-der-dinge-2024" TargetMode="External"/><Relationship Id="rId722" Type="http://schemas.openxmlformats.org/officeDocument/2006/relationships/hyperlink" Target="https://www.bundesregierung.de/breg-de/aktuelles/ktf-sondervermoegen-2207614" TargetMode="External"/><Relationship Id="rId1145" Type="http://schemas.openxmlformats.org/officeDocument/2006/relationships/hyperlink" Target="https://ec.europa.eu/commission/presscorner/detail/en/ip_22_2238" TargetMode="External"/><Relationship Id="rId1352" Type="http://schemas.openxmlformats.org/officeDocument/2006/relationships/hyperlink" Target="https://ec.europa.eu/commission/presscorner/detail/en/IP_23_6644" TargetMode="External"/><Relationship Id="rId1797" Type="http://schemas.openxmlformats.org/officeDocument/2006/relationships/hyperlink" Target="https://www.eib.org/files/publications/20230323_investment_report_2023_chap5.pdf" TargetMode="External"/><Relationship Id="rId89" Type="http://schemas.openxmlformats.org/officeDocument/2006/relationships/hyperlink" Target="https://www.umweltbundesamt.de/themen/klima-energie/internationale-eu-klimapolitik/kyoto-protokoll" TargetMode="External"/><Relationship Id="rId154" Type="http://schemas.openxmlformats.org/officeDocument/2006/relationships/hyperlink" Target="https://www.boell.de/de/2024/11/29/die-cop29-verschaerft-die-klimaungerechtigkeit?gad_source=1&amp;gclid=CjwKCAjw--K_BhB5EiwAuwYoysyXYFil09XUfEm2iOtxg1eHgBGzcjQIkt7mdhyRqNU2L37WkalEoBoCKd8QAvD_BwE" TargetMode="External"/><Relationship Id="rId361" Type="http://schemas.openxmlformats.org/officeDocument/2006/relationships/hyperlink" Target="https://www.wirtschaft.nrw/themen/energie/erneuerbare-energien/task-force-ausbaubeschleunigung-windenergie-nrw" TargetMode="External"/><Relationship Id="rId599" Type="http://schemas.openxmlformats.org/officeDocument/2006/relationships/hyperlink" Target="https://www.netzerotc.com/wp-content/uploads/2023/09/NZTC-Hydrogen-Backbone-Link-Report-2.pdf?vgo_ee=zzFXxf0YZ6MFJDlSOW%2Bm5CC92CTtH0nJ8VOUF6Y5AuEMAxFIig%3D%3D%3AVJB75a0EtqMf2HHg5yOMAkuDoICt8NAx" TargetMode="External"/><Relationship Id="rId1005" Type="http://schemas.openxmlformats.org/officeDocument/2006/relationships/hyperlink" Target="https://ipcei-hydrogen.eu/" TargetMode="External"/><Relationship Id="rId1212" Type="http://schemas.openxmlformats.org/officeDocument/2006/relationships/hyperlink" Target="https://www.icao.int/environmental-protection/CORSIA/Pages/default.aspx" TargetMode="External"/><Relationship Id="rId1657" Type="http://schemas.openxmlformats.org/officeDocument/2006/relationships/hyperlink" Target="https://www.iwr.de/news/offshore-kurswechsel-bei-luxcara-siemens-gamesa-ersetzt-ming-yang-sicherheitsbedenken-ausgeschlossen-news39295" TargetMode="External"/><Relationship Id="rId459" Type="http://schemas.openxmlformats.org/officeDocument/2006/relationships/hyperlink" Target="https://ec.europa.eu/commission/presscorner/detail/en/ip_23_4105" TargetMode="External"/><Relationship Id="rId666" Type="http://schemas.openxmlformats.org/officeDocument/2006/relationships/hyperlink" Target="https://www.youtube.com/watch?v=YGVlD7PAaIY&amp;list=PLgT6DO8XUkP5oGh1ed710Lw5YvTpesX0U" TargetMode="External"/><Relationship Id="rId873" Type="http://schemas.openxmlformats.org/officeDocument/2006/relationships/hyperlink" Target="https://eur-lex.europa.eu/legal-content/DE/TXT/PDF/?uri=CELEX:32018R0842" TargetMode="External"/><Relationship Id="rId1089" Type="http://schemas.openxmlformats.org/officeDocument/2006/relationships/hyperlink" Target="https://competition-policy.ec.europa.eu/state-aid/ipcei/approved-ipceis/hydrogen-value-chain_en" TargetMode="External"/><Relationship Id="rId1296" Type="http://schemas.openxmlformats.org/officeDocument/2006/relationships/hyperlink" Target="https://www.n-tv.de/ticker/Bundesregierung-beantragt-Loeschung-von-Emissionszertifikaten-nach-Kohleausstieg-article25674863.html" TargetMode="External"/><Relationship Id="rId1517" Type="http://schemas.openxmlformats.org/officeDocument/2006/relationships/hyperlink" Target="https://de.wikipedia.org/wiki/Liste_der_Kernkraftwerke" TargetMode="External"/><Relationship Id="rId1724" Type="http://schemas.openxmlformats.org/officeDocument/2006/relationships/hyperlink" Target="https://eprel.ec.europa.eu/screen/home" TargetMode="External"/><Relationship Id="rId16" Type="http://schemas.openxmlformats.org/officeDocument/2006/relationships/hyperlink" Target="https://www.faz.net/aktuell/wissen/zukunftstechnologie-so-wird-aus-co2-reiner-kohlenstoff-18664300.html" TargetMode="External"/><Relationship Id="rId221" Type="http://schemas.openxmlformats.org/officeDocument/2006/relationships/hyperlink" Target="https://www.g7italy.it/wp-content/uploads/Apulia-G7-Leaders-Communique.pdf" TargetMode="External"/><Relationship Id="rId319" Type="http://schemas.openxmlformats.org/officeDocument/2006/relationships/hyperlink" Target="https://www.br.de/nachrichten/bayern/abkehr-von-klimaziel-scharfe-kritik-an-staatsregierung,UZT80QK" TargetMode="External"/><Relationship Id="rId526" Type="http://schemas.openxmlformats.org/officeDocument/2006/relationships/hyperlink" Target="https://www.monopolkommission.de/images/PDF/SG/9sg_energie_volltext.pdf" TargetMode="External"/><Relationship Id="rId1156" Type="http://schemas.openxmlformats.org/officeDocument/2006/relationships/hyperlink" Target="https://eur-lex.europa.eu/legal-content/EN/TXT/?uri=COM:2022:230:FIN" TargetMode="External"/><Relationship Id="rId1363" Type="http://schemas.openxmlformats.org/officeDocument/2006/relationships/hyperlink" Target="https://www.eca.europa.eu/de/publications/SR-2024-11" TargetMode="External"/><Relationship Id="rId733" Type="http://schemas.openxmlformats.org/officeDocument/2006/relationships/hyperlink" Target="https://www.energiewechsel.de/KAENEF/Redaktion/DE/Dossier/eew-energie-und-ressourceneffizienz-in-der-wirtschaft.html" TargetMode="External"/><Relationship Id="rId940" Type="http://schemas.openxmlformats.org/officeDocument/2006/relationships/hyperlink" Target="https://ec.europa.eu/regional_policy/funding/just-transition-fund_en" TargetMode="External"/><Relationship Id="rId1016" Type="http://schemas.openxmlformats.org/officeDocument/2006/relationships/hyperlink" Target="https://www.faz.net/aktuell/wirtschaft/wissing-entlaesst-abteilungsleiter-wegen-vetternwirtschaftsvorwurf-19522143.html" TargetMode="External"/><Relationship Id="rId1570" Type="http://schemas.openxmlformats.org/officeDocument/2006/relationships/hyperlink" Target="https://www.energy.gov/eere/solar/solar-manufacturing" TargetMode="External"/><Relationship Id="rId1668" Type="http://schemas.openxmlformats.org/officeDocument/2006/relationships/hyperlink" Target="https://competition-policy.ec.europa.eu/foreign-subsidies-regulation/legislation_en" TargetMode="External"/><Relationship Id="rId165" Type="http://schemas.openxmlformats.org/officeDocument/2006/relationships/hyperlink" Target="https://eur-lex.europa.eu/legal-content/DE/TXT/PDF/?uri=CELEX:22016A1019(01)%20" TargetMode="External"/><Relationship Id="rId372" Type="http://schemas.openxmlformats.org/officeDocument/2006/relationships/hyperlink" Target="https://www.gesetze-im-internet.de/windseeg/" TargetMode="External"/><Relationship Id="rId677" Type="http://schemas.openxmlformats.org/officeDocument/2006/relationships/hyperlink" Target="https://adnoc.ae/" TargetMode="External"/><Relationship Id="rId800" Type="http://schemas.openxmlformats.org/officeDocument/2006/relationships/hyperlink" Target="https://www.tagesschau.de/inland/innenpolitik/klimaschutz-industrie-habeck-100.html" TargetMode="External"/><Relationship Id="rId1223" Type="http://schemas.openxmlformats.org/officeDocument/2006/relationships/hyperlink" Target="https://climate.ec.europa.eu/eu-action/eu-emissions-trading-system-eu-ets_de?prefLang=de" TargetMode="External"/><Relationship Id="rId1430" Type="http://schemas.openxmlformats.org/officeDocument/2006/relationships/hyperlink" Target="https://www.hydrogen.energy.gov/interagency" TargetMode="External"/><Relationship Id="rId1528" Type="http://schemas.openxmlformats.org/officeDocument/2006/relationships/hyperlink" Target="https://tron.trade.ec.europa.eu/investigations/search" TargetMode="External"/><Relationship Id="rId232" Type="http://schemas.openxmlformats.org/officeDocument/2006/relationships/hyperlink" Target="https://www.climatechangenews.com/2025/04/09/new-global-fund-for-forests-is-a-bold-experiment-in-conservation-finance/" TargetMode="External"/><Relationship Id="rId884" Type="http://schemas.openxmlformats.org/officeDocument/2006/relationships/hyperlink" Target="https://eur-lex.europa.eu/LexUriServ/LexUriServ.do?uri=OJ:L:2009:140:0136:0148:DE:PDF" TargetMode="External"/><Relationship Id="rId1735" Type="http://schemas.openxmlformats.org/officeDocument/2006/relationships/hyperlink" Target="https://windeurope.org/newsroom/press-releases/eu-starts-investigation-into-chinese-wind-turbines-under-new-foreign-subsidies-regulation/%20" TargetMode="External"/><Relationship Id="rId27" Type="http://schemas.openxmlformats.org/officeDocument/2006/relationships/hyperlink" Target="https://climate-energy.eea.europa.eu/topics/climate-change-mitigation/land-and-forests/intro" TargetMode="External"/><Relationship Id="rId537" Type="http://schemas.openxmlformats.org/officeDocument/2006/relationships/hyperlink" Target="https://www.bmwk.de/Redaktion/DE/Publikationen/Energie/20240801-strommarktdesign-der-zukunft.pdf?__blob=publicationFile&amp;v=10" TargetMode="External"/><Relationship Id="rId744" Type="http://schemas.openxmlformats.org/officeDocument/2006/relationships/hyperlink" Target="https://de.wikipedia.org/wiki/Verordnung_zur_Durchf%C3%BChrung_der_Regelungen_der_Biokraftstoffquote" TargetMode="External"/><Relationship Id="rId951" Type="http://schemas.openxmlformats.org/officeDocument/2006/relationships/hyperlink" Target="https://eur-lex.europa.eu/legal-content/DE/TXT/PDF/?uri=CELEX:52020DC0021%20" TargetMode="External"/><Relationship Id="rId1167" Type="http://schemas.openxmlformats.org/officeDocument/2006/relationships/hyperlink" Target="https://single-market-economy.ec.europa.eu/document/download/fe4b7a0b-cfb9-49fd-9d37-139c1e23832d_en" TargetMode="External"/><Relationship Id="rId1374" Type="http://schemas.openxmlformats.org/officeDocument/2006/relationships/hyperlink" Target="https://commission.europa.eu/document/download/9db1c5c8-9e82-467b-ab6a-905feeb4b6b0_en?filename=Communication%20-%20Clean%20Industrial%20Deal_en.pdf&amp;prefLang=de" TargetMode="External"/><Relationship Id="rId1581" Type="http://schemas.openxmlformats.org/officeDocument/2006/relationships/hyperlink" Target="https://eur-lex.europa.eu/legal-content/EN/TXT/?uri=CELEX:32024R1866" TargetMode="External"/><Relationship Id="rId1679" Type="http://schemas.openxmlformats.org/officeDocument/2006/relationships/hyperlink" Target="https://eur-lex.europa.eu/legal-content/EN/TXT/PDF/?uri=OJ:L_202402754" TargetMode="External"/><Relationship Id="rId1802" Type="http://schemas.openxmlformats.org/officeDocument/2006/relationships/hyperlink" Target="file:///C:\Users\uwehe\Desktop\0000MyClimateText\%20https\www.agora-industrie.de\fileadmin\Projekte\2021\2021_10_DE_KIT\A-EW_249_Klimaschutzvertraege-Industrietransformation-Studie_WEB.pdf" TargetMode="External"/><Relationship Id="rId80" Type="http://schemas.openxmlformats.org/officeDocument/2006/relationships/hyperlink" Target="https://de.wikipedia.org/wiki/Offshore-Windpark_Butendiek" TargetMode="External"/><Relationship Id="rId176" Type="http://schemas.openxmlformats.org/officeDocument/2006/relationships/hyperlink" Target="https://www.boell.de/de/2024/11/29/die-cop29-verschaerft-die-klimaungerechtigkeit?gad_source=1&amp;gclid=CjwKCAjw--K_BhB5EiwAuwYoysyXYFil09XUfEm2iOtxg1eHgBGzcjQIkt7mdhyRqNU2L37WkalEoBoCKd8QAvD_BwE" TargetMode="External"/><Relationship Id="rId383" Type="http://schemas.openxmlformats.org/officeDocument/2006/relationships/hyperlink" Target="https://de.wikipedia.org/wiki/Offshore-Windpark_alpha_ventus" TargetMode="External"/><Relationship Id="rId590" Type="http://schemas.openxmlformats.org/officeDocument/2006/relationships/hyperlink" Target="https://www.netzentwicklungsplan.de/sites/default/files/2022-12/kostenschaetzungen_nep_2025_1_entwurf.pdf" TargetMode="External"/><Relationship Id="rId604" Type="http://schemas.openxmlformats.org/officeDocument/2006/relationships/hyperlink" Target="https://www.agora-energiewende.de/publikationen/die-energiewende-in-deutschland-stand-der-dinge-2024" TargetMode="External"/><Relationship Id="rId811" Type="http://schemas.openxmlformats.org/officeDocument/2006/relationships/hyperlink" Target="https://www.agora-industrie.de/fileadmin/Projekte/2021/2021_10_DE_KIT/A-EW_249_Klimaschutzvertraege-Industrietransformation-Studie_WEB.pdf" TargetMode="External"/><Relationship Id="rId1027" Type="http://schemas.openxmlformats.org/officeDocument/2006/relationships/hyperlink" Target="https://eur-lex.europa.eu/legal-content/DE/ALL/?uri=PI_COM:C(2023)7930" TargetMode="External"/><Relationship Id="rId1234" Type="http://schemas.openxmlformats.org/officeDocument/2006/relationships/hyperlink" Target="https://eur-lex.europa.eu/legal-content/DE/TXT/?uri=CELEX:32023R2830" TargetMode="External"/><Relationship Id="rId1441" Type="http://schemas.openxmlformats.org/officeDocument/2006/relationships/hyperlink" Target="https://en.wikipedia.org/wiki/Inflation_Reduction_Act" TargetMode="External"/><Relationship Id="rId243" Type="http://schemas.openxmlformats.org/officeDocument/2006/relationships/hyperlink" Target="https://www.vietnam-briefing.com/news/vietnams-jetp-agreement-unpacked.html/" TargetMode="External"/><Relationship Id="rId450" Type="http://schemas.openxmlformats.org/officeDocument/2006/relationships/hyperlink" Target="https://www.recht.bund.de/bgbl/1/2025/70/VO.html" TargetMode="External"/><Relationship Id="rId688" Type="http://schemas.openxmlformats.org/officeDocument/2006/relationships/hyperlink" Target="https://www.sefe.eu/newsroom/pressemitteilungen/sefe-eletrobras-und-enertech-kooperation-zur-lieferung-von-200000-tonnen-gruenem-wasserstoff-nach-deutschland" TargetMode="External"/><Relationship Id="rId895" Type="http://schemas.openxmlformats.org/officeDocument/2006/relationships/hyperlink" Target="https://commission.europa.eu/energy-climate-change-environment/implementation-eu-countries/energy-and-climate-governance-and-reporting/national-energy-and-climate-plans_en" TargetMode="External"/><Relationship Id="rId909" Type="http://schemas.openxmlformats.org/officeDocument/2006/relationships/hyperlink" Target="https://www.consilium.europa.eu/" TargetMode="External"/><Relationship Id="rId1080" Type="http://schemas.openxmlformats.org/officeDocument/2006/relationships/hyperlink" Target="https://eur-lex.europa.eu/legal-content/DE/TXT/?uri=celex:52022XC0218(03)" TargetMode="External"/><Relationship Id="rId1301" Type="http://schemas.openxmlformats.org/officeDocument/2006/relationships/hyperlink" Target="https://commission.europa.eu/strategy-and-policy/priorities-2019-2024/european-green-deal/delivering-european-green-deal_en" TargetMode="External"/><Relationship Id="rId1539" Type="http://schemas.openxmlformats.org/officeDocument/2006/relationships/hyperlink" Target="https://en.wikipedia.org/wiki/Qcells" TargetMode="External"/><Relationship Id="rId1746" Type="http://schemas.openxmlformats.org/officeDocument/2006/relationships/hyperlink" Target="https://www.energy4climate.nrw/aktuelles/newsroom/energiewende-wie-buergerinnen-und-kommunen-vom-lokalen-ausbau-erneuerbarer-energien-profitieren-koennen" TargetMode="External"/><Relationship Id="rId38" Type="http://schemas.openxmlformats.org/officeDocument/2006/relationships/hyperlink" Target="https://www.intereconomics.eu/contents/year/2024/number/1/article/strategic-climate-cooperation-and-greenhouse-gas-price-coordination.html" TargetMode="External"/><Relationship Id="rId103" Type="http://schemas.openxmlformats.org/officeDocument/2006/relationships/hyperlink" Target="https://unfccc.int/sites/default/files/NDC/2022-06/China%E2%80%99s%20Achievements%2C%20New%20Goals%20and%20New%20Measures%20for%20Nationally%20Determined%20Contributions.pdf" TargetMode="External"/><Relationship Id="rId310" Type="http://schemas.openxmlformats.org/officeDocument/2006/relationships/hyperlink" Target="https://expertenrat-klima.de/news/pressemitteilung_erk2024_sondergutachten-pruefung-projektionsdaten-2024-2/" TargetMode="External"/><Relationship Id="rId548" Type="http://schemas.openxmlformats.org/officeDocument/2006/relationships/hyperlink" Target="https://www.bundesverfassungsgericht.de/e/rs20220323_1bvr118717.html" TargetMode="External"/><Relationship Id="rId755" Type="http://schemas.openxmlformats.org/officeDocument/2006/relationships/hyperlink" Target="https://de.wikipedia.org/wiki/Treibhausgasminderungsquote" TargetMode="External"/><Relationship Id="rId962" Type="http://schemas.openxmlformats.org/officeDocument/2006/relationships/hyperlink" Target="https://ec.europa.eu/commission/presscorner/detail/en/ip_20_1259" TargetMode="External"/><Relationship Id="rId1178" Type="http://schemas.openxmlformats.org/officeDocument/2006/relationships/hyperlink" Target="https://ec.europa.eu/commission/presscorner/detail/en/ip_22_6495" TargetMode="External"/><Relationship Id="rId1385" Type="http://schemas.openxmlformats.org/officeDocument/2006/relationships/hyperlink" Target="https://eur-lex.europa.eu/legal-content/DE/TXT/PDF/?uri=CELEX:52025DC0079" TargetMode="External"/><Relationship Id="rId1592" Type="http://schemas.openxmlformats.org/officeDocument/2006/relationships/hyperlink" Target="https://eur-lex.europa.eu/legal-content/DE/TXT/PDF/?uri=OJ:L_202401735" TargetMode="External"/><Relationship Id="rId1606" Type="http://schemas.openxmlformats.org/officeDocument/2006/relationships/hyperlink" Target="https://commission.europa.eu/document/download/9db1c5c8-9e82-467b-ab6a-905feeb4b6b0_en?filename=Communication%20-%20Clean%20Industrial%20Deal_en.pdf&amp;prefLang=de" TargetMode="External"/><Relationship Id="rId1813" Type="http://schemas.openxmlformats.org/officeDocument/2006/relationships/hyperlink" Target="https://www.youtube.com/watch?v=YGVlD7PAaIY&amp;list=PLgT6DO8XUkP5oGh1ed710Lw5YvTpesX0U" TargetMode="External"/><Relationship Id="rId91" Type="http://schemas.openxmlformats.org/officeDocument/2006/relationships/hyperlink" Target="https://www.bpb.de/kurz-knapp/lexika/das-europalexikon/309438/pariser-klimaabkommen/" TargetMode="External"/><Relationship Id="rId187" Type="http://schemas.openxmlformats.org/officeDocument/2006/relationships/hyperlink" Target="https://www.cfp.energy/en/insight/corsia-phase-1-update" TargetMode="External"/><Relationship Id="rId394" Type="http://schemas.openxmlformats.org/officeDocument/2006/relationships/hyperlink" Target="https://www.bmwk.de/Redaktion/DE/Pressemitteilungen/2022/10/20221007-bundesrat-verabschiedet-ensig-30.html" TargetMode="External"/><Relationship Id="rId408" Type="http://schemas.openxmlformats.org/officeDocument/2006/relationships/hyperlink" Target="https://www.lee-nrw.de/positionen/stellungnahme-zur-photovoltaik-freiflaechenverordnung-1/" TargetMode="External"/><Relationship Id="rId615" Type="http://schemas.openxmlformats.org/officeDocument/2006/relationships/hyperlink" Target="https://www.youtube.com/watch?v=XywqozHsqno&amp;t=714s" TargetMode="External"/><Relationship Id="rId822" Type="http://schemas.openxmlformats.org/officeDocument/2006/relationships/hyperlink" Target="https://www.umweltbundesamt.de/sites/default/files/medien/1410/publikationen/2019-01-21_texte_07-2019_abwaermenutzungspotenziale-huettenwerke.pdf%20" TargetMode="External"/><Relationship Id="rId1038" Type="http://schemas.openxmlformats.org/officeDocument/2006/relationships/hyperlink" Target="https://op.europa.eu/en/publication-detail/-/publication/63c4944f-1698-11ec-b4fe-01aa75ed71a1/language-en" TargetMode="External"/><Relationship Id="rId1245" Type="http://schemas.openxmlformats.org/officeDocument/2006/relationships/hyperlink" Target="https://climate.ec.europa.eu/news-your-voice/news/ets-market-stability-reserve-reduce-auction-volume-over-272-million-allowances-between-september-2023-05-15_en" TargetMode="External"/><Relationship Id="rId1452" Type="http://schemas.openxmlformats.org/officeDocument/2006/relationships/hyperlink" Target="https://www.whitehouse.gov/presidential-actions/2025/01/unleashing-american-energy/" TargetMode="External"/><Relationship Id="rId254" Type="http://schemas.openxmlformats.org/officeDocument/2006/relationships/hyperlink" Target="https://unfccc.int/sites/default/files/NDC/2022-06/China%E2%80%99s%20Achievements%2C%20New%20Goals%20and%20New%20Measures%20for%20Nationally%20Determined%20Contributions.pdf" TargetMode="External"/><Relationship Id="rId699" Type="http://schemas.openxmlformats.org/officeDocument/2006/relationships/hyperlink" Target="https://eur-lex.europa.eu/legal-content/EN/TXT/?uri=CELEX:02018L2001-20240716" TargetMode="External"/><Relationship Id="rId1091" Type="http://schemas.openxmlformats.org/officeDocument/2006/relationships/hyperlink" Target="https://www.frontier-economics.com/media/wcmieebg/analyse-red-ii-kritieren.pdf" TargetMode="External"/><Relationship Id="rId1105" Type="http://schemas.openxmlformats.org/officeDocument/2006/relationships/hyperlink" Target="https://eur-lex.europa.eu/resource.html?uri=cellar:8343d7e8-8de6-11ee-8aa6-01aa75ed71a1.0012.02/DOC_2&amp;format=PDF" TargetMode="External"/><Relationship Id="rId1312" Type="http://schemas.openxmlformats.org/officeDocument/2006/relationships/hyperlink" Target="file:///C:\Users\uwehe\Desktop\%20https\taxation-customs.ec.europa.eu\system\files\2023-12\Guidance%20document%20on%20CBAM%20implementation%20for%20installation%20operators%20outside%20the%20EU.pdf" TargetMode="External"/><Relationship Id="rId1757" Type="http://schemas.openxmlformats.org/officeDocument/2006/relationships/hyperlink" Target="https://www.ihk.de/gera/innovation-umwelt/energie/energie-aktuell/strompreisumlagen-2024-5988762" TargetMode="External"/><Relationship Id="rId49" Type="http://schemas.openxmlformats.org/officeDocument/2006/relationships/hyperlink" Target="https://www.bundesnetzagentur.de/DE/Fachthemen/ElektrizitaetundGas/Versorgungssicherheit/Erzeugungskapazitaeten/Kraftwerksliste/start.html" TargetMode="External"/><Relationship Id="rId114" Type="http://schemas.openxmlformats.org/officeDocument/2006/relationships/hyperlink" Target="https://unfccc.int/process/bodies/supreme-bodies/conference-of-the-parties-cop" TargetMode="External"/><Relationship Id="rId461" Type="http://schemas.openxmlformats.org/officeDocument/2006/relationships/hyperlink" Target="https://www.dehst.de/SharedDocs/downloads/DE/praesentationen/nehs-infoveranstaltung-2022-2-cl.pdf?__blob=publicationFile&amp;v=3" TargetMode="External"/><Relationship Id="rId559" Type="http://schemas.openxmlformats.org/officeDocument/2006/relationships/hyperlink" Target="https://www.haufe.de/immobilien/wirtschaft-politik/solarpaket-gesetz-zum-ausbau-von-photovoltaik_84342_603188.html" TargetMode="External"/><Relationship Id="rId766" Type="http://schemas.openxmlformats.org/officeDocument/2006/relationships/hyperlink" Target="https://www.bundestag.de/resource/blob/1030966/00d4017c36f38362fc0e8295a22d5cd6/Wortprotokoll_125_Sitzung_oeA_Kohlendioxid-SpeicherungsG.pdf" TargetMode="External"/><Relationship Id="rId1189" Type="http://schemas.openxmlformats.org/officeDocument/2006/relationships/hyperlink" Target="https://single-market-economy.ec.europa.eu/publications/net-zero-industry-act_en" TargetMode="External"/><Relationship Id="rId1396" Type="http://schemas.openxmlformats.org/officeDocument/2006/relationships/hyperlink" Target="https://www.intereconomics.eu/contents/year/2024/number/1/article/strategic-climate-cooperation-and-greenhouse-gas-price-coordination.html" TargetMode="External"/><Relationship Id="rId1617" Type="http://schemas.openxmlformats.org/officeDocument/2006/relationships/hyperlink" Target="https://solaralliance.eu/news/dutch-government-allocates-e312-million-subsidy-for-solarnl-pushing-the-growth-of-solar-energy-manufacturing-industry-in-europe/" TargetMode="External"/><Relationship Id="rId1824" Type="http://schemas.openxmlformats.org/officeDocument/2006/relationships/hyperlink" Target="https://www.wasserstoffrat.de/fileadmin/wasserstoffrat/media/Dokumente/2024/2024-03-01_NWR-Stellungnahme_Umsetzung_RED_III_Industriequote.pdf" TargetMode="External"/><Relationship Id="rId198" Type="http://schemas.openxmlformats.org/officeDocument/2006/relationships/hyperlink" Target="https://www.boell.de/de/2020/03/10/redd-marktkonformer-waldschutz-mit-tuecken" TargetMode="External"/><Relationship Id="rId321" Type="http://schemas.openxmlformats.org/officeDocument/2006/relationships/hyperlink" Target="https://www.umwelt.niedersachsen.de/startseite/themen/klima/klimaschutz_in_niedersachsen/klimaschutz-in-niedersachsen-200413.html" TargetMode="External"/><Relationship Id="rId419" Type="http://schemas.openxmlformats.org/officeDocument/2006/relationships/hyperlink" Target="https://www.auto-motor-und-sport.de/verkehr/eu-klimaziel-plan-fit-for-55-kein-verbrenner-aus-e-fuel/" TargetMode="External"/><Relationship Id="rId626" Type="http://schemas.openxmlformats.org/officeDocument/2006/relationships/hyperlink" Target="https://www.bmbf.de/bmbf/de/forschung/energiewende-und-nachhaltiges-wirtschaften/nationale-wasserstoffstrategie/nationale-wasserstoffstrategie_node.html" TargetMode="External"/><Relationship Id="rId973" Type="http://schemas.openxmlformats.org/officeDocument/2006/relationships/hyperlink" Target="https://environment.ec.europa.eu/topics/waste-and-recycling/batteries_en" TargetMode="External"/><Relationship Id="rId1049" Type="http://schemas.openxmlformats.org/officeDocument/2006/relationships/hyperlink" Target="https://www.cep.eu/de/eu-themen/details/reform-der-strompreiskompensation.html" TargetMode="External"/><Relationship Id="rId1256" Type="http://schemas.openxmlformats.org/officeDocument/2006/relationships/hyperlink" Target="https://eur-lex.europa.eu/legal-content/DE/TXT/PDF/?uri=CELEX:02015D1814-20240101" TargetMode="External"/><Relationship Id="rId833" Type="http://schemas.openxmlformats.org/officeDocument/2006/relationships/hyperlink" Target="http://www.adtechamm.com/indonesia-aluminium-smelter/" TargetMode="External"/><Relationship Id="rId1116" Type="http://schemas.openxmlformats.org/officeDocument/2006/relationships/hyperlink" Target="https://ec.europa.eu/commission/presscorner/detail/en/IP_21_111" TargetMode="External"/><Relationship Id="rId1463" Type="http://schemas.openxmlformats.org/officeDocument/2006/relationships/hyperlink" Target="https://www.gtai.de/de/trade/indien/branchen/branchenstruktur-537346" TargetMode="External"/><Relationship Id="rId1670" Type="http://schemas.openxmlformats.org/officeDocument/2006/relationships/hyperlink" Target="https://www.owlaw.de/zollrecht/antidumpingzoll/antidumpingzoll-windkrafttuerme-aus-china/" TargetMode="External"/><Relationship Id="rId1768" Type="http://schemas.openxmlformats.org/officeDocument/2006/relationships/hyperlink" Target="https://www.bmwk.de/Redaktion/DE/Publikationen/Energie/stakeholderdialog-industrielle-produktionskapazitaten-fur-die-energiewende.html" TargetMode="External"/><Relationship Id="rId265" Type="http://schemas.openxmlformats.org/officeDocument/2006/relationships/hyperlink" Target="https://isa.int/" TargetMode="External"/><Relationship Id="rId472" Type="http://schemas.openxmlformats.org/officeDocument/2006/relationships/hyperlink" Target="https://www.dehst.de/SharedDocs/downloads/DE/spk/spk-transparenzbericht-2021.pdf?__blob=publicationFile&amp;v=3" TargetMode="External"/><Relationship Id="rId900" Type="http://schemas.openxmlformats.org/officeDocument/2006/relationships/hyperlink" Target="https://data.consilium.europa.eu/doc/document/ST-169-2014-INIT/de/pdf" TargetMode="External"/><Relationship Id="rId1323" Type="http://schemas.openxmlformats.org/officeDocument/2006/relationships/hyperlink" Target="https://taxation-customs.ec.europa.eu/carbon-border-adjustment-mechanism_en" TargetMode="External"/><Relationship Id="rId1530" Type="http://schemas.openxmlformats.org/officeDocument/2006/relationships/hyperlink" Target="https://www.solarbranche.de/news/nachrichten/artikel-23721-bundesregierung-nun-offiziell-gegen-eu-strafzolle-auf-chinesische-solarprodukte" TargetMode="External"/><Relationship Id="rId1628" Type="http://schemas.openxmlformats.org/officeDocument/2006/relationships/hyperlink" Target="https://www.norsun.no/artikler/norsun-discontinues-manufacturing-in-norway-and-concentrates-all-efforts-on-us-project" TargetMode="External"/><Relationship Id="rId125" Type="http://schemas.openxmlformats.org/officeDocument/2006/relationships/hyperlink" Target="https://unfccc.int/sites/default/files/resource/cma5_auv_10g_LnDfunding.pdf?download" TargetMode="External"/><Relationship Id="rId332" Type="http://schemas.openxmlformats.org/officeDocument/2006/relationships/hyperlink" Target="https://de.wikipedia.org/wiki/Milieudefensie_u.a._gegen_Royal_Dutch_Shell" TargetMode="External"/><Relationship Id="rId777" Type="http://schemas.openxmlformats.org/officeDocument/2006/relationships/hyperlink" Target="https://www.bmwk.de/Redaktion/DE/Publikationen/Energie/20240801-strommarktdesign-der-zukunft.pdf?__blob=publicationFile&amp;v=10" TargetMode="External"/><Relationship Id="rId984" Type="http://schemas.openxmlformats.org/officeDocument/2006/relationships/hyperlink" Target="https://eur-lex.europa.eu/legal-content/EN/TXT/?uri=CELEX:32024R1781" TargetMode="External"/><Relationship Id="rId1835" Type="http://schemas.openxmlformats.org/officeDocument/2006/relationships/hyperlink" Target="https://www.klimaschutzvertraege.info/news/notifizierung-bruessel-europaeische-kommission-zweites-gebotsverfahren-klimaschutzvertraege" TargetMode="External"/><Relationship Id="rId637" Type="http://schemas.openxmlformats.org/officeDocument/2006/relationships/hyperlink" Target="https://www.bundesnetzagentur.de/DE/Fachthemen/ElektrizitaetundGas/Wasserstoff/Kernnetz/start.html" TargetMode="External"/><Relationship Id="rId844" Type="http://schemas.openxmlformats.org/officeDocument/2006/relationships/hyperlink" Target="https://eur-lex.europa.eu/legal-content/en/HIS/?uri=CELEX:52001PC0581" TargetMode="External"/><Relationship Id="rId1267" Type="http://schemas.openxmlformats.org/officeDocument/2006/relationships/hyperlink" Target="https://eur-lex.europa.eu/legal-content/DE/TXT/PDF/?uri=CELEX:02003L0087-20230605" TargetMode="External"/><Relationship Id="rId1474" Type="http://schemas.openxmlformats.org/officeDocument/2006/relationships/hyperlink" Target="https://iea.blob.core.windows.net/assets/b80ed5fc-7483-4b65-ae73-d39d5b2de40d/Senegal2023.pdf" TargetMode="External"/><Relationship Id="rId1681" Type="http://schemas.openxmlformats.org/officeDocument/2006/relationships/hyperlink" Target="https://www.tagesschau.de/wirtschaft/unternehmen/byd-tesla-europa-100.html" TargetMode="External"/><Relationship Id="rId276" Type="http://schemas.openxmlformats.org/officeDocument/2006/relationships/hyperlink" Target="https://www.get-invest.eu/" TargetMode="External"/><Relationship Id="rId483" Type="http://schemas.openxmlformats.org/officeDocument/2006/relationships/hyperlink" Target="https://www.bmwk.de/Redaktion/DE/Pressemitteilungen/2024/03/20240327-strompreiskompensation-energieintensive-industrie.html" TargetMode="External"/><Relationship Id="rId690" Type="http://schemas.openxmlformats.org/officeDocument/2006/relationships/hyperlink" Target="https://www.energy4climate.nrw/aktuelles/newsroom/uniper-und-thyssenkrupp-uhde-starten-pilotprojekt-fuer-ammoniak-cracker-in-nrw" TargetMode="External"/><Relationship Id="rId704" Type="http://schemas.openxmlformats.org/officeDocument/2006/relationships/hyperlink" Target="https://www.bmwsb.bund.de/Webs/BMWSB/DE/themen/stadt-wohnen/WPG/kommunale-waermeplanung.html" TargetMode="External"/><Relationship Id="rId911" Type="http://schemas.openxmlformats.org/officeDocument/2006/relationships/hyperlink" Target="https://www.consilium.europa.eu/de/meetings/env/2023/06/20/" TargetMode="External"/><Relationship Id="rId1127" Type="http://schemas.openxmlformats.org/officeDocument/2006/relationships/hyperlink" Target="https://ec.europa.eu/commission/presscorner/detail/en/ip_21_4626" TargetMode="External"/><Relationship Id="rId1334" Type="http://schemas.openxmlformats.org/officeDocument/2006/relationships/hyperlink" Target="https://commission.europa.eu/topics/eu-competitiveness/draghi-report_en" TargetMode="External"/><Relationship Id="rId1541" Type="http://schemas.openxmlformats.org/officeDocument/2006/relationships/hyperlink" Target="https://www.centrotherm.de/de" TargetMode="External"/><Relationship Id="rId1779" Type="http://schemas.openxmlformats.org/officeDocument/2006/relationships/hyperlink" Target="https://ec.europa.eu/commission/presscorner/detail/en/ip_25_805" TargetMode="External"/><Relationship Id="rId40" Type="http://schemas.openxmlformats.org/officeDocument/2006/relationships/hyperlink" Target="https://gml.noaa.gov/ccgg/trends/" TargetMode="External"/><Relationship Id="rId136" Type="http://schemas.openxmlformats.org/officeDocument/2006/relationships/hyperlink" Target="https://www.cop28.com/en/news/2023/12/COP28-delivers-historic-consensus-in-Dubai-to-accelerate-climate-action" TargetMode="External"/><Relationship Id="rId343" Type="http://schemas.openxmlformats.org/officeDocument/2006/relationships/hyperlink" Target="https://www.bmwk.de/Redaktion/DE/Publikationen/Energie/stakeholderdialog-industrielle-produktionskapazitaten-fur-die-energiewende.html" TargetMode="External"/><Relationship Id="rId550" Type="http://schemas.openxmlformats.org/officeDocument/2006/relationships/hyperlink" Target="https://www.leka-mv.de/" TargetMode="External"/><Relationship Id="rId788" Type="http://schemas.openxmlformats.org/officeDocument/2006/relationships/hyperlink" Target="https://www.klimaschutzvertraege.info/news/konsultation-foerderrichtlinie-zweite-gebotsrunde" TargetMode="External"/><Relationship Id="rId995" Type="http://schemas.openxmlformats.org/officeDocument/2006/relationships/hyperlink" Target="https://ec.europa.eu/commission/presscorner/detail/en/ip_22_2829" TargetMode="External"/><Relationship Id="rId1180" Type="http://schemas.openxmlformats.org/officeDocument/2006/relationships/hyperlink" Target="https://eur-lex.europa.eu/legal-content/DE/TXT/?uri=CELEX:32022R2577" TargetMode="External"/><Relationship Id="rId1401" Type="http://schemas.openxmlformats.org/officeDocument/2006/relationships/hyperlink" Target="https://www.whitehouse.gov/presidential-actions/2025/01/unleashing-american-energy/" TargetMode="External"/><Relationship Id="rId1639" Type="http://schemas.openxmlformats.org/officeDocument/2006/relationships/hyperlink" Target="https://www.solarpowereurope.org/insights/interactive-data/solar-manufacturing-map" TargetMode="External"/><Relationship Id="rId1846" Type="http://schemas.openxmlformats.org/officeDocument/2006/relationships/hyperlink" Target="https://www.gmh-gruppe.de/pressemitteilungen/schmiedewerke-groeditz-gmbh-weiht-hochmodernen-schmiedeofen-ein/" TargetMode="External"/><Relationship Id="rId203" Type="http://schemas.openxmlformats.org/officeDocument/2006/relationships/hyperlink" Target="https://eur-lex.europa.eu/legal-content/DE/TXT/PDF/?uri=CELEX:52023XC0515(01)" TargetMode="External"/><Relationship Id="rId648" Type="http://schemas.openxmlformats.org/officeDocument/2006/relationships/hyperlink" Target="https://www.h2-powerd.de/" TargetMode="External"/><Relationship Id="rId855" Type="http://schemas.openxmlformats.org/officeDocument/2006/relationships/hyperlink" Target="https://www.euractiv.de/section/energie-und-umwelt/news/anhoerung-zum-eu-klimakommissar-hoekstra-beruft-sich-auf-grenzen-seines-amtes/" TargetMode="External"/><Relationship Id="rId1040" Type="http://schemas.openxmlformats.org/officeDocument/2006/relationships/hyperlink" Target="https://competition-policy.ec.europa.eu/publications/annual-reports_en" TargetMode="External"/><Relationship Id="rId1278" Type="http://schemas.openxmlformats.org/officeDocument/2006/relationships/hyperlink" Target="https://eur-lex.europa.eu/legal-content/DE/TXT/PDF/?uri=CELEX:52020XC0925(01)&amp;from=DE" TargetMode="External"/><Relationship Id="rId1485" Type="http://schemas.openxmlformats.org/officeDocument/2006/relationships/hyperlink" Target="https://www.jera.co.jp/en/" TargetMode="External"/><Relationship Id="rId1692" Type="http://schemas.openxmlformats.org/officeDocument/2006/relationships/hyperlink" Target="https://single-market-economy.ec.europa.eu/system/files/2023-03/SWD_2023_68_F1_STAFF_WORKING_PAPER_EN_V4_P1_2629849.PDF" TargetMode="External"/><Relationship Id="rId1706" Type="http://schemas.openxmlformats.org/officeDocument/2006/relationships/hyperlink" Target="https://www.bmwk.de/Redaktion/DE/Publikationen/Klimaschutz/leitmaerkte-fuer-klimafreundliche-grundstoffe.html%20" TargetMode="External"/><Relationship Id="rId287" Type="http://schemas.openxmlformats.org/officeDocument/2006/relationships/hyperlink" Target="https://influencemap.org/index.html" TargetMode="External"/><Relationship Id="rId410" Type="http://schemas.openxmlformats.org/officeDocument/2006/relationships/hyperlink" Target="https://www.bundesregierung.de/breg-de/aktuelles/koalitionsvertrag-2021-1990800" TargetMode="External"/><Relationship Id="rId494" Type="http://schemas.openxmlformats.org/officeDocument/2006/relationships/hyperlink" Target="https://www.eurochambres.eu/" TargetMode="External"/><Relationship Id="rId508" Type="http://schemas.openxmlformats.org/officeDocument/2006/relationships/hyperlink" Target="https://de.wikipedia.org/wiki/Direktvermarktung_erneuerbarer_Energien" TargetMode="External"/><Relationship Id="rId715" Type="http://schemas.openxmlformats.org/officeDocument/2006/relationships/hyperlink" Target="https://www.tagesschau.de/wirtschaft/energie/waermepumpe-esbjerg-100.html" TargetMode="External"/><Relationship Id="rId922" Type="http://schemas.openxmlformats.org/officeDocument/2006/relationships/hyperlink" Target="https://www.consilium.europa.eu/de/meetings/european-council/2019/12/12-13/" TargetMode="External"/><Relationship Id="rId1138" Type="http://schemas.openxmlformats.org/officeDocument/2006/relationships/hyperlink" Target="https://www.project-incite.eu/" TargetMode="External"/><Relationship Id="rId1345" Type="http://schemas.openxmlformats.org/officeDocument/2006/relationships/hyperlink" Target="https://eur-lex.europa.eu/legal-content/DE/TXT/PDF/?uri=CELEX:52021XC1230(02)" TargetMode="External"/><Relationship Id="rId1552" Type="http://schemas.openxmlformats.org/officeDocument/2006/relationships/hyperlink" Target="https://www.tradelawcounsel.com/solar" TargetMode="External"/><Relationship Id="rId147" Type="http://schemas.openxmlformats.org/officeDocument/2006/relationships/hyperlink" Target="https://poweringpastcoal.org/" TargetMode="External"/><Relationship Id="rId354" Type="http://schemas.openxmlformats.org/officeDocument/2006/relationships/hyperlink" Target="https://www.bundesregierung.de/breg-de/schwerpunkte/klimaschutz/planungs-und-genehmigungsbeschleunigung/pakt-fuer-beschleunigung-2246290" TargetMode="External"/><Relationship Id="rId799" Type="http://schemas.openxmlformats.org/officeDocument/2006/relationships/hyperlink" Target="https://www.wn.de/muenster/ziegelwerk-janinhoff-wasserstoff-umstieg-foerderung-habeck-3169735?pid=true&amp;npg" TargetMode="External"/><Relationship Id="rId1191" Type="http://schemas.openxmlformats.org/officeDocument/2006/relationships/hyperlink" Target="https://single-market-economy.ec.europa.eu/system/files/2023-03/SWD_2023_68_F1_STAFF_WORKING_PAPER_EN_V4_P1_2629849.PDF" TargetMode="External"/><Relationship Id="rId1205" Type="http://schemas.openxmlformats.org/officeDocument/2006/relationships/hyperlink" Target="https://eur-lex.europa.eu/legal-content/DE/TXT/PDF/?uri=CELEX:02003L0087-20230605" TargetMode="External"/><Relationship Id="rId1857" Type="http://schemas.openxmlformats.org/officeDocument/2006/relationships/hyperlink" Target="https://www.sefe-energy.eu/blog/detail/wasserstoffbedarf-waechst-erzeugung-und-import-heute-und-morgen.html" TargetMode="External"/><Relationship Id="rId51" Type="http://schemas.openxmlformats.org/officeDocument/2006/relationships/hyperlink" Target="https://www.tagesschau.de/ausland/amerika/china-klima-treibhausgase-100.html" TargetMode="External"/><Relationship Id="rId561" Type="http://schemas.openxmlformats.org/officeDocument/2006/relationships/hyperlink" Target="https://www.bundesregierung.de/breg-de/themen/tipps-fuer-verbraucher/solarpaket-photovoltaik-balkonkraftwerke-2213726%20" TargetMode="External"/><Relationship Id="rId659" Type="http://schemas.openxmlformats.org/officeDocument/2006/relationships/hyperlink" Target="https://www.umweltbundesamt.de/daten/energie/stromverbrauch" TargetMode="External"/><Relationship Id="rId866" Type="http://schemas.openxmlformats.org/officeDocument/2006/relationships/hyperlink" Target="https://de.wikipedia.org/wiki/EU-Emissionshandel" TargetMode="External"/><Relationship Id="rId1289" Type="http://schemas.openxmlformats.org/officeDocument/2006/relationships/hyperlink" Target="https://op.europa.eu/en/publication-detail/-/publication/5fac10fc-353a-11ec-bd8e-01aa75ed71a1" TargetMode="External"/><Relationship Id="rId1412" Type="http://schemas.openxmlformats.org/officeDocument/2006/relationships/hyperlink" Target="https://www.iea.org/policies/16255-inflation-reduction-act-2022-sec-13104-extension-and-modification-of-credit-for-carbon-oxide-sequestration" TargetMode="External"/><Relationship Id="rId1496" Type="http://schemas.openxmlformats.org/officeDocument/2006/relationships/hyperlink" Target="https://www.eu2020.de/eu2020-de/aktuelles/artikel/eu-china-videokonferenz-offener-dialog-eu2020-2384002" TargetMode="External"/><Relationship Id="rId1717" Type="http://schemas.openxmlformats.org/officeDocument/2006/relationships/hyperlink" Target="https://eur-lex.europa.eu/DE/legal-content/summary/the-eu-s-international-procurement-instrument-ipi.html?fromSummary=24" TargetMode="External"/><Relationship Id="rId214" Type="http://schemas.openxmlformats.org/officeDocument/2006/relationships/hyperlink" Target="https://eur-lex.europa.eu/legal-content/DE/TXT/PDF/?uri=CELEX:32023R0956" TargetMode="External"/><Relationship Id="rId298" Type="http://schemas.openxmlformats.org/officeDocument/2006/relationships/hyperlink" Target="https://de.wikipedia.org/wiki/Erneuerbare-Energien-Gesetz" TargetMode="External"/><Relationship Id="rId421" Type="http://schemas.openxmlformats.org/officeDocument/2006/relationships/hyperlink" Target="https://www.adac.de/news/aus-fuer-verbrenner-ab-2035/" TargetMode="External"/><Relationship Id="rId519" Type="http://schemas.openxmlformats.org/officeDocument/2006/relationships/hyperlink" Target="https://www-docs.b-tu.de/fg-energiewirtschaft/public/Veroeffentlichungen/WorkingPaper/2014%20Economics%20and%20Design%20of%20Balancing%20Power%20Markets%20in%20Germany.pdf" TargetMode="External"/><Relationship Id="rId1051" Type="http://schemas.openxmlformats.org/officeDocument/2006/relationships/hyperlink" Target="https://op.europa.eu/en/publication-detail/-/publication/ecfdc6fc-6191-11ed-92ed-01aa75ed71a1/language-en/format-PDF/source-search" TargetMode="External"/><Relationship Id="rId1149" Type="http://schemas.openxmlformats.org/officeDocument/2006/relationships/hyperlink" Target="https://commission.europa.eu/strategy-and-policy/priorities-2019-2024/european-green-deal/repowereu-affordable-secure-and-sustainable-energy-europe_de" TargetMode="External"/><Relationship Id="rId1356" Type="http://schemas.openxmlformats.org/officeDocument/2006/relationships/hyperlink" Target="https://eur-lex.europa.eu/legal-content/DE/TXT/PDF/?uri=CELEX:52020DC0021" TargetMode="External"/><Relationship Id="rId158" Type="http://schemas.openxmlformats.org/officeDocument/2006/relationships/hyperlink" Target="https://www.oecd.org/en/publications/mapping-financial-and-technical-assistance-for-industry-decarbonisation-in-emerging-markets-and-developing-economies_7ecda2b7-en.html" TargetMode="External"/><Relationship Id="rId726" Type="http://schemas.openxmlformats.org/officeDocument/2006/relationships/hyperlink" Target="https://www.bundesregierung.de/breg-de/aktuelles/der-klima-und-transformationsfonds-2024-2250738" TargetMode="External"/><Relationship Id="rId933" Type="http://schemas.openxmlformats.org/officeDocument/2006/relationships/hyperlink" Target="https://eur-lex.europa.eu/legal-content/DE/TXT/PDF/?uri=CELEX:52020DC0021" TargetMode="External"/><Relationship Id="rId1009" Type="http://schemas.openxmlformats.org/officeDocument/2006/relationships/hyperlink" Target="https://zeitung.faz.net/wirtschaft/2024-02-16" TargetMode="External"/><Relationship Id="rId1563" Type="http://schemas.openxmlformats.org/officeDocument/2006/relationships/hyperlink" Target="https://www.ise.fraunhofer.de/de/presse-und-medien/news/2024/fraunhofer-ise-demonstriert-erfolgreich-topcon-solarzelle-mit-24-prozent-wirkungsgrad-in-m10-format.html" TargetMode="External"/><Relationship Id="rId1770" Type="http://schemas.openxmlformats.org/officeDocument/2006/relationships/hyperlink" Target="https://www.siemens-energy.com/de/de/home/pressemitteilungen/siemens-energy-vereinbart-neue-garantiefazilitaet-und-loest-bund.html" TargetMode="External"/><Relationship Id="rId62" Type="http://schemas.openxmlformats.org/officeDocument/2006/relationships/hyperlink" Target="https://www.umweltbundesamt.de/presse/pressemitteilungen/uba-prognose-treibhausgasemissionen-sanken-2022-um" TargetMode="External"/><Relationship Id="rId365" Type="http://schemas.openxmlformats.org/officeDocument/2006/relationships/hyperlink" Target="https://www.giscloud.nrw.de/arcgis/apps/experiencebuilder/experience/?id=3fa3900e00c6485ebe5ae81fe639dd2b&amp;page=Home" TargetMode="External"/><Relationship Id="rId572" Type="http://schemas.openxmlformats.org/officeDocument/2006/relationships/hyperlink" Target="https://www.bmwk.de/Redaktion/DE/Publikationen/Klimaschutz/2024-systementwicklungsstrategie.pdf?__blob=publicationFile&amp;v=10" TargetMode="External"/><Relationship Id="rId1216" Type="http://schemas.openxmlformats.org/officeDocument/2006/relationships/hyperlink" Target="https://climate.ec.europa.eu/eu-action/eu-emissions-trading-system-eu-ets_de" TargetMode="External"/><Relationship Id="rId1423" Type="http://schemas.openxmlformats.org/officeDocument/2006/relationships/hyperlink" Target="https://www.energy.gov/oced/gulf-coast-hydrogen-hub" TargetMode="External"/><Relationship Id="rId1630" Type="http://schemas.openxmlformats.org/officeDocument/2006/relationships/hyperlink" Target="https://www.meyerburger.com/de/newsroom/artikel/meyer-burger-kuendigt-solarzell-produktion-in-colorado-usa-an" TargetMode="External"/><Relationship Id="rId225" Type="http://schemas.openxmlformats.org/officeDocument/2006/relationships/hyperlink" Target="https://www.g7italy.it/en/the-ministerial-meeting-on-climate-energy-and-environment-ends-with-the-adoption-of-a-joint-communique/" TargetMode="External"/><Relationship Id="rId432" Type="http://schemas.openxmlformats.org/officeDocument/2006/relationships/hyperlink" Target="https://www.atmosfair.de/de/klimaschutzprojekte/ptl-e-kerosin/ptl-anlage/" TargetMode="External"/><Relationship Id="rId877" Type="http://schemas.openxmlformats.org/officeDocument/2006/relationships/hyperlink" Target="https://eur-lex.europa.eu/legal-content/DE/TXT/PDF/?uri=CELEX:32020D2126" TargetMode="External"/><Relationship Id="rId1062" Type="http://schemas.openxmlformats.org/officeDocument/2006/relationships/hyperlink" Target="https://www.ndr.de/nachrichten/schleswig-holstein/Insolvenz-von-Northvolt-Was-plant-der-Konkursverwalter,northvolt590.html" TargetMode="External"/><Relationship Id="rId1728" Type="http://schemas.openxmlformats.org/officeDocument/2006/relationships/hyperlink" Target="https://www.umweltbundesamt.de/daten/energie/stromverbrauch" TargetMode="External"/><Relationship Id="rId737" Type="http://schemas.openxmlformats.org/officeDocument/2006/relationships/hyperlink" Target="https://www.kfw.de/kfw.de.html" TargetMode="External"/><Relationship Id="rId944" Type="http://schemas.openxmlformats.org/officeDocument/2006/relationships/hyperlink" Target="https://www.bmwk.de/Redaktion/DE/Downloads/A/abschlussbericht-kommission-wachstum-strukturwandel-und-beschaeftigung.pdf?__blob=publicationFile&amp;" TargetMode="External"/><Relationship Id="rId1367" Type="http://schemas.openxmlformats.org/officeDocument/2006/relationships/hyperlink" Target="https://www.europarl.europa.eu/doceo/document/TA-9-2023-0053_EN.pdf" TargetMode="External"/><Relationship Id="rId1574" Type="http://schemas.openxmlformats.org/officeDocument/2006/relationships/hyperlink" Target="https://policy.trade.ec.europa.eu/enforcement-and-protection/trade-defence/anti-dumping-measures_en" TargetMode="External"/><Relationship Id="rId1781" Type="http://schemas.openxmlformats.org/officeDocument/2006/relationships/hyperlink" Target="https://www.steelactionplan.eu/assets/Uploads/A-European-Steel-Plan-Online_C_P_F.pdf%20-%2019.06.2025" TargetMode="External"/><Relationship Id="rId73" Type="http://schemas.openxmlformats.org/officeDocument/2006/relationships/hyperlink" Target="https://de.wikipedia.org/wiki/Ausstieg_aus_der_Kohleverstromung_in_Deutschland" TargetMode="External"/><Relationship Id="rId169" Type="http://schemas.openxmlformats.org/officeDocument/2006/relationships/hyperlink" Target="https://www.cfp.energy/en/insight/cop29-article-6-approved" TargetMode="External"/><Relationship Id="rId376" Type="http://schemas.openxmlformats.org/officeDocument/2006/relationships/hyperlink" Target="https://www.bmwk.de/Redaktion/DE/Downloads/M-O/offshore-vereinbarung.pdf?__blob=publicationFile&amp;v=3" TargetMode="External"/><Relationship Id="rId583" Type="http://schemas.openxmlformats.org/officeDocument/2006/relationships/hyperlink" Target="https://sunfire.de/de/news/sunfire-baut-100-megawatt-elektrolyseur-fuer-rwe/" TargetMode="External"/><Relationship Id="rId790" Type="http://schemas.openxmlformats.org/officeDocument/2006/relationships/hyperlink" Target="https://www.klimaschutzvertraege.info/news/sprechstunde-zweites-vorbereitendes-verfahren" TargetMode="External"/><Relationship Id="rId804" Type="http://schemas.openxmlformats.org/officeDocument/2006/relationships/hyperlink" Target="https://www.flexotiefdruck.de/menschen-maerkte/bundeswirtschaftsminister-robert-habeck-uebergibt-klimaschutzvertrag-an-schumacher-packaging/" TargetMode="External"/><Relationship Id="rId1227" Type="http://schemas.openxmlformats.org/officeDocument/2006/relationships/hyperlink" Target="https://www.recht.bund.de/bgbl/1/2025/70/VO.html" TargetMode="External"/><Relationship Id="rId1434" Type="http://schemas.openxmlformats.org/officeDocument/2006/relationships/hyperlink" Target="https://www.energy.gov/eere/fuelcells/articles/us-department-energy-announces-8-million-projects-advance-electrolyzer-and" TargetMode="External"/><Relationship Id="rId1641" Type="http://schemas.openxmlformats.org/officeDocument/2006/relationships/hyperlink" Target="https://wtoplurilaterals.info/plural_initiative/the-mpia/" TargetMode="External"/><Relationship Id="rId4" Type="http://schemas.openxmlformats.org/officeDocument/2006/relationships/hyperlink" Target="https://unfccc.int/sites/default/files/resource/docs/cop3/l07a01.pdf?download" TargetMode="External"/><Relationship Id="rId236" Type="http://schemas.openxmlformats.org/officeDocument/2006/relationships/hyperlink" Target="https://g7.canada.ca/en/" TargetMode="External"/><Relationship Id="rId443" Type="http://schemas.openxmlformats.org/officeDocument/2006/relationships/hyperlink" Target="https://www.umweltbundesamt.de/daten/energie/stromverbrauch" TargetMode="External"/><Relationship Id="rId650" Type="http://schemas.openxmlformats.org/officeDocument/2006/relationships/hyperlink" Target="https://ec.europa.eu/commission/presscorner/detail/en/ip_22_2829" TargetMode="External"/><Relationship Id="rId888" Type="http://schemas.openxmlformats.org/officeDocument/2006/relationships/hyperlink" Target="https://eur-lex.europa.eu/legal-content/DE/TXT/PDF/?uri=CELEX:32018R1999" TargetMode="External"/><Relationship Id="rId1073" Type="http://schemas.openxmlformats.org/officeDocument/2006/relationships/hyperlink" Target="https://webgate.ec.europa.eu/competition/transparency/public?lang=en" TargetMode="External"/><Relationship Id="rId1280" Type="http://schemas.openxmlformats.org/officeDocument/2006/relationships/hyperlink" Target="https://www.dehst.de/SharedDocs/downloads/DE/spk/spk-transparenzbericht-2021.pdf?__blob=publicationFile&amp;v=3" TargetMode="External"/><Relationship Id="rId1501" Type="http://schemas.openxmlformats.org/officeDocument/2006/relationships/hyperlink" Target="https://www.international-climate-initiative.com/iki-medien/artikel/china_startet_nationalen_emissionshandel/" TargetMode="External"/><Relationship Id="rId1739" Type="http://schemas.openxmlformats.org/officeDocument/2006/relationships/hyperlink" Target="https://www.mdr.de/nachrichten/deutschland/wirtschaft/kemfert-solar-meyer-burger-100.html" TargetMode="External"/><Relationship Id="rId303" Type="http://schemas.openxmlformats.org/officeDocument/2006/relationships/hyperlink" Target="https://www.consilium.europa.eu/de/meetings/european-council/2019/12/12-13/" TargetMode="External"/><Relationship Id="rId748" Type="http://schemas.openxmlformats.org/officeDocument/2006/relationships/hyperlink" Target="https://biokraftstoffverband.de/biokraftstoffverband-begruesst-einfuehrung-von-b10-zeitgleich-wird-hvo100-zugelassen/" TargetMode="External"/><Relationship Id="rId955" Type="http://schemas.openxmlformats.org/officeDocument/2006/relationships/hyperlink" Target="https://www.ngfs.net/en/about-us/membership" TargetMode="External"/><Relationship Id="rId1140" Type="http://schemas.openxmlformats.org/officeDocument/2006/relationships/hyperlink" Target="https://industry.eea.europa.eu/" TargetMode="External"/><Relationship Id="rId1378" Type="http://schemas.openxmlformats.org/officeDocument/2006/relationships/hyperlink" Target="https://single-market-economy.ec.europa.eu/industry/industrial-alliances/european-clean-hydrogen-alliance/roundtables-european-clean-hydrogen-alliance_en" TargetMode="External"/><Relationship Id="rId1585" Type="http://schemas.openxmlformats.org/officeDocument/2006/relationships/hyperlink" Target="https://policy.trade.ec.europa.eu/news/commission-imposes-anti-dumping-duties-imports-steel-wind-towers-china-2021-12-16_en" TargetMode="External"/><Relationship Id="rId1792" Type="http://schemas.openxmlformats.org/officeDocument/2006/relationships/hyperlink" Target="https://www.wvstahl.de/stahlstandort-deutschland/" TargetMode="External"/><Relationship Id="rId1806" Type="http://schemas.openxmlformats.org/officeDocument/2006/relationships/hyperlink" Target="https://www.agora-industrie.de/publikationen/klimaschutzvertraege-fuer-die-industrietransformation-stahl" TargetMode="External"/><Relationship Id="rId84" Type="http://schemas.openxmlformats.org/officeDocument/2006/relationships/hyperlink" Target="https://www.nabu.de/wir-ueber-uns/organisation/31953.html" TargetMode="External"/><Relationship Id="rId387" Type="http://schemas.openxmlformats.org/officeDocument/2006/relationships/hyperlink" Target="https://www.basf.com/global/de/who-we-are/organization/group-companies/BASF_Renewable-Energy-GmbH/projects" TargetMode="External"/><Relationship Id="rId510" Type="http://schemas.openxmlformats.org/officeDocument/2006/relationships/hyperlink" Target="https://de.wikipedia.org/wiki/Direktvermarktung_erneuerbarer_Energien" TargetMode="External"/><Relationship Id="rId594" Type="http://schemas.openxmlformats.org/officeDocument/2006/relationships/hyperlink" Target="https://www.netzausbau.de/Vorhaben/uebersicht/report/de.html" TargetMode="External"/><Relationship Id="rId608" Type="http://schemas.openxmlformats.org/officeDocument/2006/relationships/hyperlink" Target="https://data.bundesnetzagentur.de/Bundesnetzagentur/SharedDocs/Mediathek/Monitoringberichte/MonitoringberichtEnergie2023.pdf" TargetMode="External"/><Relationship Id="rId815" Type="http://schemas.openxmlformats.org/officeDocument/2006/relationships/hyperlink" Target="https://www.agora-industrie.de/fileadmin/Projekte/2021/2021_10_DE_KIT/A-EW_249_Klimaschutzvertraege-Industrietransformation-Studie_WEB.pdf" TargetMode="External"/><Relationship Id="rId1238" Type="http://schemas.openxmlformats.org/officeDocument/2006/relationships/hyperlink" Target="https://eur-lex.europa.eu/legal-content/DE/TXT/PDF/?uri=CELEX:02003L0087-20230605" TargetMode="External"/><Relationship Id="rId1445" Type="http://schemas.openxmlformats.org/officeDocument/2006/relationships/hyperlink" Target="https://carboncredits.com/enbridges-1-2b-solar-plus-storage-project-fuels-path-to-net-zero/" TargetMode="External"/><Relationship Id="rId1652" Type="http://schemas.openxmlformats.org/officeDocument/2006/relationships/hyperlink" Target="https://de.wikipedia.org/wiki/GE_Wind_Energy" TargetMode="External"/><Relationship Id="rId247" Type="http://schemas.openxmlformats.org/officeDocument/2006/relationships/hyperlink" Target="https://www.g7germany.de/g7-en/current-information/g7-summit-outcomes-2058314" TargetMode="External"/><Relationship Id="rId899" Type="http://schemas.openxmlformats.org/officeDocument/2006/relationships/hyperlink" Target="https://european-union.europa.eu/institutions-law-budget/law/types-legislation_de" TargetMode="External"/><Relationship Id="rId1000" Type="http://schemas.openxmlformats.org/officeDocument/2006/relationships/hyperlink" Target="https://eur-lex.europa.eu/legal-content/EN/TXT/?uri=COM:2022:230:FIN" TargetMode="External"/><Relationship Id="rId1084" Type="http://schemas.openxmlformats.org/officeDocument/2006/relationships/hyperlink" Target="https://eur-lex.europa.eu/legal-content/DE/TXT/PDF/?uri=CELEX:52022XC0218(03)" TargetMode="External"/><Relationship Id="rId1305" Type="http://schemas.openxmlformats.org/officeDocument/2006/relationships/hyperlink" Target="https://transport.ec.europa.eu/transport-themes/clean-transport/alternative-fuels-sustainable-mobility-europe/alternative-fuels-infrastructure_en" TargetMode="External"/><Relationship Id="rId107" Type="http://schemas.openxmlformats.org/officeDocument/2006/relationships/hyperlink" Target="https://www.bundestag.de/resource/blob/576388/cf610835eaad175889f7e92dbc554ce1/PE-6-105-18-pdf-data.pdf" TargetMode="External"/><Relationship Id="rId454" Type="http://schemas.openxmlformats.org/officeDocument/2006/relationships/hyperlink" Target="https://www.umweltbundesamt.at/fileadmin/site/themen/mobilitaet/daten/ekz_pkm_tkm_verkehrsmittel.pdf" TargetMode="External"/><Relationship Id="rId661" Type="http://schemas.openxmlformats.org/officeDocument/2006/relationships/hyperlink" Target="https://www.wasserstoff-kompass.de/handlungsfelder" TargetMode="External"/><Relationship Id="rId759" Type="http://schemas.openxmlformats.org/officeDocument/2006/relationships/hyperlink" Target="https://de.wikipedia.org/wiki/Treibhausgasminderungsquote" TargetMode="External"/><Relationship Id="rId966" Type="http://schemas.openxmlformats.org/officeDocument/2006/relationships/hyperlink" Target="https://eur-lex.europa.eu/DE/legal-content/glossary/delegated-acts.html" TargetMode="External"/><Relationship Id="rId1291" Type="http://schemas.openxmlformats.org/officeDocument/2006/relationships/hyperlink" Target="https://www.vci.de/langfassungen/langfassungen-pdf/220407-vci-bewertung-msr-revision-2.pdf" TargetMode="External"/><Relationship Id="rId1389" Type="http://schemas.openxmlformats.org/officeDocument/2006/relationships/hyperlink" Target="https://www.arbeit-umwelt.de/wp-content/uploads/Klimapolitik_USA_StiftungIGBCE.pdf" TargetMode="External"/><Relationship Id="rId1512" Type="http://schemas.openxmlformats.org/officeDocument/2006/relationships/hyperlink" Target="https://en.wikipedia.org/wiki/List_of_countries_by_government_budget" TargetMode="External"/><Relationship Id="rId1596" Type="http://schemas.openxmlformats.org/officeDocument/2006/relationships/hyperlink" Target="https://eur-lex.europa.eu/resource.html?uri=cellar:903d35cc-c4a2-11ed-a05c-01aa75ed71a1.0003.02/DOC_2&amp;format=PDF" TargetMode="External"/><Relationship Id="rId1817" Type="http://schemas.openxmlformats.org/officeDocument/2006/relationships/hyperlink" Target="https://dechema.de/Themen/Studien+und+Positionspapiere/2024+03+H2+Kompass/_/H2K_IND_Chemie.pdf" TargetMode="External"/><Relationship Id="rId11" Type="http://schemas.openxmlformats.org/officeDocument/2006/relationships/hyperlink" Target="https://www.ascoco2.com/co2-und-trockeneiszubehoer/co2-lagerung/polyurethanisolierter-co2-lagertank" TargetMode="External"/><Relationship Id="rId314" Type="http://schemas.openxmlformats.org/officeDocument/2006/relationships/hyperlink" Target="https://www.bundesregierung.de/breg-de/themen/tipps-fuer-verbraucher/klimaschutzgesetz-2197410" TargetMode="External"/><Relationship Id="rId398" Type="http://schemas.openxmlformats.org/officeDocument/2006/relationships/hyperlink" Target="https://www.bundesnetzagentur.de/SharedDocs/Pressemitteilungen/DE/2025/20250108_EE.html" TargetMode="External"/><Relationship Id="rId521" Type="http://schemas.openxmlformats.org/officeDocument/2006/relationships/hyperlink" Target="https://de.wikipedia.org/wiki/Merit-Order" TargetMode="External"/><Relationship Id="rId619" Type="http://schemas.openxmlformats.org/officeDocument/2006/relationships/hyperlink" Target="https://www.bmwk.de/Redaktion/DE/Dossier/roadmap-systemstabilitaet.html" TargetMode="External"/><Relationship Id="rId1151" Type="http://schemas.openxmlformats.org/officeDocument/2006/relationships/hyperlink" Target="https://commission.europa.eu/strategy-and-policy/priorities-2019-2024/european-green-deal/repowereu-affordable-secure-and-sustainable-energy-europe_de" TargetMode="External"/><Relationship Id="rId1249" Type="http://schemas.openxmlformats.org/officeDocument/2006/relationships/hyperlink" Target="https://www.europarl.europa.eu/thinktank/de/document/EPRS_ATA(2023)739378" TargetMode="External"/><Relationship Id="rId95" Type="http://schemas.openxmlformats.org/officeDocument/2006/relationships/hyperlink" Target="https://unfccc.int/NDCREG" TargetMode="External"/><Relationship Id="rId160" Type="http://schemas.openxmlformats.org/officeDocument/2006/relationships/hyperlink" Target="https://www.helaba.com/media/docs/de/presse/news/studie-freiwillige-co2-kompensation-helaba-response.pdf" TargetMode="External"/><Relationship Id="rId826" Type="http://schemas.openxmlformats.org/officeDocument/2006/relationships/hyperlink" Target="https://www.giesserei-loessnitz.de/" TargetMode="External"/><Relationship Id="rId1011" Type="http://schemas.openxmlformats.org/officeDocument/2006/relationships/hyperlink" Target="https://www.faz.net/agenturmeldungen/dpa/wasserstoffpaket-genehmigt-gruenes-licht-fuer-foerderung-in-mv-19522907.html" TargetMode="External"/><Relationship Id="rId1109" Type="http://schemas.openxmlformats.org/officeDocument/2006/relationships/hyperlink" Target="https://eur-lex.europa.eu/legal-content/DE/ALL/?uri=PI_COM:C(2023)7930" TargetMode="External"/><Relationship Id="rId1456" Type="http://schemas.openxmlformats.org/officeDocument/2006/relationships/hyperlink" Target="https://de.wikipedia.org/wiki/Windenergie_in_China" TargetMode="External"/><Relationship Id="rId1663" Type="http://schemas.openxmlformats.org/officeDocument/2006/relationships/hyperlink" Target="https://windeurope.org/newsroom/press-releases/eu-starts-investigation-into-chinese-wind-turbines-under-new-foreign-subsidies-regulation/" TargetMode="External"/><Relationship Id="rId258" Type="http://schemas.openxmlformats.org/officeDocument/2006/relationships/hyperlink" Target="https://www.consilium.europa.eu/de/press/press-releases/2025/07/24/joint-eu-china-press-statement-on-climate/" TargetMode="External"/><Relationship Id="rId465" Type="http://schemas.openxmlformats.org/officeDocument/2006/relationships/hyperlink" Target="https://www.dehst.de/DE/Strompreiskompensation/SPK_verstehen/spk-verstehen_node.html" TargetMode="External"/><Relationship Id="rId672" Type="http://schemas.openxmlformats.org/officeDocument/2006/relationships/hyperlink" Target="https://www.euractiv.de/section/energie-und-umwelt/news/europas-wasserstoffbank-legt-los-800-millionen-euro-sollen-den-markt-anheizen/" TargetMode="External"/><Relationship Id="rId1095" Type="http://schemas.openxmlformats.org/officeDocument/2006/relationships/hyperlink" Target="https://energy.ec.europa.eu/topics/eus-energy-system/hydrogen/european-hydrogen-bank/mechanism-support-market-development-hydrogen_en" TargetMode="External"/><Relationship Id="rId1316" Type="http://schemas.openxmlformats.org/officeDocument/2006/relationships/hyperlink" Target="https://www.bmwk.de/Redaktion/DE/Artikel/Branchenfokus/branchenfokus-stahl-und-metall-01.html" TargetMode="External"/><Relationship Id="rId1523" Type="http://schemas.openxmlformats.org/officeDocument/2006/relationships/hyperlink" Target="https://eur-lex.europa.eu/legal-content/DE/TXT/HTML/?uri=CELEX:52012XC0906(02)" TargetMode="External"/><Relationship Id="rId1730" Type="http://schemas.openxmlformats.org/officeDocument/2006/relationships/hyperlink" Target="https://www.bundesnetzagentur.de/DE/Fachthemen/ElektrizitaetundGas/NEP/DL_Szenariorahmen/Genehm_SR_2025Strom.pdf?__blob=publicationFile&amp;v=2" TargetMode="External"/><Relationship Id="rId22" Type="http://schemas.openxmlformats.org/officeDocument/2006/relationships/hyperlink" Target="https://globalenergymonitor.org" TargetMode="External"/><Relationship Id="rId118" Type="http://schemas.openxmlformats.org/officeDocument/2006/relationships/hyperlink" Target="https://unfccc.int/sites/default/files/resource/Summary_GCA_COP28.pdf" TargetMode="External"/><Relationship Id="rId325" Type="http://schemas.openxmlformats.org/officeDocument/2006/relationships/hyperlink" Target="https://www.tagesschau.de/wirtschaft/energie/rwe-klima-klage-peru-landwirt-100.html" TargetMode="External"/><Relationship Id="rId532" Type="http://schemas.openxmlformats.org/officeDocument/2006/relationships/hyperlink" Target="https://www.bmwk.de/Redaktion/DE/Downloads/P-R/integrierter-gesamtbericht-ueber-die-arbeit-der-pkns.pdf?__blob=publicationFile&amp;v=4" TargetMode="External"/><Relationship Id="rId977" Type="http://schemas.openxmlformats.org/officeDocument/2006/relationships/hyperlink" Target="https://ec.europa.eu/commission/presscorner/detail/en/ip_20_2312" TargetMode="External"/><Relationship Id="rId1162" Type="http://schemas.openxmlformats.org/officeDocument/2006/relationships/hyperlink" Target="https://eur-lex.europa.eu/legal-content/DE/TXT/PDF/?uri=OJ:L_202302413" TargetMode="External"/><Relationship Id="rId1828" Type="http://schemas.openxmlformats.org/officeDocument/2006/relationships/hyperlink" Target="https://www.ewi.uni-koeln.de/cms/wp-content/uploads/2025/03/20250228_PB_H2_Strukturierung-1.pdf" TargetMode="External"/><Relationship Id="rId171" Type="http://schemas.openxmlformats.org/officeDocument/2006/relationships/hyperlink" Target="https://eur-lex.europa.eu/legal-content/DE/TXT/PDF/?uri=CELEX:22016A1019(01)%20" TargetMode="External"/><Relationship Id="rId837" Type="http://schemas.openxmlformats.org/officeDocument/2006/relationships/hyperlink" Target="https://www.consilium.europa.eu/media/ny3j24sm/much-more-than-a-market-report-by-enrico-letta.pdf" TargetMode="External"/><Relationship Id="rId1022" Type="http://schemas.openxmlformats.org/officeDocument/2006/relationships/hyperlink" Target="https://eur-lex.europa.eu/legal-content/DE/TXT/?uri=CELEX:32023R1185" TargetMode="External"/><Relationship Id="rId1467" Type="http://schemas.openxmlformats.org/officeDocument/2006/relationships/hyperlink" Target="https://shop.profec-ventus.com/product_info.php?language=de&amp;info=p423_windcube-lidar-mietservice--monthly-.html" TargetMode="External"/><Relationship Id="rId1674" Type="http://schemas.openxmlformats.org/officeDocument/2006/relationships/hyperlink" Target="https://vacuumschmelze.de/produkte/dauermagnete" TargetMode="External"/><Relationship Id="rId269" Type="http://schemas.openxmlformats.org/officeDocument/2006/relationships/hyperlink" Target="http://www.agora-industry.org" TargetMode="External"/><Relationship Id="rId476" Type="http://schemas.openxmlformats.org/officeDocument/2006/relationships/hyperlink" Target="https://www.destatis.de/DE/Themen/Wirtschaft/Preise/Publikationen/Energiepreise/energiepreisentwicklung-pdf-5619001.pdf?__blob=publicationFile" TargetMode="External"/><Relationship Id="rId683" Type="http://schemas.openxmlformats.org/officeDocument/2006/relationships/hyperlink" Target="https://www.lee-nrw.de/themen/wasserstoff/" TargetMode="External"/><Relationship Id="rId890" Type="http://schemas.openxmlformats.org/officeDocument/2006/relationships/hyperlink" Target="https://eur-lex.europa.eu/legal-content/DE/TXT/PDF/?uri=CELEX:32018R1999" TargetMode="External"/><Relationship Id="rId904" Type="http://schemas.openxmlformats.org/officeDocument/2006/relationships/hyperlink" Target="https://www.consilium.europa.eu/de/council-eu/voting-system/qualified-majority/" TargetMode="External"/><Relationship Id="rId1327" Type="http://schemas.openxmlformats.org/officeDocument/2006/relationships/hyperlink" Target="https://eur-lex.europa.eu/legal-content/DE/TXT/PDF/?uri=CELEX:32023R1773" TargetMode="External"/><Relationship Id="rId1534" Type="http://schemas.openxmlformats.org/officeDocument/2006/relationships/hyperlink" Target="https://www.wko.at/aussenwirtschaft/solarglas" TargetMode="External"/><Relationship Id="rId1741" Type="http://schemas.openxmlformats.org/officeDocument/2006/relationships/hyperlink" Target="https://www.bmwk.de/Redaktion/DE/Publikationen/Energie/stakeholderdialog-industrielle-produktionskapazitaten-fur-die-energiewende.html%20" TargetMode="External"/><Relationship Id="rId33" Type="http://schemas.openxmlformats.org/officeDocument/2006/relationships/hyperlink" Target="https://www.umweltbundesamt.de/themen/klima-energie/klimaschutz-energiepolitik-in-deutschland/treibhausgas-emissionen/die-treibhausgase" TargetMode="External"/><Relationship Id="rId129" Type="http://schemas.openxmlformats.org/officeDocument/2006/relationships/hyperlink" Target="https://www.ctc-n.org/calendar/events/22nd-ctcn-advisory-board-meeting" TargetMode="External"/><Relationship Id="rId336" Type="http://schemas.openxmlformats.org/officeDocument/2006/relationships/hyperlink" Target="https://www.icj-cij.org/sites/default/files/case-related/187/187-20250723-pre-01-00-en.pdf" TargetMode="External"/><Relationship Id="rId543" Type="http://schemas.openxmlformats.org/officeDocument/2006/relationships/hyperlink" Target="https://www.acer.europa.eu/remit/about-remit/remit-periodic-reports" TargetMode="External"/><Relationship Id="rId988" Type="http://schemas.openxmlformats.org/officeDocument/2006/relationships/hyperlink" Target="https://www.deutsche-rohstoffagentur.de/DERA/DE/Produkte/Schriftenreihe/schriftenreihe_node.html;jsessionid=516A6365323E4B5AEAB07A1EBD250CC6.internet991" TargetMode="External"/><Relationship Id="rId1173" Type="http://schemas.openxmlformats.org/officeDocument/2006/relationships/hyperlink" Target="https://iea.blob.core.windows.net/assets/07c88e41-c17b-4ea1-b35d-85dffd665de4/Finland2023-EnergyPolicyReview.pdf" TargetMode="External"/><Relationship Id="rId1380" Type="http://schemas.openxmlformats.org/officeDocument/2006/relationships/hyperlink" Target="https://ec.europa.eu/commission/presscorner/detail/en/ip_25_805" TargetMode="External"/><Relationship Id="rId1601" Type="http://schemas.openxmlformats.org/officeDocument/2006/relationships/hyperlink" Target="https://single-market-economy.ec.europa.eu/sectors/raw-materials/areas-specific-interest/critical-raw-materials/critical-raw-materials-act_en" TargetMode="External"/><Relationship Id="rId1839" Type="http://schemas.openxmlformats.org/officeDocument/2006/relationships/hyperlink" Target="https://www.vdz-online.de/zementindustrie/zahlen-und-daten/zementindustrie-in-deutschland" TargetMode="External"/><Relationship Id="rId182" Type="http://schemas.openxmlformats.org/officeDocument/2006/relationships/hyperlink" Target="https://blogs.worldbank.org/en/climatechange/from-paris-to-baku--article-6-rules-finally-take-flight-after-a-" TargetMode="External"/><Relationship Id="rId403" Type="http://schemas.openxmlformats.org/officeDocument/2006/relationships/hyperlink" Target="https://www.bundesnetzagentur.de/SharedDocs/Pressemitteilungen/DE/2025/20250108_EE.html" TargetMode="External"/><Relationship Id="rId750" Type="http://schemas.openxmlformats.org/officeDocument/2006/relationships/hyperlink" Target="https://de.wikipedia.org/wiki/GHG_Protocol" TargetMode="External"/><Relationship Id="rId848" Type="http://schemas.openxmlformats.org/officeDocument/2006/relationships/hyperlink" Target="https://climate.ec.europa.eu/eu-action/international-action-climate-change/kyoto-1st-commitment-period-2008-12_de" TargetMode="External"/><Relationship Id="rId1033" Type="http://schemas.openxmlformats.org/officeDocument/2006/relationships/hyperlink" Target="https://eur-lex.europa.eu/legal-content/DE/TXT/PDF/?uri=CELEX:52021XC1230(02)" TargetMode="External"/><Relationship Id="rId1478" Type="http://schemas.openxmlformats.org/officeDocument/2006/relationships/hyperlink" Target="https://iea.blob.core.windows.net/assets/b80ed5fc-7483-4b65-ae73-d39d5b2de40d/Senegal2023.pdf" TargetMode="External"/><Relationship Id="rId1685" Type="http://schemas.openxmlformats.org/officeDocument/2006/relationships/hyperlink" Target="https://www.basf.com/global/de/who-we-are/organization/locations/europe/german-sites/Schwarzheide/our-motivation/sustainability/chEErs" TargetMode="External"/><Relationship Id="rId487" Type="http://schemas.openxmlformats.org/officeDocument/2006/relationships/hyperlink" Target="https://www.kas.de/de/laenderberichte/detail/-/content/energiewende-in-indien" TargetMode="External"/><Relationship Id="rId610" Type="http://schemas.openxmlformats.org/officeDocument/2006/relationships/hyperlink" Target="https://www.energy-charts.info/charts/energy_redispatch/chart.htm?l=de&amp;c=DE" TargetMode="External"/><Relationship Id="rId694" Type="http://schemas.openxmlformats.org/officeDocument/2006/relationships/hyperlink" Target="https://maps.iee.fraunhofer.de/ptx-atlas/" TargetMode="External"/><Relationship Id="rId708" Type="http://schemas.openxmlformats.org/officeDocument/2006/relationships/hyperlink" Target="https://www.swrag.de/wir-fuer-hier/netze/waerme-netz" TargetMode="External"/><Relationship Id="rId915" Type="http://schemas.openxmlformats.org/officeDocument/2006/relationships/hyperlink" Target="https://www.bpb.de/kurz-knapp/lexika/das-europalexikon/176937/europaeisches-parlament-ep/" TargetMode="External"/><Relationship Id="rId1240" Type="http://schemas.openxmlformats.org/officeDocument/2006/relationships/hyperlink" Target="https://www.euractiv.de/section/finanzen-und-wirtschaft/news/experten-co2-zertifikate-fuer-industrie-und-strom-bis-2039-aufgebraucht/" TargetMode="External"/><Relationship Id="rId1338" Type="http://schemas.openxmlformats.org/officeDocument/2006/relationships/hyperlink" Target="https://www.consilium.europa.eu/de/policies/electricity-market-reform/" TargetMode="External"/><Relationship Id="rId1545" Type="http://schemas.openxmlformats.org/officeDocument/2006/relationships/hyperlink" Target="https://www.tradefocus.de/U.HermannsChinaOrdoDynamikReport2020.pdf" TargetMode="External"/><Relationship Id="rId347" Type="http://schemas.openxmlformats.org/officeDocument/2006/relationships/hyperlink" Target="https://www.bmwk.de/Redaktion/DE/Publikationen/Energie/20240801-strommarktdesign-der-zukunft.pdf?__blob=publicationFile&amp;v=10" TargetMode="External"/><Relationship Id="rId999" Type="http://schemas.openxmlformats.org/officeDocument/2006/relationships/hyperlink" Target="https://eur-lex.europa.eu/legal-content/EN/TXT/?uri=COM:2022:230:FIN" TargetMode="External"/><Relationship Id="rId1100" Type="http://schemas.openxmlformats.org/officeDocument/2006/relationships/hyperlink" Target="https://www.youtube.com/watch?v=YGVlD7PAaIY&amp;list=PLgT6DO8XUkP5oGh1ed710Lw5YvTpesX0U" TargetMode="External"/><Relationship Id="rId1184" Type="http://schemas.openxmlformats.org/officeDocument/2006/relationships/hyperlink" Target="https://single-market-economy.ec.europa.eu/sectors/raw-materials/areas-specific-interest/critical-raw-materials/critical-raw-materials-act_en" TargetMode="External"/><Relationship Id="rId1405" Type="http://schemas.openxmlformats.org/officeDocument/2006/relationships/hyperlink" Target="https://home.treasury.gov/policy-issues/climate-change" TargetMode="External"/><Relationship Id="rId1752" Type="http://schemas.openxmlformats.org/officeDocument/2006/relationships/hyperlink" Target="https://www.bmwk.de/Redaktion/DE/Publikationen/Energie/technologieuebersicht.html" TargetMode="External"/><Relationship Id="rId44" Type="http://schemas.openxmlformats.org/officeDocument/2006/relationships/hyperlink" Target="https://edgar.jrc.ec.europa.eu/" TargetMode="External"/><Relationship Id="rId554" Type="http://schemas.openxmlformats.org/officeDocument/2006/relationships/hyperlink" Target="https://www.gruene-fraktion-sachsen.de/presse/pressemitteilungen/2025/anhoerung-flaechenziel-und-beteiligungsgesetz-buendnisgruene-minderheitskoalition-tritt-bei-energiewende-auf-die-bremse" TargetMode="External"/><Relationship Id="rId761" Type="http://schemas.openxmlformats.org/officeDocument/2006/relationships/hyperlink" Target="https://www.bmwk.de/Redaktion/DE/Artikel/Industrie/weitere-entwicklung-ccs-technologien.html" TargetMode="External"/><Relationship Id="rId859" Type="http://schemas.openxmlformats.org/officeDocument/2006/relationships/hyperlink" Target="https://ec.europa.eu/commission/presscorner/detail/en/MEMO_14_465" TargetMode="External"/><Relationship Id="rId1391" Type="http://schemas.openxmlformats.org/officeDocument/2006/relationships/hyperlink" Target="https://usclimatealliance.org/" TargetMode="External"/><Relationship Id="rId1489" Type="http://schemas.openxmlformats.org/officeDocument/2006/relationships/hyperlink" Target="https://www.reuters.com/business/sustainable-business/indonesias-pertamina-japans-mitsui-agree-conduct-carbon-capture-study-2022-04-07/" TargetMode="External"/><Relationship Id="rId1612" Type="http://schemas.openxmlformats.org/officeDocument/2006/relationships/hyperlink" Target="https://holosolis.com/" TargetMode="External"/><Relationship Id="rId1696" Type="http://schemas.openxmlformats.org/officeDocument/2006/relationships/hyperlink" Target="https://www.automobilwoche.de/autohersteller/kooperation-vw-und-catl-wollen-gunstige-batterien-entwickeln" TargetMode="External"/><Relationship Id="rId193" Type="http://schemas.openxmlformats.org/officeDocument/2006/relationships/hyperlink" Target="https://www.klik.ch/en" TargetMode="External"/><Relationship Id="rId207" Type="http://schemas.openxmlformats.org/officeDocument/2006/relationships/hyperlink" Target="https://www.europarl.europa.eu/news/de/press-room/20240112IPR16772/parlament-nimmt-verbot-von-grunfarberei-und-irrefuhrender-produktinformation-an" TargetMode="External"/><Relationship Id="rId414" Type="http://schemas.openxmlformats.org/officeDocument/2006/relationships/hyperlink" Target="https://www.auto-motor-und-sport.de/verkehr/eu-klimaziel-plan-fit-for-55-kein-verbrenner-aus-e-fuel/" TargetMode="External"/><Relationship Id="rId498" Type="http://schemas.openxmlformats.org/officeDocument/2006/relationships/hyperlink" Target="https://www.bundesnetzagentur.de/DE/Fachthemen/ElektrizitaetundGas/Versorgungssicherheit/Netzengpassmanagement/start.html" TargetMode="External"/><Relationship Id="rId621" Type="http://schemas.openxmlformats.org/officeDocument/2006/relationships/hyperlink" Target="https://www.interconnector.de/energieblog/redispatch-2-0-was-anlagenbetreiber-jetzt-wissen-muessen/" TargetMode="External"/><Relationship Id="rId1044" Type="http://schemas.openxmlformats.org/officeDocument/2006/relationships/hyperlink" Target="https://www.ilb.de/media/dokumente/dokumente-fuer-programme/programmuebergreifende-dokumente/pruefung-des-begriffs-staatliche-beihilfe.pdf" TargetMode="External"/><Relationship Id="rId1251" Type="http://schemas.openxmlformats.org/officeDocument/2006/relationships/hyperlink" Target="https://eur-lex.europa.eu/legal-content/DE/TXT/PDF/?uri=CELEX:52023XC0515(01)" TargetMode="External"/><Relationship Id="rId1349" Type="http://schemas.openxmlformats.org/officeDocument/2006/relationships/hyperlink" Target="https://competition-policy.ec.europa.eu/system/files/2023-12/State_aid_TCTF_decisions.pdf" TargetMode="External"/><Relationship Id="rId260" Type="http://schemas.openxmlformats.org/officeDocument/2006/relationships/hyperlink" Target="https://www.umsicht.fraunhofer.de/" TargetMode="External"/><Relationship Id="rId719" Type="http://schemas.openxmlformats.org/officeDocument/2006/relationships/hyperlink" Target="https://www.gesetze-im-internet.de/ekfg/index.html" TargetMode="External"/><Relationship Id="rId926" Type="http://schemas.openxmlformats.org/officeDocument/2006/relationships/hyperlink" Target="https://environment.ec.europa.eu/topics/waste-and-recycling/batteries_en" TargetMode="External"/><Relationship Id="rId1111" Type="http://schemas.openxmlformats.org/officeDocument/2006/relationships/hyperlink" Target="https://cinea.ec.europa.eu/programmes/connecting-europe-facility_en" TargetMode="External"/><Relationship Id="rId1556" Type="http://schemas.openxmlformats.org/officeDocument/2006/relationships/hyperlink" Target="https://seia.org/news/solar-tariff-impacts/" TargetMode="External"/><Relationship Id="rId1763" Type="http://schemas.openxmlformats.org/officeDocument/2006/relationships/hyperlink" Target="https://www.destatis.de/DE/Themen/Gesellschaft-Umwelt/Bevoelkerung/Haushalte-Familien/_inhalt.html" TargetMode="External"/><Relationship Id="rId55" Type="http://schemas.openxmlformats.org/officeDocument/2006/relationships/hyperlink" Target="https://www.phoenix.de/sendungen/dokumentationen/lithium-am-oberrhein-a-4874652.html" TargetMode="External"/><Relationship Id="rId120" Type="http://schemas.openxmlformats.org/officeDocument/2006/relationships/hyperlink" Target="https://unfccc.int/documents/636584" TargetMode="External"/><Relationship Id="rId358" Type="http://schemas.openxmlformats.org/officeDocument/2006/relationships/hyperlink" Target="https://de.wikipedia.org/wiki/Offshore-Windpark_Butendiek" TargetMode="External"/><Relationship Id="rId565" Type="http://schemas.openxmlformats.org/officeDocument/2006/relationships/hyperlink" Target="https://www.bundestag.de/dokumente/textarchiv/2024/kw17-pa-klimaschutz-erneuerbare-energien-998966" TargetMode="External"/><Relationship Id="rId772" Type="http://schemas.openxmlformats.org/officeDocument/2006/relationships/hyperlink" Target="https://www.bundestag.de/resource/blob/995232/83483e66a3513b98b868a02722e4f651/WD-5-026-24-pdf.pdf" TargetMode="External"/><Relationship Id="rId1195" Type="http://schemas.openxmlformats.org/officeDocument/2006/relationships/hyperlink" Target="https://www.energy.gov/eere/solar/solar-manufacturing" TargetMode="External"/><Relationship Id="rId1209" Type="http://schemas.openxmlformats.org/officeDocument/2006/relationships/hyperlink" Target="https://eur-lex.europa.eu/legal-content/DE/TXT/PDF/?uri=CELEX:52020XC0925(01)&amp;from=DE" TargetMode="External"/><Relationship Id="rId1416" Type="http://schemas.openxmlformats.org/officeDocument/2006/relationships/hyperlink" Target="https://www.energy.gov/oced/regional-clean-hydrogen-hubs-0" TargetMode="External"/><Relationship Id="rId1623" Type="http://schemas.openxmlformats.org/officeDocument/2006/relationships/hyperlink" Target="https://www.meyerburger.com/de/solarprodukte-fuer-privat" TargetMode="External"/><Relationship Id="rId1830" Type="http://schemas.openxmlformats.org/officeDocument/2006/relationships/hyperlink" Target="https://ammoniaenergy.org/articles/neom-project-reaches-financial-close-30-year-offtake-secured/" TargetMode="External"/><Relationship Id="rId218" Type="http://schemas.openxmlformats.org/officeDocument/2006/relationships/hyperlink" Target="https://www.g7germany.de/g7-en/current-information/g7-summit-outcomes-2058314" TargetMode="External"/><Relationship Id="rId425" Type="http://schemas.openxmlformats.org/officeDocument/2006/relationships/hyperlink" Target="https://bmdv.bund.de/SharedDocs/DE/Artikel/K/15000-liter-gruenes-benzin.html" TargetMode="External"/><Relationship Id="rId632" Type="http://schemas.openxmlformats.org/officeDocument/2006/relationships/hyperlink" Target="https://www.wasserstoff-kompass.de/elektrolyse-monitor" TargetMode="External"/><Relationship Id="rId1055" Type="http://schemas.openxmlformats.org/officeDocument/2006/relationships/hyperlink" Target="https://eur-lex.europa.eu/legal-content/EN/TXT/?uri=CELEX:02023XC0317(01)-20231121" TargetMode="External"/><Relationship Id="rId1262" Type="http://schemas.openxmlformats.org/officeDocument/2006/relationships/hyperlink" Target="https://green-planet-energy.de/fileadmin/docs/publikationen/Studien/2023-02-06_GPE_Kurzstudie_Kohle-Mehremissionen_EnergyBrainpool_V20.pdf" TargetMode="External"/><Relationship Id="rId271" Type="http://schemas.openxmlformats.org/officeDocument/2006/relationships/hyperlink" Target="https://www.maghreb-post.de/marokko-wasserstoffabkommen-mit-den-niederlanden-in-vorbereitung/" TargetMode="External"/><Relationship Id="rId937" Type="http://schemas.openxmlformats.org/officeDocument/2006/relationships/hyperlink" Target="https://eur-lex.europa.eu/legal-content/EN/TXT/?uri=CELEX:32020R0852" TargetMode="External"/><Relationship Id="rId1122" Type="http://schemas.openxmlformats.org/officeDocument/2006/relationships/hyperlink" Target="https://ec.europa.eu/commission/presscorner/detail/en/ip_20_2323" TargetMode="External"/><Relationship Id="rId1567" Type="http://schemas.openxmlformats.org/officeDocument/2006/relationships/hyperlink" Target="https://suniva.com/suniva-solar-company-partners-with-corning-and-heliene-for-domestic-content/" TargetMode="External"/><Relationship Id="rId1774" Type="http://schemas.openxmlformats.org/officeDocument/2006/relationships/hyperlink" Target="https://www.bmwk.de/Redaktion/DE/Dossier/ses.html" TargetMode="External"/><Relationship Id="rId66" Type="http://schemas.openxmlformats.org/officeDocument/2006/relationships/hyperlink" Target="https://www.umweltbundesamt.de/daten/klima/treibhausgas-emissionen-in-deutschland%23emissionsentwicklung%20" TargetMode="External"/><Relationship Id="rId131" Type="http://schemas.openxmlformats.org/officeDocument/2006/relationships/hyperlink" Target="https://unfccc.int/cop28/outcomes" TargetMode="External"/><Relationship Id="rId369" Type="http://schemas.openxmlformats.org/officeDocument/2006/relationships/hyperlink" Target="https://www.umweltbundesamt.de/themen/ausbau-der-windenergie-an-land-2-prozent-ziel" TargetMode="External"/><Relationship Id="rId576" Type="http://schemas.openxmlformats.org/officeDocument/2006/relationships/hyperlink" Target="https://ko-nep.de/" TargetMode="External"/><Relationship Id="rId783" Type="http://schemas.openxmlformats.org/officeDocument/2006/relationships/hyperlink" Target="https://www.ostsee-zeitung.de/mecklenburg-vorpommern/bund-plant-neue-gas-kraftwerke-mv-ist-mit-rostock-und-lubmin-im-rennen-UMJLZEV7VNHKLBZ3RX7Q2JJXOA.html" TargetMode="External"/><Relationship Id="rId990" Type="http://schemas.openxmlformats.org/officeDocument/2006/relationships/hyperlink" Target="https://ec.europa.eu/commission/presscorner/detail/en/ip_20_1259" TargetMode="External"/><Relationship Id="rId1427" Type="http://schemas.openxmlformats.org/officeDocument/2006/relationships/hyperlink" Target="https://archesh2.org/" TargetMode="External"/><Relationship Id="rId1634" Type="http://schemas.openxmlformats.org/officeDocument/2006/relationships/hyperlink" Target="https://www.meyerburger.com/de/newsroom/artikel/meyer-burger-verlaengert-und-erhoeht-brueckenfinanzierung" TargetMode="External"/><Relationship Id="rId1841" Type="http://schemas.openxmlformats.org/officeDocument/2006/relationships/hyperlink" Target="https://www.klimaschutzvertraege.info/news/habeck_ueberreicht_klimaschutzvertraege" TargetMode="External"/><Relationship Id="rId229" Type="http://schemas.openxmlformats.org/officeDocument/2006/relationships/hyperlink" Target="https://www.consilium.europa.eu/media/l11hh2mb/g20-rio-de-janeiro-leaders-declaration-final.pdf" TargetMode="External"/><Relationship Id="rId436" Type="http://schemas.openxmlformats.org/officeDocument/2006/relationships/hyperlink" Target="https://eur-lex.europa.eu/legal-content/EN/TXT/?uri=CELEX:02023R2405-20231031" TargetMode="External"/><Relationship Id="rId643" Type="http://schemas.openxmlformats.org/officeDocument/2006/relationships/hyperlink" Target="https://www.bundesnetzagentur.de/SharedDocs/Pressemitteilungen/DE/2025/20250430_Szenariorahmen.html" TargetMode="External"/><Relationship Id="rId1066" Type="http://schemas.openxmlformats.org/officeDocument/2006/relationships/hyperlink" Target="https://eur-lex.europa.eu/legal-content/DE/TXT/PDF/?uri=CELEX:52022XC0218(03)%20" TargetMode="External"/><Relationship Id="rId1273" Type="http://schemas.openxmlformats.org/officeDocument/2006/relationships/hyperlink" Target="https://www.bgbl.de/xaver/bgbl/start.xav?startbk=Bundesanzeiger_BGBl&amp;jumpTo=bgbl121s3129.pdf" TargetMode="External"/><Relationship Id="rId1480" Type="http://schemas.openxmlformats.org/officeDocument/2006/relationships/hyperlink" Target="https://www.enecho.meti.go.jp/en/category/others/basic_plan/pdf/7th_outline.pdf" TargetMode="External"/><Relationship Id="rId850" Type="http://schemas.openxmlformats.org/officeDocument/2006/relationships/hyperlink" Target="https://eur-lex.europa.eu/LexUriServ/LexUriServ.do?uri=OJ:L:2009:140:0016:0062:de:PDF" TargetMode="External"/><Relationship Id="rId948" Type="http://schemas.openxmlformats.org/officeDocument/2006/relationships/hyperlink" Target="https://ec.europa.eu/regional_policy/funding/just-transition-fund/just-transition-platform/opportunities_en" TargetMode="External"/><Relationship Id="rId1133" Type="http://schemas.openxmlformats.org/officeDocument/2006/relationships/hyperlink" Target="https://ec.europa.eu/info/law/better-regulation/have-your-say/initiatives/14303-Methodology-to-determine-the-greenhouse-gas-GHG-emission-savings-of-low-carbon-fuels_en" TargetMode="External"/><Relationship Id="rId1578" Type="http://schemas.openxmlformats.org/officeDocument/2006/relationships/hyperlink" Target="https://ec.europa.eu/commission/presscorner/detail/en/ip_23_3358" TargetMode="External"/><Relationship Id="rId1701" Type="http://schemas.openxmlformats.org/officeDocument/2006/relationships/hyperlink" Target="https://technode.com/2023/09/18/chinese-battery-maker-gotion-begins-production-at-first-eu-factory/" TargetMode="External"/><Relationship Id="rId1785" Type="http://schemas.openxmlformats.org/officeDocument/2006/relationships/hyperlink" Target="https://www.aspire2050.eu/p4planet/about-p4planet" TargetMode="External"/><Relationship Id="rId77" Type="http://schemas.openxmlformats.org/officeDocument/2006/relationships/hyperlink" Target="https://eur-lex.europa.eu/legal-content/EN/TXT/PDF/?uri=CELEX:32023D1319" TargetMode="External"/><Relationship Id="rId282" Type="http://schemas.openxmlformats.org/officeDocument/2006/relationships/hyperlink" Target="https://www.bankingonclimatechaos.org/?bank=JPMorgan%20Chase" TargetMode="External"/><Relationship Id="rId503" Type="http://schemas.openxmlformats.org/officeDocument/2006/relationships/hyperlink" Target="https://www.bundesnetzagentur.de/DE/Fachthemen/ElektrizitaetundGas/Ausschreibungen/start.html" TargetMode="External"/><Relationship Id="rId587" Type="http://schemas.openxmlformats.org/officeDocument/2006/relationships/hyperlink" Target="https://www.wochenblatt-dlv.de/feld-stall/energie/windraeder-bald-besser-verteilt-teilfaechenziele-18-abloesen-583890%20" TargetMode="External"/><Relationship Id="rId710" Type="http://schemas.openxmlformats.org/officeDocument/2006/relationships/hyperlink" Target="https://www.ndr.de/fernsehen/sendungen/nordmagazin/Neues-Heizungsgesetz-Rostocks-kommunaler-Waermeplan-steht,nordmagazin108550.html" TargetMode="External"/><Relationship Id="rId808" Type="http://schemas.openxmlformats.org/officeDocument/2006/relationships/hyperlink" Target="https://www.agora-industrie.de/fileadmin/Projekte/2021/2021_10_DE_KIT/A-EW_249_Klimaschutzvertraege-Industrietransformation-Studie_WEB.pdf" TargetMode="External"/><Relationship Id="rId1340" Type="http://schemas.openxmlformats.org/officeDocument/2006/relationships/hyperlink" Target="https://www.consilium.europa.eu/de/press/press-releases/2023/10/17/reform-of-electricity-market-design-council-reaches-agreement/" TargetMode="External"/><Relationship Id="rId1438" Type="http://schemas.openxmlformats.org/officeDocument/2006/relationships/hyperlink" Target="https://www.rifs-potsdam.de/de/ergebnisse/publikationen/2023/eu-global-hydrogen-race-bringing-together-climate-action-energy" TargetMode="External"/><Relationship Id="rId1645" Type="http://schemas.openxmlformats.org/officeDocument/2006/relationships/hyperlink" Target="https://www.claudiakemfert.de/" TargetMode="External"/><Relationship Id="rId8" Type="http://schemas.openxmlformats.org/officeDocument/2006/relationships/hyperlink" Target="https://edgar.jrc.ec.europa.eu/" TargetMode="External"/><Relationship Id="rId142" Type="http://schemas.openxmlformats.org/officeDocument/2006/relationships/hyperlink" Target="https://www.irena.org/" TargetMode="External"/><Relationship Id="rId447" Type="http://schemas.openxmlformats.org/officeDocument/2006/relationships/hyperlink" Target="https://www.dehst.de/DE/Nationaler-Emissionshandel/nationaler-emissionshandel_node.html" TargetMode="External"/><Relationship Id="rId794" Type="http://schemas.openxmlformats.org/officeDocument/2006/relationships/hyperlink" Target="https://www.mw.niedersachsen.de/startseite/uber_uns/presse/presseinformationen/glencore-nordenham-erhalt-rund-360-millionen-euro-im-rahmen-des-bundesforderprogramms-klimaschutzvertrage-236450.html" TargetMode="External"/><Relationship Id="rId1077" Type="http://schemas.openxmlformats.org/officeDocument/2006/relationships/hyperlink" Target="https://ec.europa.eu/commission/presscorner/detail/en/ip_25_805" TargetMode="External"/><Relationship Id="rId1200" Type="http://schemas.openxmlformats.org/officeDocument/2006/relationships/hyperlink" Target="https://eur-lex.europa.eu/LexUriServ/LexUriServ.do?uri=OJ:L:2012:315:0001:0056:en:PDF" TargetMode="External"/><Relationship Id="rId1852" Type="http://schemas.openxmlformats.org/officeDocument/2006/relationships/hyperlink" Target="https://www.flexotiefdruck.de/oekologie-nachhaltigkeit/schumacher-packaging-auf-dem-weg-zur-klimaneutralitaet/" TargetMode="External"/><Relationship Id="rId654" Type="http://schemas.openxmlformats.org/officeDocument/2006/relationships/hyperlink" Target="https://eur-lex.europa.eu/legal-content/DE/ALL/?uri=PI_COM:C(2023)7930" TargetMode="External"/><Relationship Id="rId861" Type="http://schemas.openxmlformats.org/officeDocument/2006/relationships/hyperlink" Target="https://www.aboutamazon.eu/news/sustainability/engie-inaugurates-the-biggest-agrovoltaic-park-in-italy-which-will-help-to-power-amazons-operations" TargetMode="External"/><Relationship Id="rId959" Type="http://schemas.openxmlformats.org/officeDocument/2006/relationships/hyperlink" Target="https://www.consilium.europa.eu/de/policies/climate-change/" TargetMode="External"/><Relationship Id="rId1284" Type="http://schemas.openxmlformats.org/officeDocument/2006/relationships/hyperlink" Target="https://eur-lex.europa.eu/legal-content/DE/TXT/PDF/?uri=CELEX:32023D0852" TargetMode="External"/><Relationship Id="rId1491" Type="http://schemas.openxmlformats.org/officeDocument/2006/relationships/hyperlink" Target="https://edgar.jrc.ec.europa.eu/" TargetMode="External"/><Relationship Id="rId1505" Type="http://schemas.openxmlformats.org/officeDocument/2006/relationships/hyperlink" Target="https://de.wikipedia.org/wiki/Windenergie_in_China" TargetMode="External"/><Relationship Id="rId1589" Type="http://schemas.openxmlformats.org/officeDocument/2006/relationships/hyperlink" Target="https://tron.trade.ec.europa.eu/investigations/case-history?caseId=1895" TargetMode="External"/><Relationship Id="rId1712" Type="http://schemas.openxmlformats.org/officeDocument/2006/relationships/hyperlink" Target="https://climate-club.org/" TargetMode="External"/><Relationship Id="rId293" Type="http://schemas.openxmlformats.org/officeDocument/2006/relationships/hyperlink" Target="https://green-planet-energy.de/fileadmin/docs/publikationen/Studien/2023-02-06_GPE_Kurzstudie_Kohle-Mehremissionen_EnergyBrainpool_V20.pdf" TargetMode="External"/><Relationship Id="rId307" Type="http://schemas.openxmlformats.org/officeDocument/2006/relationships/hyperlink" Target="https://www.bmwk.de/Redaktion/DE/Downloads/klimaschutz/20231004-klimaschutzprogramm-der-bundesregierung.html" TargetMode="External"/><Relationship Id="rId514" Type="http://schemas.openxmlformats.org/officeDocument/2006/relationships/hyperlink" Target="https://de.linkedin.com/pulse/kann-strom-durch-eine-einfache-%C3%A4nderung-der-merit-order-middendorf-vvjhe?trk=public_post" TargetMode="External"/><Relationship Id="rId721" Type="http://schemas.openxmlformats.org/officeDocument/2006/relationships/hyperlink" Target="https://www.bundesregierung.de/breg-de/aktuelles/ktf-sondervermoegen-2207614" TargetMode="External"/><Relationship Id="rId1144" Type="http://schemas.openxmlformats.org/officeDocument/2006/relationships/hyperlink" Target="https://www.bundestag.de/dokumente/textarchiv/2023/kw09-pa-umwelt-industrieemissionen-934906" TargetMode="External"/><Relationship Id="rId1351" Type="http://schemas.openxmlformats.org/officeDocument/2006/relationships/hyperlink" Target="https://eur-lex.europa.eu/legal-content/EN/TXT/?uri=PI_COM:C(2023)7930" TargetMode="External"/><Relationship Id="rId1449" Type="http://schemas.openxmlformats.org/officeDocument/2006/relationships/hyperlink" Target="https://edition.cnn.com/2023/12/04/business/china-ev-batteries-us-regulations-intl-hnk/index.html" TargetMode="External"/><Relationship Id="rId1796" Type="http://schemas.openxmlformats.org/officeDocument/2006/relationships/hyperlink" Target="https://de.wikipedia.org/wiki/Steamcracking" TargetMode="External"/><Relationship Id="rId88" Type="http://schemas.openxmlformats.org/officeDocument/2006/relationships/hyperlink" Target="https://www.bpb.de/kurz-knapp/hintergrund-aktuell/305233/vor-15-jahren-das-kyoto-protokoll-tritt-in-kraft/" TargetMode="External"/><Relationship Id="rId153" Type="http://schemas.openxmlformats.org/officeDocument/2006/relationships/hyperlink" Target="https://www.faz.net/aktuell/politik/ausland/cop29-zeigt-warum-von-klima-diplomatie-gerade-nicht-viel-zu-erwarten-ist-110131612.html" TargetMode="External"/><Relationship Id="rId360" Type="http://schemas.openxmlformats.org/officeDocument/2006/relationships/hyperlink" Target="https://www.mhkbd.nrw/system/files/media/document/file/2024_08_19_mhkbd_mwike_munv_final_arbeitshilfe_wind-an-land_0.pdf" TargetMode="External"/><Relationship Id="rId598" Type="http://schemas.openxmlformats.org/officeDocument/2006/relationships/hyperlink" Target="https://www.bmwk.de/Redaktion/DE/Publikationen/Energie/technologieuebersicht.html" TargetMode="External"/><Relationship Id="rId819" Type="http://schemas.openxmlformats.org/officeDocument/2006/relationships/hyperlink" Target="https://www1.wdr.de/nachrichten/ruhrgebiet/wasserstoff-statt-koks-und-kohle-100.html" TargetMode="External"/><Relationship Id="rId1004" Type="http://schemas.openxmlformats.org/officeDocument/2006/relationships/hyperlink" Target="https://ec.europa.eu/commission/presscorner/detail/en/ip_22_5676" TargetMode="External"/><Relationship Id="rId1211" Type="http://schemas.openxmlformats.org/officeDocument/2006/relationships/hyperlink" Target="https://www.europarl.europa.eu/news/de/press-room/20221212IPR64527/klimaschutz-einigung-uber-ehrgeizigeren-eu-emissionshandel-ets" TargetMode="External"/><Relationship Id="rId1656" Type="http://schemas.openxmlformats.org/officeDocument/2006/relationships/hyperlink" Target="https://www.capital.de/wirtschaft-politik/china-entdeckt-die-europaeische-windindustrie-33737100.html" TargetMode="External"/><Relationship Id="rId220" Type="http://schemas.openxmlformats.org/officeDocument/2006/relationships/hyperlink" Target="https://www.g7italy.it/en/documents/" TargetMode="External"/><Relationship Id="rId458" Type="http://schemas.openxmlformats.org/officeDocument/2006/relationships/hyperlink" Target="https://www.dehst.de/DE/Nationaler-Emissionshandel/Carbon-Leakage/carbon-leakage_node.html" TargetMode="External"/><Relationship Id="rId665" Type="http://schemas.openxmlformats.org/officeDocument/2006/relationships/hyperlink" Target="https://www.youtube.com/watch?v=kHEF9GLpp0A" TargetMode="External"/><Relationship Id="rId872" Type="http://schemas.openxmlformats.org/officeDocument/2006/relationships/hyperlink" Target="https://eur-lex.europa.eu/legal-content/DE/TXT/?uri=CELEX:32018R0841" TargetMode="External"/><Relationship Id="rId1088" Type="http://schemas.openxmlformats.org/officeDocument/2006/relationships/hyperlink" Target="https://norddeutschewasserstoffstrategie.de/" TargetMode="External"/><Relationship Id="rId1295" Type="http://schemas.openxmlformats.org/officeDocument/2006/relationships/hyperlink" Target="https://www.dehst.de/DE/Europaeischer-Emissionshandel/Sanktionierung/sanktionierung_node.html" TargetMode="External"/><Relationship Id="rId1309" Type="http://schemas.openxmlformats.org/officeDocument/2006/relationships/hyperlink" Target="https://eur-lex.europa.eu/legal-content/DE/TXT/?uri=uriserv%3AOJ.L_.2023.130.01.0052.01.DEU&amp;toc=OJ%3AL%3A2023%3A130%3ATOC" TargetMode="External"/><Relationship Id="rId1516" Type="http://schemas.openxmlformats.org/officeDocument/2006/relationships/hyperlink" Target="https://www.oecd-nea.org/jcms/pl_28569/uranium-resources-production-and-demand-red-book" TargetMode="External"/><Relationship Id="rId1723" Type="http://schemas.openxmlformats.org/officeDocument/2006/relationships/hyperlink" Target="https://eur-lex.europa.eu/legal-content/EN/TXT/?uri=CELEX:32024R1781" TargetMode="External"/><Relationship Id="rId15" Type="http://schemas.openxmlformats.org/officeDocument/2006/relationships/hyperlink" Target="https://www.tvt.kit.edu/21_4251.php" TargetMode="External"/><Relationship Id="rId318" Type="http://schemas.openxmlformats.org/officeDocument/2006/relationships/hyperlink" Target="https://www.stmwi.bayern.de/energie/energiewende/energieplan-bayern-2040/" TargetMode="External"/><Relationship Id="rId525" Type="http://schemas.openxmlformats.org/officeDocument/2006/relationships/hyperlink" Target="https://www.monopolkommission.de/images/PDF/SG/7sg_energie_volltext.pdf" TargetMode="External"/><Relationship Id="rId732" Type="http://schemas.openxmlformats.org/officeDocument/2006/relationships/hyperlink" Target="https://www.klimaschutz.de/de" TargetMode="External"/><Relationship Id="rId1155" Type="http://schemas.openxmlformats.org/officeDocument/2006/relationships/hyperlink" Target="https://eur-lex.europa.eu/resource.html?uri=cellar:fc930f14-d7ae-11ec-a95f-01aa75ed71a1.0001.02/DOC_1&amp;format=PDF%20" TargetMode="External"/><Relationship Id="rId1362" Type="http://schemas.openxmlformats.org/officeDocument/2006/relationships/hyperlink" Target="https://data.consilium.europa.eu/doc/document/ST-13188-2023-ADD-1-REV-3/DE/pdf" TargetMode="External"/><Relationship Id="rId99" Type="http://schemas.openxmlformats.org/officeDocument/2006/relationships/hyperlink" Target="https://www.climatechangenews.com/2022/11/20/what-was-decided-at-cop27-climate-talks-in-sharm-el-sheikh/" TargetMode="External"/><Relationship Id="rId164" Type="http://schemas.openxmlformats.org/officeDocument/2006/relationships/hyperlink" Target="https://unfccc.int/process-and-meetings/the-paris-agreement/article-64-mechanism" TargetMode="External"/><Relationship Id="rId371" Type="http://schemas.openxmlformats.org/officeDocument/2006/relationships/hyperlink" Target="https://www.energiezukunft.eu/erneuerbare-energien/windenergie/windenergie-was-zwei-prozent-der-landesflaeche-bedeuten" TargetMode="External"/><Relationship Id="rId1015" Type="http://schemas.openxmlformats.org/officeDocument/2006/relationships/hyperlink" Target="https://ec.europa.eu/commission/presscorner/detail/en/ip_24_2851" TargetMode="External"/><Relationship Id="rId1222" Type="http://schemas.openxmlformats.org/officeDocument/2006/relationships/hyperlink" Target="https://www.europarl.europa.eu/RegData/etudes/ATAG/2022/729455/EPRS_ATA(2022)729455_DE.pdf" TargetMode="External"/><Relationship Id="rId1667" Type="http://schemas.openxmlformats.org/officeDocument/2006/relationships/hyperlink" Target="https://competition-policy.ec.europa.eu/foreign-subsidies-regulation_en" TargetMode="External"/><Relationship Id="rId469" Type="http://schemas.openxmlformats.org/officeDocument/2006/relationships/hyperlink" Target="https://www.dehst.de/DE/Themen/SPK/spk_node.html" TargetMode="External"/><Relationship Id="rId676" Type="http://schemas.openxmlformats.org/officeDocument/2006/relationships/hyperlink" Target="https://www.h2-global.org/news" TargetMode="External"/><Relationship Id="rId883" Type="http://schemas.openxmlformats.org/officeDocument/2006/relationships/hyperlink" Target="https://www.bmwk.de/Redaktion/DE/Pressemitteilungen/2022/10/20221024-deutschland-erwirbt-emissionsberechtigungen-fur-verfehlte-klimaziele-zwischen-2013-bis-2020.html" TargetMode="External"/><Relationship Id="rId1099" Type="http://schemas.openxmlformats.org/officeDocument/2006/relationships/hyperlink" Target="https://www.ewi.uni-koeln.de/cms/wp-content/uploads/2025/03/20250228_PB_H2_Strukturierung-1.pdf" TargetMode="External"/><Relationship Id="rId1527" Type="http://schemas.openxmlformats.org/officeDocument/2006/relationships/hyperlink" Target="https://www.wko.at/oe/handel/maschinen-technologie/info-fotovoltaikanlagen-aus-china-2015-07-02.pdf" TargetMode="External"/><Relationship Id="rId1734" Type="http://schemas.openxmlformats.org/officeDocument/2006/relationships/hyperlink" Target="https://www.bundesnetzagentur.de/DE/Fachthemen/ElektrizitaetundGas/NEP/DL_Szenariorahmen/Genehm_SR_2025Strom.pdf?__blob=publicationFile&amp;v=2" TargetMode="External"/><Relationship Id="rId26" Type="http://schemas.openxmlformats.org/officeDocument/2006/relationships/hyperlink" Target="https://www.umsicht.fraunhofer.de/de/carbonmanagement/kohlenstoffkreislauf.html" TargetMode="External"/><Relationship Id="rId231" Type="http://schemas.openxmlformats.org/officeDocument/2006/relationships/hyperlink" Target="https://www.consilium.europa.eu/media/l11hh2mb/g20-rio-de-janeiro-leaders-declaration-final.pdf" TargetMode="External"/><Relationship Id="rId329" Type="http://schemas.openxmlformats.org/officeDocument/2006/relationships/hyperlink" Target="https://unfccc.int/sites/default/files/NDC/2022-11/Swiss%20NDC%202021-2030%20incl%20ICTU_0.pdf" TargetMode="External"/><Relationship Id="rId536" Type="http://schemas.openxmlformats.org/officeDocument/2006/relationships/hyperlink" Target="https://www.bmwk.de/Redaktion/DE/Downloads/I/integration-lectricit-market.html" TargetMode="External"/><Relationship Id="rId1166" Type="http://schemas.openxmlformats.org/officeDocument/2006/relationships/hyperlink" Target="https://www.bundestag.de/presse/hib/kurzmeldungen-1001456" TargetMode="External"/><Relationship Id="rId1373" Type="http://schemas.openxmlformats.org/officeDocument/2006/relationships/hyperlink" Target="https://www.cep.eu/de/eu-themen/details/clean-industrial-deal.html" TargetMode="External"/><Relationship Id="rId175" Type="http://schemas.openxmlformats.org/officeDocument/2006/relationships/hyperlink" Target="https://www.cfp.energy/en/insight/why-is-article-6-so-relevant-to-the-vcm-from-a-quality-and-integrity-perspective" TargetMode="External"/><Relationship Id="rId743" Type="http://schemas.openxmlformats.org/officeDocument/2006/relationships/hyperlink" Target="https://de.wikipedia.org/wiki/Verordnung_zur_Durchf%C3%BChrung_des_Bundes-Immissionsschutzgesetzes" TargetMode="External"/><Relationship Id="rId950" Type="http://schemas.openxmlformats.org/officeDocument/2006/relationships/hyperlink" Target="https://ec.europa.eu/regional_policy/funding/just-transition-fund/just-transition-platform/opportunities_en" TargetMode="External"/><Relationship Id="rId1026" Type="http://schemas.openxmlformats.org/officeDocument/2006/relationships/hyperlink" Target="https://data.consilium.europa.eu/doc/document/ST-13188-2023-ADD-1-REV-3/de/pdf" TargetMode="External"/><Relationship Id="rId1580" Type="http://schemas.openxmlformats.org/officeDocument/2006/relationships/hyperlink" Target="https://tron.trade.ec.europa.eu/investigations/case-history?caseId=2684" TargetMode="External"/><Relationship Id="rId1678" Type="http://schemas.openxmlformats.org/officeDocument/2006/relationships/hyperlink" Target="https://tron.trade.ec.europa.eu/investigations/case-history?caseId=2684" TargetMode="External"/><Relationship Id="rId1801" Type="http://schemas.openxmlformats.org/officeDocument/2006/relationships/hyperlink" Target="https://www.klimaschutzvertraege.info/news/erster_foerderaufruf_ksv_gestartet" TargetMode="External"/><Relationship Id="rId382" Type="http://schemas.openxmlformats.org/officeDocument/2006/relationships/hyperlink" Target="https://www.alpha-ventus.de/technik" TargetMode="External"/><Relationship Id="rId603" Type="http://schemas.openxmlformats.org/officeDocument/2006/relationships/hyperlink" Target="https://www.agora-energiewende.de/publikationen/die-energiewende-in-deutschland-stand-der-dinge-2024" TargetMode="External"/><Relationship Id="rId687" Type="http://schemas.openxmlformats.org/officeDocument/2006/relationships/hyperlink" Target="https://www.sefe.eu/newsroom/pressemitteilungen/sefe-und-acwa-power-schliessen-partnerschaft-zur-lieferung-von-jaehrlich-200000-tonnen-gruenem-wasserstoff-nach-deutschland-und-europa" TargetMode="External"/><Relationship Id="rId810" Type="http://schemas.openxmlformats.org/officeDocument/2006/relationships/hyperlink" Target="https://www.agora-industrie.de/fileadmin/Projekte/2021/2021_10_DE_KIT/A-EW_249_Klimaschutzvertraege-Industrietransformation-Studie_WEB.pdf" TargetMode="External"/><Relationship Id="rId908" Type="http://schemas.openxmlformats.org/officeDocument/2006/relationships/hyperlink" Target="https://www.europarl.europa.eu/factsheets/de/sheet/9/beschlussfassungsverfahren-auf-zwischenstaatlicher-ebene" TargetMode="External"/><Relationship Id="rId1233" Type="http://schemas.openxmlformats.org/officeDocument/2006/relationships/hyperlink" Target="https://www.dehst.de/DE/Themen/EU-ETS-1/EU-ETS-1-Informationen/Versteigerung/versteigerung_node.html" TargetMode="External"/><Relationship Id="rId1440" Type="http://schemas.openxmlformats.org/officeDocument/2006/relationships/hyperlink" Target="https://www.whitehouse.gov/cleanenergy/inflation-reduction-act-guidebook/" TargetMode="External"/><Relationship Id="rId1538" Type="http://schemas.openxmlformats.org/officeDocument/2006/relationships/hyperlink" Target="https://www.augsburger-allgemeine.de/wirtschaft/Energie-Der-Niedergang-der-deutschen-Solarwirtschaft-id41477701.html" TargetMode="External"/><Relationship Id="rId242" Type="http://schemas.openxmlformats.org/officeDocument/2006/relationships/hyperlink" Target="https://www.g7germany.de/g7-en/current-information/g7-summit-outcomes-2058314" TargetMode="External"/><Relationship Id="rId894" Type="http://schemas.openxmlformats.org/officeDocument/2006/relationships/hyperlink" Target="https://energy.ec.europa.eu/topics/energy-strategy/national-energy-and-climate-plans-necps_en?prefLang=de" TargetMode="External"/><Relationship Id="rId1177" Type="http://schemas.openxmlformats.org/officeDocument/2006/relationships/hyperlink" Target="https://solaralliance.eu/projects/%20" TargetMode="External"/><Relationship Id="rId1300" Type="http://schemas.openxmlformats.org/officeDocument/2006/relationships/hyperlink" Target="https://www.consilium.europa.eu/en/policies/green-deal/fit-for-55-the-eu-plan-for-a-green-transition/" TargetMode="External"/><Relationship Id="rId1745" Type="http://schemas.openxmlformats.org/officeDocument/2006/relationships/hyperlink" Target="https://www.wirtschaft.nrw/buergerenergiegesetz-nrw" TargetMode="External"/><Relationship Id="rId37" Type="http://schemas.openxmlformats.org/officeDocument/2006/relationships/hyperlink" Target="https://www.unep.org/explore-topics/energy/what-we-do/methane/imeo" TargetMode="External"/><Relationship Id="rId102" Type="http://schemas.openxmlformats.org/officeDocument/2006/relationships/hyperlink" Target="https://unfccc.int/sites/default/files/NDC/2023-10/ES-2023-10-17%20EU%20submission%20NDC%20update.pdf" TargetMode="External"/><Relationship Id="rId547" Type="http://schemas.openxmlformats.org/officeDocument/2006/relationships/hyperlink" Target="https://www.bmwk.de/Redaktion/DE/Pressemitteilungen/2024/06/20240626-bmwk-foerderung-buergerenergieprojekten-windenergie-an-land.html" TargetMode="External"/><Relationship Id="rId754" Type="http://schemas.openxmlformats.org/officeDocument/2006/relationships/hyperlink" Target="https://www.zdf.de/nachrichten/wirtschaft/unternehmen/oelkonzerne-klimaschutz-projekte-pruefstellen-100.html" TargetMode="External"/><Relationship Id="rId961" Type="http://schemas.openxmlformats.org/officeDocument/2006/relationships/hyperlink" Target="https://www.europarl.europa.eu/pdfs/news/expert/2018/8/story/20180703STO07129/20180703STO07129_de.pdf" TargetMode="External"/><Relationship Id="rId1384" Type="http://schemas.openxmlformats.org/officeDocument/2006/relationships/hyperlink" Target="https://eur-lex.europa.eu/legal-content/DE/TXT/PDF/?uri=CELEX:52025DC0079" TargetMode="External"/><Relationship Id="rId1591" Type="http://schemas.openxmlformats.org/officeDocument/2006/relationships/hyperlink" Target="https://single-market-economy.ec.europa.eu/industry/sustainability/net-zero-industry-act_en" TargetMode="External"/><Relationship Id="rId1605" Type="http://schemas.openxmlformats.org/officeDocument/2006/relationships/hyperlink" Target="https://wtoplurilaterals.info/plural_initiative/the-mpia/" TargetMode="External"/><Relationship Id="rId1689" Type="http://schemas.openxmlformats.org/officeDocument/2006/relationships/hyperlink" Target="https://um.baden-wuerttemberg.de/de/presse-service/foerderprogramme/energie/foerderprogramm-elektrolyseure" TargetMode="External"/><Relationship Id="rId1812" Type="http://schemas.openxmlformats.org/officeDocument/2006/relationships/hyperlink" Target="https://www.agora-energiewende.de/publikationen/die-energiewende-in-deutschland-stand-der-dinge-2024" TargetMode="External"/><Relationship Id="rId90" Type="http://schemas.openxmlformats.org/officeDocument/2006/relationships/hyperlink" Target="https://unfccc.int/process-and-meetings/the-paris-agreement" TargetMode="External"/><Relationship Id="rId186" Type="http://schemas.openxmlformats.org/officeDocument/2006/relationships/hyperlink" Target="https://www.cfp.energy/en/insight/cop29-article-6-approved" TargetMode="External"/><Relationship Id="rId393" Type="http://schemas.openxmlformats.org/officeDocument/2006/relationships/hyperlink" Target="https://www.gesetze-im-internet.de/ensig_1975/index.html" TargetMode="External"/><Relationship Id="rId407" Type="http://schemas.openxmlformats.org/officeDocument/2006/relationships/hyperlink" Target="https://www.baywa-re.de/de/projekte-in-deutschland/barth-i-vi" TargetMode="External"/><Relationship Id="rId614" Type="http://schemas.openxmlformats.org/officeDocument/2006/relationships/hyperlink" Target="https://www.bundesnetzagentur.de/SharedDocs/Downloads/DE/Sachgebiete/Energie/Unternehmen_Institutionen/Versorgungssicherheit/Engpassmanagement/QuartalszahlenQ4_2023.pdf?__blob=publicationFile&amp;v=2" TargetMode="External"/><Relationship Id="rId821" Type="http://schemas.openxmlformats.org/officeDocument/2006/relationships/hyperlink" Target="https://www.thyssenkrupp.com/de/newsroom/pressemeldungen/pressedetailseite/bundesminister-fur-wirtschaft-und-klimaschutz-robert-habeck-besucht-thyssenkrupp:-thyssenkrupp-steel-erhalt-forderung-in-einer-gesamthohe-von-rund-zwei-milliarden-euro-durch-bund-und-land-229073" TargetMode="External"/><Relationship Id="rId1037" Type="http://schemas.openxmlformats.org/officeDocument/2006/relationships/hyperlink" Target="https://competition-policy.ec.europa.eu/state-aid/ipcei/approved-ipceis_en" TargetMode="External"/><Relationship Id="rId1244" Type="http://schemas.openxmlformats.org/officeDocument/2006/relationships/hyperlink" Target="https://eur-lex.europa.eu/legal-content/DE/TXT/PDF/?uri=CELEX:52023XC0515(01)" TargetMode="External"/><Relationship Id="rId1451" Type="http://schemas.openxmlformats.org/officeDocument/2006/relationships/hyperlink" Target="https://www.sgh2energy.com/worlds-largest-green-hydrogen-project-to-launch-in-california" TargetMode="External"/><Relationship Id="rId253" Type="http://schemas.openxmlformats.org/officeDocument/2006/relationships/hyperlink" Target="https://www.international-climate-initiative.com/iki-medien/artikel/china_startet_nationalen_emissionshandel/" TargetMode="External"/><Relationship Id="rId460" Type="http://schemas.openxmlformats.org/officeDocument/2006/relationships/hyperlink" Target="https://www.bgbl.de/xaver/bgbl/start.xav?startbk=Bundesanzeiger_BGBl&amp;jumpTo=bgbl121s3129.pdf" TargetMode="External"/><Relationship Id="rId698" Type="http://schemas.openxmlformats.org/officeDocument/2006/relationships/hyperlink" Target="https://www.bmwk.de/Redaktion/DE/Downloads/I/ipcei-deutsche-hy2infra-projekte.pdf?__blob=publicationFile&amp;v=7" TargetMode="External"/><Relationship Id="rId919" Type="http://schemas.openxmlformats.org/officeDocument/2006/relationships/hyperlink" Target="https://eur-lex.europa.eu/legal-content/DE/TXT/?uri=LEGISSUM:opting_out" TargetMode="External"/><Relationship Id="rId1090" Type="http://schemas.openxmlformats.org/officeDocument/2006/relationships/hyperlink" Target="https://ec.europa.eu/commission/presscorner/detail/en/ip_23_594" TargetMode="External"/><Relationship Id="rId1104" Type="http://schemas.openxmlformats.org/officeDocument/2006/relationships/hyperlink" Target="https://eur-lex.europa.eu/legal-content/EN/TXT/?uri=PI_COM:C(2023)7930" TargetMode="External"/><Relationship Id="rId1311" Type="http://schemas.openxmlformats.org/officeDocument/2006/relationships/hyperlink" Target="https://taxation-customs.ec.europa.eu/carbon-border-adjustment-mechanism_en" TargetMode="External"/><Relationship Id="rId1549" Type="http://schemas.openxmlformats.org/officeDocument/2006/relationships/hyperlink" Target="https://www.tradelawcounsel.com/solar" TargetMode="External"/><Relationship Id="rId1756" Type="http://schemas.openxmlformats.org/officeDocument/2006/relationships/hyperlink" Target="https://www.bpb.de/kurz-knapp/zahlen-und-fakten/soziale-situation-in-deutschland/61874/steuereinnahmen-nach-steuerarten/" TargetMode="External"/><Relationship Id="rId48" Type="http://schemas.openxmlformats.org/officeDocument/2006/relationships/hyperlink" Target="https://www.monopolkommission.de/images/PDF/SG/7sg_energie_volltext.pdf" TargetMode="External"/><Relationship Id="rId113" Type="http://schemas.openxmlformats.org/officeDocument/2006/relationships/hyperlink" Target="https://www.energy-transitions.org/cop28-action-agenda-potential-impact-2030/" TargetMode="External"/><Relationship Id="rId320" Type="http://schemas.openxmlformats.org/officeDocument/2006/relationships/hyperlink" Target="https://www.ndr.de/nachrichten/niedersachsen/Klimaneutral-bis-2040-Land-beschliesst-Klimaschutz-Strategie,klimaschutz478.html" TargetMode="External"/><Relationship Id="rId558" Type="http://schemas.openxmlformats.org/officeDocument/2006/relationships/hyperlink" Target="https://www.bundesregierung.de/breg-de/themen/tipps-fuer-verbraucher/solarpaket-photovoltaik-balkonkraftwerke-2213726" TargetMode="External"/><Relationship Id="rId765" Type="http://schemas.openxmlformats.org/officeDocument/2006/relationships/hyperlink" Target="https://www.bundesregierung.de/resource/blob/975954/2312230/68ffd7f43809318980954bf71c7f122d/88-3-bmwk-kohlendioxid-speicherungsgesetz-bt-data.pdf?download=1" TargetMode="External"/><Relationship Id="rId972" Type="http://schemas.openxmlformats.org/officeDocument/2006/relationships/hyperlink" Target="https://eur-lex.europa.eu/legal-content/DE/TXT/?qid=1583933814386&amp;uri=COM%3A2020%3A98%3AFIN" TargetMode="External"/><Relationship Id="rId1188" Type="http://schemas.openxmlformats.org/officeDocument/2006/relationships/hyperlink" Target="https://single-market-economy.ec.europa.eu/system/files/2023-03/SWD_2023_68_F1_STAFF_WORKING_PAPER_EN_V4_P1_2629849.PDF" TargetMode="External"/><Relationship Id="rId1395" Type="http://schemas.openxmlformats.org/officeDocument/2006/relationships/hyperlink" Target="https://www.c2es.org/wp-content/uploads/2023/12/carbon-pricing-proposals-in-the-118th-congress.pdf" TargetMode="External"/><Relationship Id="rId1409" Type="http://schemas.openxmlformats.org/officeDocument/2006/relationships/hyperlink" Target="https://www.whitehouse.gov/briefing-room/statements-releases/2023/08/16/fact-sheet-one-year-in-president-bidens-inflation-reduction-act-is-driving-historic-climate-action-and-investing-in-america-to-create-good-paying-jobs-and-reduce-costs/" TargetMode="External"/><Relationship Id="rId1616" Type="http://schemas.openxmlformats.org/officeDocument/2006/relationships/hyperlink" Target="https://www.solarnl.eu/" TargetMode="External"/><Relationship Id="rId1823" Type="http://schemas.openxmlformats.org/officeDocument/2006/relationships/hyperlink" Target="https://eur-lex.europa.eu/legal-content/EN/TXT/PDF/?uri=OJ:C_202502983" TargetMode="External"/><Relationship Id="rId197" Type="http://schemas.openxmlformats.org/officeDocument/2006/relationships/hyperlink" Target="https://www.helaba.com/media/docs/de/presse/news/studie-freiwillige-co2-kompensation-helaba-response.pdf" TargetMode="External"/><Relationship Id="rId418" Type="http://schemas.openxmlformats.org/officeDocument/2006/relationships/hyperlink" Target="https://www.adac.de/news/aus-fuer-verbrenner-ab-2035/" TargetMode="External"/><Relationship Id="rId625" Type="http://schemas.openxmlformats.org/officeDocument/2006/relationships/hyperlink" Target="https://www.bundesnetzagentur.de/DE/Fachthemen/ElektrizitaetundGas/Versorgungssicherheit/Netzengpassmanagement/start.html" TargetMode="External"/><Relationship Id="rId832" Type="http://schemas.openxmlformats.org/officeDocument/2006/relationships/hyperlink" Target="https://climate-club.org/" TargetMode="External"/><Relationship Id="rId1048" Type="http://schemas.openxmlformats.org/officeDocument/2006/relationships/hyperlink" Target="https://eur-lex.europa.eu/legal-content/EN/ALL/?uri=CELEX:52012XC0605(01)" TargetMode="External"/><Relationship Id="rId1255" Type="http://schemas.openxmlformats.org/officeDocument/2006/relationships/hyperlink" Target="https://www.landtag.nrw.de/portal/WWW/dokumentenarchiv/Dokument/MMD18-9763.pdf" TargetMode="External"/><Relationship Id="rId1462" Type="http://schemas.openxmlformats.org/officeDocument/2006/relationships/hyperlink" Target="https://www.gtai.de/de/trade/indien/branchen/branchenstruktur-537346" TargetMode="External"/><Relationship Id="rId264" Type="http://schemas.openxmlformats.org/officeDocument/2006/relationships/hyperlink" Target="https://www.bmz.de/de/aktuelles/aktuelle-meldungen/deutsch-indische-partnerschaft-gruene-nachhaltige-entwicklung-129158" TargetMode="External"/><Relationship Id="rId471" Type="http://schemas.openxmlformats.org/officeDocument/2006/relationships/hyperlink" Target="https://www.dehst.de/SharedDocs/downloads/DE/spk/spk-transparenzbericht-2021.pdf?__blob=publicationFile&amp;v=3" TargetMode="External"/><Relationship Id="rId1115" Type="http://schemas.openxmlformats.org/officeDocument/2006/relationships/hyperlink" Target="https://energy.ec.europa.eu/topics/energy-efficiency/energy-efficient-buildings/renovation-wave_en" TargetMode="External"/><Relationship Id="rId1322" Type="http://schemas.openxmlformats.org/officeDocument/2006/relationships/hyperlink" Target="https://eur-lex.europa.eu/legal-content/DE/TXT/?uri=uriserv:OJ.L_.2023.130.01.0052.01.DEU" TargetMode="External"/><Relationship Id="rId1767" Type="http://schemas.openxmlformats.org/officeDocument/2006/relationships/hyperlink" Target="https://www.iea.org/reports/policy-toolbox-for-industrial-decarbonisation" TargetMode="External"/><Relationship Id="rId59" Type="http://schemas.openxmlformats.org/officeDocument/2006/relationships/hyperlink" Target="https://www.bmwk.de/Redaktion/DE/Dossier/negativemissionen.html" TargetMode="External"/><Relationship Id="rId124" Type="http://schemas.openxmlformats.org/officeDocument/2006/relationships/hyperlink" Target="https://unfccc.int/documents/636618" TargetMode="External"/><Relationship Id="rId569" Type="http://schemas.openxmlformats.org/officeDocument/2006/relationships/hyperlink" Target="https://www.bmwk.de/Redaktion/DE/Artikel/Energie/stromnetze-und-netzausbau-regulierung-rahmenbedingungen.html" TargetMode="External"/><Relationship Id="rId776" Type="http://schemas.openxmlformats.org/officeDocument/2006/relationships/hyperlink" Target="https://eur-lex.europa.eu/DE/legal-content/summary/2022-guidelines-on-state-aid-for-climate-environmental-protection-and-energy.html" TargetMode="External"/><Relationship Id="rId983" Type="http://schemas.openxmlformats.org/officeDocument/2006/relationships/hyperlink" Target="https://commission.europa.eu/energy-climate-change-environment/standards-tools-and-labels/products-labelling-rules-and-requirements/ecodesign-sustainable-products-regulation_en" TargetMode="External"/><Relationship Id="rId1199" Type="http://schemas.openxmlformats.org/officeDocument/2006/relationships/hyperlink" Target="https://eur-lex.europa.eu/legal-content/DE/TXT/PDF/?uri=CELEX:32018R1999" TargetMode="External"/><Relationship Id="rId1627" Type="http://schemas.openxmlformats.org/officeDocument/2006/relationships/hyperlink" Target="https://www.bernreuter.com/newsroom/polysilicon-news/article/insolvency-of-norwegian-crystals-is-a-blow-to-pv-supply-in-eu/" TargetMode="External"/><Relationship Id="rId1834" Type="http://schemas.openxmlformats.org/officeDocument/2006/relationships/hyperlink" Target="https://www.faz.net/-iu4-bnoyy" TargetMode="External"/><Relationship Id="rId331" Type="http://schemas.openxmlformats.org/officeDocument/2006/relationships/hyperlink" Target="https://www.klik.ch/en" TargetMode="External"/><Relationship Id="rId429" Type="http://schemas.openxmlformats.org/officeDocument/2006/relationships/hyperlink" Target="https://de.wikipedia.org/wiki/Alkane" TargetMode="External"/><Relationship Id="rId636" Type="http://schemas.openxmlformats.org/officeDocument/2006/relationships/hyperlink" Target="https://www.bundesnetzagentur.de/SharedDocs/Pressemitteilungen/DE/2024/20241022_H2Kernnetz.html" TargetMode="External"/><Relationship Id="rId1059" Type="http://schemas.openxmlformats.org/officeDocument/2006/relationships/hyperlink" Target="https://competition-policy.ec.europa.eu/system/files/2023-12/State_aid_TCTF_decisions.pdf" TargetMode="External"/><Relationship Id="rId1266" Type="http://schemas.openxmlformats.org/officeDocument/2006/relationships/hyperlink" Target="https://eur-lex.europa.eu/legal-content/DE/TXT/PDF/?uri=CELEX:02003L0087-20230605" TargetMode="External"/><Relationship Id="rId1473" Type="http://schemas.openxmlformats.org/officeDocument/2006/relationships/hyperlink" Target="https://www.alterra.ae/news/alterra-partners-with-blackrock-and-awards-mandate-to-invest-us-2-billion-in-climate-transition-projects" TargetMode="External"/><Relationship Id="rId843" Type="http://schemas.openxmlformats.org/officeDocument/2006/relationships/hyperlink" Target="https://eur-lex.europa.eu/legal-content/DE/TXT/PDF/?uri=CELEX:52001PC0581" TargetMode="External"/><Relationship Id="rId1126" Type="http://schemas.openxmlformats.org/officeDocument/2006/relationships/hyperlink" Target="https://commission.europa.eu/publications/delivering-european-green-deal_de" TargetMode="External"/><Relationship Id="rId1680" Type="http://schemas.openxmlformats.org/officeDocument/2006/relationships/hyperlink" Target="https://www.spiegel.de/wirtschaft/china-eu-und-peking-erwaegen-mindestpreis-fuer-elektroautos-aus-der-volksrepublik-a-622c5aee-4020-40bb-b9dc-85377af26ee1" TargetMode="External"/><Relationship Id="rId1778" Type="http://schemas.openxmlformats.org/officeDocument/2006/relationships/hyperlink" Target="https://commission.europa.eu/document/fcd83469-cb1c-4c4f-842f-0c94e5308007_en?prefLang=de" TargetMode="External"/><Relationship Id="rId275" Type="http://schemas.openxmlformats.org/officeDocument/2006/relationships/hyperlink" Target="https://www.bmwk.de/Redaktion/DE/Pressemitteilungen/2025/20250411-vom-bundesministerium-fuer-wirtschaft-und-klimaschutz-gefoerdertes-wasserstoffprojekt-oshivela-hyIronin-namibia-eroeffnet.html" TargetMode="External"/><Relationship Id="rId482" Type="http://schemas.openxmlformats.org/officeDocument/2006/relationships/hyperlink" Target="https://www.faire-energiewende.de/strompreispaket-enthalt-licht-und-schatten-fur-den-energieintensiven-industriellen-mittelstand/" TargetMode="External"/><Relationship Id="rId703" Type="http://schemas.openxmlformats.org/officeDocument/2006/relationships/hyperlink" Target="https://www.eca.europa.eu/de/publications/SR-2024-11" TargetMode="External"/><Relationship Id="rId910" Type="http://schemas.openxmlformats.org/officeDocument/2006/relationships/hyperlink" Target="https://www.eu-umweltbuero.at/europaeische-union/gesetzgebung/" TargetMode="External"/><Relationship Id="rId1333" Type="http://schemas.openxmlformats.org/officeDocument/2006/relationships/hyperlink" Target="https://www.dehst.de/DE/Themen/EU-ETS-1/EU-ETS-1-Informationen/Internationales/internationales_node.html" TargetMode="External"/><Relationship Id="rId1540" Type="http://schemas.openxmlformats.org/officeDocument/2006/relationships/hyperlink" Target="https://www.q-cells.de/privatkunden/solaranlage/eigene-solaranlage" TargetMode="External"/><Relationship Id="rId1638" Type="http://schemas.openxmlformats.org/officeDocument/2006/relationships/hyperlink" Target="https://www.solarpowereurope.org/advocacy/solar-for-europe-manifesto" TargetMode="External"/><Relationship Id="rId135" Type="http://schemas.openxmlformats.org/officeDocument/2006/relationships/hyperlink" Target="https://www.cop28.com/en/global-renewables-and-energy-efficiency-pledge" TargetMode="External"/><Relationship Id="rId342" Type="http://schemas.openxmlformats.org/officeDocument/2006/relationships/hyperlink" Target="https://corporateeurope.org/en" TargetMode="External"/><Relationship Id="rId787" Type="http://schemas.openxmlformats.org/officeDocument/2006/relationships/hyperlink" Target="https://www.klimaschutzvertraege.info/" TargetMode="External"/><Relationship Id="rId994" Type="http://schemas.openxmlformats.org/officeDocument/2006/relationships/hyperlink" Target="https://energy.ec.europa.eu/index_en" TargetMode="External"/><Relationship Id="rId1400" Type="http://schemas.openxmlformats.org/officeDocument/2006/relationships/hyperlink" Target="https://www.eia.gov/tools/faqs/faq.php?id=709&amp;t=6" TargetMode="External"/><Relationship Id="rId1845" Type="http://schemas.openxmlformats.org/officeDocument/2006/relationships/hyperlink" Target="https://www.energie-kreis-meissen.de/index.php?object=tx,3837.5.1&amp;ModID=7&amp;FID=3837.94.1" TargetMode="External"/><Relationship Id="rId202" Type="http://schemas.openxmlformats.org/officeDocument/2006/relationships/hyperlink" Target="https://www.helaba.com/media/docs/de/presse/news/studie-freiwillige-co2-kompensation-helaba-response.pdf" TargetMode="External"/><Relationship Id="rId647" Type="http://schemas.openxmlformats.org/officeDocument/2006/relationships/hyperlink" Target="https://www.bundesnetzagentur.de/DE/Fachthemen/ElektrizitaetundGas/NEP/Gas/start.html" TargetMode="External"/><Relationship Id="rId854" Type="http://schemas.openxmlformats.org/officeDocument/2006/relationships/hyperlink" Target="https://www.fr.de/politik/neuer-eu-klimakommissar-hoekstra-verspricht-strikten-klimaschutz-92560565.html" TargetMode="External"/><Relationship Id="rId1277" Type="http://schemas.openxmlformats.org/officeDocument/2006/relationships/hyperlink" Target="https://www.dehst.de/DE/Strompreiskompensation/SPK_verstehen/spk-verstehen_node.html" TargetMode="External"/><Relationship Id="rId1484" Type="http://schemas.openxmlformats.org/officeDocument/2006/relationships/hyperlink" Target="https://ammoniaenergy.org/articles/jera-closes-in-on-clean-ammonia-fuel-supply/" TargetMode="External"/><Relationship Id="rId1691" Type="http://schemas.openxmlformats.org/officeDocument/2006/relationships/hyperlink" Target="https://www.foerderdatenbank.de/FDB/Content/DE/Foerderprogramm/Bund/BMVI/nip-ii-nachhaltige-mobilitaet.html" TargetMode="External"/><Relationship Id="rId1705" Type="http://schemas.openxmlformats.org/officeDocument/2006/relationships/hyperlink" Target="https://nelhydrogen.com/wp-content/uploads/2024/10/Q3-presentation-2024-for-publication.pdf" TargetMode="External"/><Relationship Id="rId286" Type="http://schemas.openxmlformats.org/officeDocument/2006/relationships/hyperlink" Target="https://www.bankingonclimatechaos.org/wp-content/uploads/2024/07/BOCC_2024_vF3.pdf" TargetMode="External"/><Relationship Id="rId493" Type="http://schemas.openxmlformats.org/officeDocument/2006/relationships/hyperlink" Target="https://www.dihk.de/" TargetMode="External"/><Relationship Id="rId507" Type="http://schemas.openxmlformats.org/officeDocument/2006/relationships/hyperlink" Target="https://www.tagesschau.de/wirtschaft/verbraucher/windkraft-akzeptanz-buerger-beteiligung-100.html" TargetMode="External"/><Relationship Id="rId714" Type="http://schemas.openxmlformats.org/officeDocument/2006/relationships/hyperlink" Target="https://www.youtube.com/watch?v=5tvjV11Vefc" TargetMode="External"/><Relationship Id="rId921" Type="http://schemas.openxmlformats.org/officeDocument/2006/relationships/hyperlink" Target="https://eur-lex.europa.eu/legal-content/DE/TXT/?uri=COM:2019:640:FIN" TargetMode="External"/><Relationship Id="rId1137" Type="http://schemas.openxmlformats.org/officeDocument/2006/relationships/hyperlink" Target="https://eur-lex.europa.eu/resource.html?uri=cellar:32d55555-c550-11ec-b6f4-01aa75ed71a1.0002.02/DOC_1&amp;format=PDF" TargetMode="External"/><Relationship Id="rId1344" Type="http://schemas.openxmlformats.org/officeDocument/2006/relationships/hyperlink" Target="https://ec.europa.eu/sustainable-finance-taxonomy/assets/documents/Taxonomy%20User%20Guide.pdf" TargetMode="External"/><Relationship Id="rId1551" Type="http://schemas.openxmlformats.org/officeDocument/2006/relationships/hyperlink" Target="https://de.wikipedia.org/wiki/Solarworld" TargetMode="External"/><Relationship Id="rId1789" Type="http://schemas.openxmlformats.org/officeDocument/2006/relationships/hyperlink" Target="https://www.euractiv.com/section/eet/news/steelmakers-urge-eu-to-introduce-mandatory-green-steel-quotas-for-carmakers/" TargetMode="External"/><Relationship Id="rId50" Type="http://schemas.openxmlformats.org/officeDocument/2006/relationships/hyperlink" Target="https://e360.yale.edu/digest/china-new-coal-plants-2027" TargetMode="External"/><Relationship Id="rId146" Type="http://schemas.openxmlformats.org/officeDocument/2006/relationships/hyperlink" Target="https://unfccc.int/sites/default/files/resource/Summary_GCA_COP28.pdf" TargetMode="External"/><Relationship Id="rId353" Type="http://schemas.openxmlformats.org/officeDocument/2006/relationships/hyperlink" Target="https://dserver.bundestag.de/btd/20/075/2007502.pdf" TargetMode="External"/><Relationship Id="rId560" Type="http://schemas.openxmlformats.org/officeDocument/2006/relationships/hyperlink" Target="https://www.solaranlagen-portal.com/photovoltaik/voraussetzung/genehmigung" TargetMode="External"/><Relationship Id="rId798" Type="http://schemas.openxmlformats.org/officeDocument/2006/relationships/hyperlink" Target="https://weser-ems-wirtschaft.de/index.php/2024/10/17/statement-von-ihk-geschaeftsbereichsleiterin-anke-schweda-zum-klimaschutzvertrag-fuer-die-hr-chemisch-pharmazeutische-spezialitaeten-gmbh-aus-salzber/" TargetMode="External"/><Relationship Id="rId1190" Type="http://schemas.openxmlformats.org/officeDocument/2006/relationships/hyperlink" Target="https://solaralliance.eu/" TargetMode="External"/><Relationship Id="rId1204" Type="http://schemas.openxmlformats.org/officeDocument/2006/relationships/hyperlink" Target="https://eur-lex.europa.eu/legal-content/DE/TXT/PDF/?uri=CELEX:32003L0087" TargetMode="External"/><Relationship Id="rId1411" Type="http://schemas.openxmlformats.org/officeDocument/2006/relationships/hyperlink" Target="https://www.whitehouse.gov/cleanenergy/inflation-reduction-act-guidebook/" TargetMode="External"/><Relationship Id="rId1649" Type="http://schemas.openxmlformats.org/officeDocument/2006/relationships/hyperlink" Target="https://de.wikipedia.org/wiki/Siemens_Gamesa" TargetMode="External"/><Relationship Id="rId1856" Type="http://schemas.openxmlformats.org/officeDocument/2006/relationships/hyperlink" Target="https://www.h2-global.de/post/900-million-eur-market-ramp-up-green-hydrogen" TargetMode="External"/><Relationship Id="rId213" Type="http://schemas.openxmlformats.org/officeDocument/2006/relationships/hyperlink" Target="https://climatefocus.wpengine.com/projects/supporting-strategic-carbon-pricing-communication-in-latin-america/" TargetMode="External"/><Relationship Id="rId420" Type="http://schemas.openxmlformats.org/officeDocument/2006/relationships/hyperlink" Target="https://www.adac.de/news/aus-fuer-verbrenner-ab-2035/" TargetMode="External"/><Relationship Id="rId658" Type="http://schemas.openxmlformats.org/officeDocument/2006/relationships/hyperlink" Target="https://www.entsog.eu/sites/default/files/2024-02/entsog_roadmap_2050_A4_web_200219.pdf" TargetMode="External"/><Relationship Id="rId865" Type="http://schemas.openxmlformats.org/officeDocument/2006/relationships/hyperlink" Target="https://www.consilium.europa.eu/media/41779/12-euco-final-conclusions-de.pdf" TargetMode="External"/><Relationship Id="rId1050" Type="http://schemas.openxmlformats.org/officeDocument/2006/relationships/hyperlink" Target="https://competition-policy.ec.europa.eu/state-aid/coronavirus/temporary-framework_en" TargetMode="External"/><Relationship Id="rId1288" Type="http://schemas.openxmlformats.org/officeDocument/2006/relationships/hyperlink" Target="https://www.dehst.de/DE/Strompreiskompensation/SPK_verstehen/spk-verstehen_node.html" TargetMode="External"/><Relationship Id="rId1495" Type="http://schemas.openxmlformats.org/officeDocument/2006/relationships/hyperlink" Target="https://www.eeas.europa.eu/eeas/china-%E2%80%93-co2-neutralit%C3%A4t-im-jahr-2060-ein-m%C3%B6glicher-wendepunkt-f%C3%BCr-das-klima_de" TargetMode="External"/><Relationship Id="rId1509" Type="http://schemas.openxmlformats.org/officeDocument/2006/relationships/hyperlink" Target="https://www.iwr.de/news/offshore-kurswechsel-bei-luxcara-siemens-gamesa-ersetzt-ming-yang-sicherheitsbedenken-ausgeschlossen-news39295" TargetMode="External"/><Relationship Id="rId1716" Type="http://schemas.openxmlformats.org/officeDocument/2006/relationships/hyperlink" Target="https://commission.europa.eu/document/download/9db1c5c8-9e82-467b-ab6a-905feeb4b6b0_en?filename=Communication%20-%20Clean%20Industrial%20Deal_en.pdf&amp;prefLang=de" TargetMode="External"/><Relationship Id="rId297" Type="http://schemas.openxmlformats.org/officeDocument/2006/relationships/hyperlink" Target="https://de.wikipedia.org/wiki/Energiesicherungsgesetz" TargetMode="External"/><Relationship Id="rId518" Type="http://schemas.openxmlformats.org/officeDocument/2006/relationships/hyperlink" Target="https://data.bundesnetzagentur.de/Bundesnetzagentur/SharedDocs/Mediathek/Monitoringberichte/MonitoringberichtEnergie2023.pdf" TargetMode="External"/><Relationship Id="rId725" Type="http://schemas.openxmlformats.org/officeDocument/2006/relationships/hyperlink" Target="https://www.umweltbundesamt.de/presse/pressemitteilungen/europaeischer-emissionshandel-rekordrueckgang-der" TargetMode="External"/><Relationship Id="rId932" Type="http://schemas.openxmlformats.org/officeDocument/2006/relationships/hyperlink" Target="https://ec.europa.eu/commission/presscorner/detail/en/qanda_20_24" TargetMode="External"/><Relationship Id="rId1148" Type="http://schemas.openxmlformats.org/officeDocument/2006/relationships/hyperlink" Target="https://eur-lex.europa.eu/resource.html?uri=cellar:fc930f14-d7ae-11ec-a95f-01aa75ed71a1.0001.02/DOC_1&amp;format=PDF" TargetMode="External"/><Relationship Id="rId1355" Type="http://schemas.openxmlformats.org/officeDocument/2006/relationships/hyperlink" Target="https://www.basf.com/global/de/media/news-releases/2025/03/p-25-046" TargetMode="External"/><Relationship Id="rId1562" Type="http://schemas.openxmlformats.org/officeDocument/2006/relationships/hyperlink" Target="https://de.wikipedia.org/wiki/Hetero%C3%BCbergangssolarzelle" TargetMode="External"/><Relationship Id="rId157" Type="http://schemas.openxmlformats.org/officeDocument/2006/relationships/hyperlink" Target="https://www.oecd.org/en/publications/mapping-financial-and-technical-assistance-for-industry-decarbonisation-in-emerging-markets-and-developing-economies_7ecda2b7-en.html" TargetMode="External"/><Relationship Id="rId364" Type="http://schemas.openxmlformats.org/officeDocument/2006/relationships/hyperlink" Target="https://www.bezreg-koeln.nrw.de/themen/kommunales-planung-bauen-und-verkehr/regionalplanung/neuaufstellung-regionalplan-koeln-6" TargetMode="External"/><Relationship Id="rId1008" Type="http://schemas.openxmlformats.org/officeDocument/2006/relationships/hyperlink" Target="https://competition-policy.ec.europa.eu/document/download/00d45d71-26f3-44e5-b0fc-c36a05fe0538_en?filename=IPCEIs_DG_COMP_code_of_good_practices.pdf" TargetMode="External"/><Relationship Id="rId1215" Type="http://schemas.openxmlformats.org/officeDocument/2006/relationships/hyperlink" Target="https://eur-lex.europa.eu/legal-content/DE/TXT/PDF/?uri=CELEX:32023L0959" TargetMode="External"/><Relationship Id="rId1422" Type="http://schemas.openxmlformats.org/officeDocument/2006/relationships/hyperlink" Target="https://www.globalccsinstitute.com/wp-content/uploads/2024/08/Report-CCS-Technologies-Compendium-2024-1.pdf%20" TargetMode="External"/><Relationship Id="rId61" Type="http://schemas.openxmlformats.org/officeDocument/2006/relationships/hyperlink" Target="https://de.wikipedia.org/wiki/Negative_Emissionen" TargetMode="External"/><Relationship Id="rId571" Type="http://schemas.openxmlformats.org/officeDocument/2006/relationships/hyperlink" Target="https://langfristszenarien.de/enertile-explorer-de/" TargetMode="External"/><Relationship Id="rId669" Type="http://schemas.openxmlformats.org/officeDocument/2006/relationships/hyperlink" Target="https://www.bmwk.de/Redaktion/DE/Publikationen/Energie/importstrategie-wasserstoff.pdf?__blob=publicationFile&amp;v=18" TargetMode="External"/><Relationship Id="rId876" Type="http://schemas.openxmlformats.org/officeDocument/2006/relationships/hyperlink" Target="https://eur-lex.europa.eu/legal-content/DE/TXT/PDF/?uri=CELEX:32023R0857&amp;qid=1707056922612" TargetMode="External"/><Relationship Id="rId1299" Type="http://schemas.openxmlformats.org/officeDocument/2006/relationships/hyperlink" Target="https://commission.europa.eu/strategy-and-policy/priorities-2019-2024/european-green-deal/delivering-european-green-deal/fit-55-delivering-proposals_en" TargetMode="External"/><Relationship Id="rId1727" Type="http://schemas.openxmlformats.org/officeDocument/2006/relationships/hyperlink" Target="https://www.euractiv.de/section/finanzen-und-wirtschaft/news/clean-industrial-deal-eu-steuert-auf-grosse-finanzierungsdebatte-zu/" TargetMode="External"/><Relationship Id="rId19" Type="http://schemas.openxmlformats.org/officeDocument/2006/relationships/hyperlink" Target="https://www.gem.wiki/Na_Duong_power_station" TargetMode="External"/><Relationship Id="rId224" Type="http://schemas.openxmlformats.org/officeDocument/2006/relationships/hyperlink" Target="https://www.g7italy.it/wp-content/uploads/Annex-IV.-Update-note-on-the-Rise-Partnership_G7-FMCBG-23-25-May-2024-Stresa.pdf" TargetMode="External"/><Relationship Id="rId431" Type="http://schemas.openxmlformats.org/officeDocument/2006/relationships/hyperlink" Target="https://www.atmosfair.de/de/flugverkehr-und-klima-atmosfair-produziert-erste-mengen-an-co2-neutralem-kerosin/" TargetMode="External"/><Relationship Id="rId529" Type="http://schemas.openxmlformats.org/officeDocument/2006/relationships/hyperlink" Target="https://www.r2b-energy.com/" TargetMode="External"/><Relationship Id="rId736" Type="http://schemas.openxmlformats.org/officeDocument/2006/relationships/hyperlink" Target="https://www.foerderdatenbank.de/FDB/DE/Home/home.html" TargetMode="External"/><Relationship Id="rId1061" Type="http://schemas.openxmlformats.org/officeDocument/2006/relationships/hyperlink" Target="https://germany.representation.ec.europa.eu/news/eu-initiativen-zur-starkung-der-solarindustrie-2024-01-18_de" TargetMode="External"/><Relationship Id="rId1159" Type="http://schemas.openxmlformats.org/officeDocument/2006/relationships/hyperlink" Target="https://eur-lex.europa.eu/legal-content/EN/TXT/?uri=CELEX:02018L2001-20240716" TargetMode="External"/><Relationship Id="rId1366" Type="http://schemas.openxmlformats.org/officeDocument/2006/relationships/hyperlink" Target="https://influencemap.org/briefing/European-Industry-and-the-European-Union-s-Climate-Policy-in-2024-29-32272" TargetMode="External"/><Relationship Id="rId168" Type="http://schemas.openxmlformats.org/officeDocument/2006/relationships/hyperlink" Target="https://unfccc.int/sites/default/files/resource/cmp18_auv_5_cdm.pdf?download" TargetMode="External"/><Relationship Id="rId943" Type="http://schemas.openxmlformats.org/officeDocument/2006/relationships/hyperlink" Target="https://ec.europa.eu/regional_policy/funding/available-budget_en" TargetMode="External"/><Relationship Id="rId1019" Type="http://schemas.openxmlformats.org/officeDocument/2006/relationships/hyperlink" Target="https://www.eca.europa.eu/de/publications/SR-2024-11" TargetMode="External"/><Relationship Id="rId1573" Type="http://schemas.openxmlformats.org/officeDocument/2006/relationships/hyperlink" Target="https://policy.trade.ec.europa.eu/enforcement-and-protection/trade-defence_en" TargetMode="External"/><Relationship Id="rId1780" Type="http://schemas.openxmlformats.org/officeDocument/2006/relationships/hyperlink" Target="https://www.steelactionplan.eu/" TargetMode="External"/><Relationship Id="rId72" Type="http://schemas.openxmlformats.org/officeDocument/2006/relationships/hyperlink" Target="https://de.wikipedia.org/wiki/Kohleausstieg" TargetMode="External"/><Relationship Id="rId375" Type="http://schemas.openxmlformats.org/officeDocument/2006/relationships/hyperlink" Target="https://www.bmwk.de/Redaktion/DE/Downloads/neue-offshore-realisierungsvereinbarung-30-gw-bis-2030pdf.pdf?__blob=publicationFile&amp;v=1" TargetMode="External"/><Relationship Id="rId582" Type="http://schemas.openxmlformats.org/officeDocument/2006/relationships/hyperlink" Target="https://www.thyssenkrupp.com/de/newsroom/pressemeldungen/pressedetailseite/gruner-wasserstoff-fur-die-stahlproduktion:-rwe-und-thyssenkrupp-planen-zusammenarbeit-86588" TargetMode="External"/><Relationship Id="rId803" Type="http://schemas.openxmlformats.org/officeDocument/2006/relationships/hyperlink" Target="https://www.flexotiefdruck.de/oekologie-nachhaltigkeit/schumacher-packaging-auf-dem-weg-zur-klimaneutralitaet/" TargetMode="External"/><Relationship Id="rId1226" Type="http://schemas.openxmlformats.org/officeDocument/2006/relationships/hyperlink" Target="https://www.ihk.de/darmstadt/produktmarken/beraten-und-informieren/umwelt-energie/energie/co2-4728298?print=true&amp;printsrc=button" TargetMode="External"/><Relationship Id="rId1433" Type="http://schemas.openxmlformats.org/officeDocument/2006/relationships/hyperlink" Target="https://www.energy.gov/articles/biden-harris-administration-announces-750-million-support-americas-growing-hydrogen" TargetMode="External"/><Relationship Id="rId1640" Type="http://schemas.openxmlformats.org/officeDocument/2006/relationships/hyperlink" Target="https://germany.representation.ec.europa.eu/news/eu-initiativen-zur-starkung-der-solarindustrie-2024-01-18_de" TargetMode="External"/><Relationship Id="rId1738" Type="http://schemas.openxmlformats.org/officeDocument/2006/relationships/hyperlink" Target="https://www.claudiakemfert.de/" TargetMode="External"/><Relationship Id="rId3" Type="http://schemas.openxmlformats.org/officeDocument/2006/relationships/hyperlink" Target="https://www.bgbl.de/xaver/bgbl/start.xav?startbk=Bundesanzeiger_BGBl&amp;jumpTo=bgbl215s0306.pdf" TargetMode="External"/><Relationship Id="rId235" Type="http://schemas.openxmlformats.org/officeDocument/2006/relationships/hyperlink" Target="https://g20.org/g20-south-africa/g20-presidency/" TargetMode="External"/><Relationship Id="rId442" Type="http://schemas.openxmlformats.org/officeDocument/2006/relationships/hyperlink" Target="https://www.bdbe.de/bioethanol/bioethanol-fakten" TargetMode="External"/><Relationship Id="rId887" Type="http://schemas.openxmlformats.org/officeDocument/2006/relationships/hyperlink" Target="https://eur-lex.europa.eu/legal-content/DE/TXT/PDF/?uri=CELEX:32018R1999" TargetMode="External"/><Relationship Id="rId1072" Type="http://schemas.openxmlformats.org/officeDocument/2006/relationships/hyperlink" Target="https://eur-lex.europa.eu/legal-content/DE/TXT/PDF/?uri=CELEX:52022XC0218(03)" TargetMode="External"/><Relationship Id="rId1500" Type="http://schemas.openxmlformats.org/officeDocument/2006/relationships/hyperlink" Target="https://www.giz.de/de/weltweit/33978.html" TargetMode="External"/><Relationship Id="rId302" Type="http://schemas.openxmlformats.org/officeDocument/2006/relationships/hyperlink" Target="https://www.bundesregierung.de/breg-de/themen/tipps-fuer-verbraucher/klimaschutzgesetz-2197410" TargetMode="External"/><Relationship Id="rId747" Type="http://schemas.openxmlformats.org/officeDocument/2006/relationships/hyperlink" Target="https://de.wikipedia.org/wiki/Treibhausgasminderungsquote" TargetMode="External"/><Relationship Id="rId954" Type="http://schemas.openxmlformats.org/officeDocument/2006/relationships/hyperlink" Target="https://finance.ec.europa.eu/publications/strategy-financing-transition-sustainable-economy_en" TargetMode="External"/><Relationship Id="rId1377" Type="http://schemas.openxmlformats.org/officeDocument/2006/relationships/hyperlink" Target="https://single-market-economy.ec.europa.eu/document/download/7807ca8b-10ce-4ee2-9c11-357afe163190_en?filename=Communication%20-%20Steel%20and%20Metals%20Action%20Plan.pdf" TargetMode="External"/><Relationship Id="rId1584" Type="http://schemas.openxmlformats.org/officeDocument/2006/relationships/hyperlink" Target="https://www.spiegel.de/wirtschaft/china-eu-und-peking-erwaegen-mindestpreis-fuer-elektroautos-aus-der-volksrepublik-a-622c5aee-4020-40bb-b9dc-85377af26ee1" TargetMode="External"/><Relationship Id="rId1791" Type="http://schemas.openxmlformats.org/officeDocument/2006/relationships/hyperlink" Target="https://www.iigcc.org/hubfs/2025%20resources%20upload/IIGCC%20Principles%20for%20developing%20sector%20decarbonisation%20roadmap%20-%20the%20investor%20perspective%20for%20policymakers%202025.pdf" TargetMode="External"/><Relationship Id="rId1805" Type="http://schemas.openxmlformats.org/officeDocument/2006/relationships/hyperlink" Target="https://www.agora-industrie.de/publikationen/klimaschutzvertraege-fuer-die-industrietransformation-stahl" TargetMode="External"/><Relationship Id="rId83" Type="http://schemas.openxmlformats.org/officeDocument/2006/relationships/hyperlink" Target="https://de.wikipedia.org/wiki/Sterntaucher-" TargetMode="External"/><Relationship Id="rId179" Type="http://schemas.openxmlformats.org/officeDocument/2006/relationships/hyperlink" Target="https://www.boell.de/de/2019/01/11/redd-ein-verlorenes-jahrzehnt-fuer-den-internationalen-waldschutz" TargetMode="External"/><Relationship Id="rId386" Type="http://schemas.openxmlformats.org/officeDocument/2006/relationships/hyperlink" Target="https://www.seeoff.de/" TargetMode="External"/><Relationship Id="rId593" Type="http://schemas.openxmlformats.org/officeDocument/2006/relationships/hyperlink" Target="https://www.smard.de/page/home/wiki-article/446/214010/netzebenen" TargetMode="External"/><Relationship Id="rId607" Type="http://schemas.openxmlformats.org/officeDocument/2006/relationships/hyperlink" Target="https://www.faz.net/-gqe-bo5qt" TargetMode="External"/><Relationship Id="rId814" Type="http://schemas.openxmlformats.org/officeDocument/2006/relationships/hyperlink" Target="https://www.agora-industrie.de/fileadmin/Projekte/2021/2021_10_DE_KIT/A-EW_249_Klimaschutzvertraege-Industrietransformation-Studie_WEB.pdf" TargetMode="External"/><Relationship Id="rId1237" Type="http://schemas.openxmlformats.org/officeDocument/2006/relationships/hyperlink" Target="https://climate.ec.europa.eu/system/files/2023-07/news_20230728_c_2023_4950_en.pdf" TargetMode="External"/><Relationship Id="rId1444" Type="http://schemas.openxmlformats.org/officeDocument/2006/relationships/hyperlink" Target="https://carboncredits.com/enbridges-1-2b-solar-plus-storage-project-fuels-path-to-net-zero/" TargetMode="External"/><Relationship Id="rId1651" Type="http://schemas.openxmlformats.org/officeDocument/2006/relationships/hyperlink" Target="https://de.wikipedia.org/wiki/Enercon" TargetMode="External"/><Relationship Id="rId246" Type="http://schemas.openxmlformats.org/officeDocument/2006/relationships/hyperlink" Target="https://library.fes.de/pdf-files/international/21387.pdf" TargetMode="External"/><Relationship Id="rId453" Type="http://schemas.openxmlformats.org/officeDocument/2006/relationships/hyperlink" Target="https://www.bundesregierung.de/breg-de/suche/lkw-maut-co2-2194574" TargetMode="External"/><Relationship Id="rId660" Type="http://schemas.openxmlformats.org/officeDocument/2006/relationships/hyperlink" Target="https://ec.europa.eu/docsroom/documents/50014" TargetMode="External"/><Relationship Id="rId898" Type="http://schemas.openxmlformats.org/officeDocument/2006/relationships/hyperlink" Target="https://eur-lex.europa.eu/legal-content/DE/TXT/PDF/?uri=CELEX:32002D0358&amp;qid=1704382586823" TargetMode="External"/><Relationship Id="rId1083" Type="http://schemas.openxmlformats.org/officeDocument/2006/relationships/hyperlink" Target="https://eur-lex.europa.eu/legal-content/DE/TXT/PDF/?uri=CELEX:52022XC0218(03)" TargetMode="External"/><Relationship Id="rId1290" Type="http://schemas.openxmlformats.org/officeDocument/2006/relationships/hyperlink" Target="https://www.faz.net/-gv6-bnqyy" TargetMode="External"/><Relationship Id="rId1304" Type="http://schemas.openxmlformats.org/officeDocument/2006/relationships/hyperlink" Target="https://www.euractiv.de/section/verkehr/news/eu-mindeststeuern-auf-energie-keine-einigung-in-sicht/" TargetMode="External"/><Relationship Id="rId1511" Type="http://schemas.openxmlformats.org/officeDocument/2006/relationships/hyperlink" Target="https://de.wikipedia.org/wiki/Liste_der_Kernreaktoren_in_Indien" TargetMode="External"/><Relationship Id="rId1749" Type="http://schemas.openxmlformats.org/officeDocument/2006/relationships/hyperlink" Target="https://www.cip.com/" TargetMode="External"/><Relationship Id="rId106" Type="http://schemas.openxmlformats.org/officeDocument/2006/relationships/hyperlink" Target="https://www.youtube.com/watch?v=242pqLSFzh4" TargetMode="External"/><Relationship Id="rId313" Type="http://schemas.openxmlformats.org/officeDocument/2006/relationships/hyperlink" Target="https://www.bmwk.de/Redaktion/DE/Downloads/klimaschutz/entwurf-eines-zweiten-gesetzes-zur-aenderung-des-bundes-klimaschutzgesetzes-stand-juni-2023.pdf?__blob=publicationFile&amp;v=10" TargetMode="External"/><Relationship Id="rId758" Type="http://schemas.openxmlformats.org/officeDocument/2006/relationships/hyperlink" Target="https://b-thg.de/gemeinsame-stellungnahme-zur-treibhausgasminderung-bei-kraftstoffen/" TargetMode="External"/><Relationship Id="rId965" Type="http://schemas.openxmlformats.org/officeDocument/2006/relationships/hyperlink" Target="https://eur-lex.europa.eu/legal-content/DE/TXT/PDF/?uri=CELEX:52020PC0080" TargetMode="External"/><Relationship Id="rId1150" Type="http://schemas.openxmlformats.org/officeDocument/2006/relationships/hyperlink" Target="https://commission.europa.eu/strategy-and-policy/priorities-2019-2024/european-green-deal/repowereu-affordable-secure-and-sustainable-energy-europe_de" TargetMode="External"/><Relationship Id="rId1388" Type="http://schemas.openxmlformats.org/officeDocument/2006/relationships/hyperlink" Target="https://unfccc.int/NDCREG" TargetMode="External"/><Relationship Id="rId1595" Type="http://schemas.openxmlformats.org/officeDocument/2006/relationships/hyperlink" Target="https://single-market-economy.ec.europa.eu/sectors/raw-materials/areas-specific-interest/critical-raw-materials/critical-raw-materials-act_en" TargetMode="External"/><Relationship Id="rId1609" Type="http://schemas.openxmlformats.org/officeDocument/2006/relationships/hyperlink" Target="https://holosolis.com/%20" TargetMode="External"/><Relationship Id="rId1816" Type="http://schemas.openxmlformats.org/officeDocument/2006/relationships/hyperlink" Target="https://www.agora-industrie.de/publikationen/klimaschutzvertraege-fuer-die-industrietransformation-stahl%20" TargetMode="External"/><Relationship Id="rId10" Type="http://schemas.openxmlformats.org/officeDocument/2006/relationships/hyperlink" Target="https://globalenergymonitor.org" TargetMode="External"/><Relationship Id="rId94" Type="http://schemas.openxmlformats.org/officeDocument/2006/relationships/hyperlink" Target="https://eur-lex.europa.eu/content/paris-agreement/paris-agreement.html?locale=de" TargetMode="External"/><Relationship Id="rId397" Type="http://schemas.openxmlformats.org/officeDocument/2006/relationships/hyperlink" Target="https://www.bmwk.de/Redaktion/DE/Publikationen/Energie/monitoringbericht-expertenkommission-zum-energiewende-monitoring.pdf?__blob=publicationFile&amp;v=6" TargetMode="External"/><Relationship Id="rId520" Type="http://schemas.openxmlformats.org/officeDocument/2006/relationships/hyperlink" Target="https://de.wikipedia.org/wiki/Merit-Order" TargetMode="External"/><Relationship Id="rId618" Type="http://schemas.openxmlformats.org/officeDocument/2006/relationships/hyperlink" Target="https://www.youtube.com/watch?v=vaerIpR1K48" TargetMode="External"/><Relationship Id="rId825" Type="http://schemas.openxmlformats.org/officeDocument/2006/relationships/hyperlink" Target="https://www.dehst.de/SharedDocs/downloads/DE/spk/spk-transparenzbericht-2021.pdf?__blob=publicationFile&amp;v=3" TargetMode="External"/><Relationship Id="rId1248" Type="http://schemas.openxmlformats.org/officeDocument/2006/relationships/hyperlink" Target="https://www.europarl.europa.eu/RegData/etudes/ATAG/2023/739378/EPRS_ATA(2023)739378_DE.pdf" TargetMode="External"/><Relationship Id="rId1455" Type="http://schemas.openxmlformats.org/officeDocument/2006/relationships/hyperlink" Target="https://de.wikipedia.org/wiki/Liste_von_Offshore-Windparks_im_Vereinigten_K%C3%B6nigreich" TargetMode="External"/><Relationship Id="rId1662" Type="http://schemas.openxmlformats.org/officeDocument/2006/relationships/hyperlink" Target="https://www.europarl.europa.eu/RegData/etudes/BRIE/2024/757628/EPRS_BRI(2024)757628_EN.pdf" TargetMode="External"/><Relationship Id="rId257" Type="http://schemas.openxmlformats.org/officeDocument/2006/relationships/hyperlink" Target="https://merics.org/de/kommentar/chinas-emerging-decarbonization-toolkit" TargetMode="External"/><Relationship Id="rId464" Type="http://schemas.openxmlformats.org/officeDocument/2006/relationships/hyperlink" Target="https://www.dehst.de/DE/Strompreiskompensation/SPK_verstehen/spk-verstehen_node.html" TargetMode="External"/><Relationship Id="rId1010" Type="http://schemas.openxmlformats.org/officeDocument/2006/relationships/hyperlink" Target="https://www.rwe.com/forschung-und-entwicklung/wasserstoff-projekte/hytech-hafen-rostock/" TargetMode="External"/><Relationship Id="rId1094" Type="http://schemas.openxmlformats.org/officeDocument/2006/relationships/hyperlink" Target="https://commission.europa.eu/topics/eu-competitiveness/draghi-report_en" TargetMode="External"/><Relationship Id="rId1108" Type="http://schemas.openxmlformats.org/officeDocument/2006/relationships/hyperlink" Target="https://euhydrogenweek.eu/" TargetMode="External"/><Relationship Id="rId1315" Type="http://schemas.openxmlformats.org/officeDocument/2006/relationships/hyperlink" Target="https://formatresearch.com/de/2025/03/12/lue-ha-esportato-ferro-e-acciaio-per-un-valore-di-778-miliardi-di-euro-nel-2024-eurostat/" TargetMode="External"/><Relationship Id="rId117" Type="http://schemas.openxmlformats.org/officeDocument/2006/relationships/hyperlink" Target="https://www.cop28.com/en/cop28-presidency" TargetMode="External"/><Relationship Id="rId671" Type="http://schemas.openxmlformats.org/officeDocument/2006/relationships/hyperlink" Target="https://h2globalcluster.eu/" TargetMode="External"/><Relationship Id="rId769" Type="http://schemas.openxmlformats.org/officeDocument/2006/relationships/hyperlink" Target="https://www.umweltrat.de/SharedDocs/Downloads/DE/04_Stellungnahmen/2024_2028/2024_10_CCS.html?nn=400356" TargetMode="External"/><Relationship Id="rId976" Type="http://schemas.openxmlformats.org/officeDocument/2006/relationships/hyperlink" Target="https://eur-lex.europa.eu/legal-content/DE/TXT/PDF/?uri=CELEX:02006L0066-20180704" TargetMode="External"/><Relationship Id="rId1399" Type="http://schemas.openxmlformats.org/officeDocument/2006/relationships/hyperlink" Target="https://en.wikipedia.org/wiki/List_of_countries_by_oil_production" TargetMode="External"/><Relationship Id="rId324" Type="http://schemas.openxmlformats.org/officeDocument/2006/relationships/hyperlink" Target="https://www.germanwatch.org/de/13843" TargetMode="External"/><Relationship Id="rId531" Type="http://schemas.openxmlformats.org/officeDocument/2006/relationships/hyperlink" Target="https://www.bmwk.de/Redaktion/DE/Downloads/P-R/erster-bericht-ueber-die-arbeit-der-pkns.pdf?__blob=publicationFile&amp;v=4" TargetMode="External"/><Relationship Id="rId629" Type="http://schemas.openxmlformats.org/officeDocument/2006/relationships/hyperlink" Target="https://www.bmbf.de/SharedDocs/Downloads/de/2023/230726-fortschreibung-nws.pdf?__blob=publicationFile&amp;v=1" TargetMode="External"/><Relationship Id="rId1161" Type="http://schemas.openxmlformats.org/officeDocument/2006/relationships/hyperlink" Target="https://eur-lex.europa.eu/legal-content/EN/TXT/?uri=CELEX:02018L2001-20240716" TargetMode="External"/><Relationship Id="rId1259" Type="http://schemas.openxmlformats.org/officeDocument/2006/relationships/hyperlink" Target="https://eur-lex.europa.eu/legal-content/DE/TXT/PDF/?uri=CELEX:52023XC0515(01)" TargetMode="External"/><Relationship Id="rId1466" Type="http://schemas.openxmlformats.org/officeDocument/2006/relationships/hyperlink" Target="https://www.german-energy-solutions.de/GES/Redaktion/DE/Publikationen/Marktanalysen/2023/zma-brasilien.pdf?__blob=publicationFile&amp;v=2" TargetMode="External"/><Relationship Id="rId836" Type="http://schemas.openxmlformats.org/officeDocument/2006/relationships/hyperlink" Target="https://www.consilium.europa.eu/de/meetings/european-council/2024/04/17-18/" TargetMode="External"/><Relationship Id="rId1021" Type="http://schemas.openxmlformats.org/officeDocument/2006/relationships/hyperlink" Target="https://eur-lex.europa.eu/legal-content/EN/TXT/?uri=CELEX:02023R1184-20240610" TargetMode="External"/><Relationship Id="rId1119" Type="http://schemas.openxmlformats.org/officeDocument/2006/relationships/hyperlink" Target="https://ec.europa.eu/commission/presscorner/detail/en/ip_20_1839" TargetMode="External"/><Relationship Id="rId1673" Type="http://schemas.openxmlformats.org/officeDocument/2006/relationships/hyperlink" Target="https://lkab.com/en/press/europes-largest-deposit-of-rare-earth-metals-is-located-in-the-kiruna-area/" TargetMode="External"/><Relationship Id="rId903" Type="http://schemas.openxmlformats.org/officeDocument/2006/relationships/hyperlink" Target="https://www.europarl.europa.eu/committees/de/envi/home/highlights" TargetMode="External"/><Relationship Id="rId1326" Type="http://schemas.openxmlformats.org/officeDocument/2006/relationships/hyperlink" Target="https://www.bmwk.de/Redaktion/DE/Publikationen/Klimaschutz/leitmaerkte-fuer-klimafreundliche-grundstoffe.html%20" TargetMode="External"/><Relationship Id="rId1533" Type="http://schemas.openxmlformats.org/officeDocument/2006/relationships/hyperlink" Target="https://de.wikipedia.org/wiki/Solarworld" TargetMode="External"/><Relationship Id="rId1740" Type="http://schemas.openxmlformats.org/officeDocument/2006/relationships/hyperlink" Target="https://www.euractiv.de/section/energie-und-umwelt/news/stahlindustrie-draengt-auf-eu-quoten-fuer-gruenen-stahl-im-automobilsektor/" TargetMode="External"/><Relationship Id="rId32" Type="http://schemas.openxmlformats.org/officeDocument/2006/relationships/hyperlink" Target="https://www.umweltbundesamt.de/sites/default/files/medien/479/publikationen/texte_159-2022_aktualisierung_der_emissionsfaktoren_fuer_methan_fuer_die_erdgasbereitstellung.pdf" TargetMode="External"/><Relationship Id="rId1600" Type="http://schemas.openxmlformats.org/officeDocument/2006/relationships/hyperlink" Target="https://eur-lex.europa.eu/legal-content/EN/TXT/?uri=OJ:L_202401252" TargetMode="External"/><Relationship Id="rId1838" Type="http://schemas.openxmlformats.org/officeDocument/2006/relationships/hyperlink" Target="https://www.svp.de/steamcracker-das-herz-des-chemieparks-wird-elektrisch/" TargetMode="External"/><Relationship Id="rId181" Type="http://schemas.openxmlformats.org/officeDocument/2006/relationships/hyperlink" Target="https://www.cfp.energy/en/insight/cop29-article-6-approved" TargetMode="External"/><Relationship Id="rId279" Type="http://schemas.openxmlformats.org/officeDocument/2006/relationships/hyperlink" Target="https://de.statista.com/statistik/daten/studie/184414/umfrage/umsatz-der-top-10-oel-und-gaskonzerne-weltweit/" TargetMode="External"/><Relationship Id="rId486" Type="http://schemas.openxmlformats.org/officeDocument/2006/relationships/hyperlink" Target="https://de.wikipedia.org/wiki/Solarpark_Bhadla" TargetMode="External"/><Relationship Id="rId693" Type="http://schemas.openxmlformats.org/officeDocument/2006/relationships/hyperlink" Target="https://www.bmwk.de/Redaktion/DE/Pressemitteilungen/2025/20250411-vom-bundesministerium-fuer-wirtschaft-und-klimaschutz-gefoerdertes-wasserstoffprojekt-oshivela-hyIronin-namibia-eroeffnet.html" TargetMode="External"/><Relationship Id="rId139" Type="http://schemas.openxmlformats.org/officeDocument/2006/relationships/hyperlink" Target="https://centurionlg.com/2023/12/20/navigating-the-future-with-cop28s-global-decarbonization-accelerator/" TargetMode="External"/><Relationship Id="rId346" Type="http://schemas.openxmlformats.org/officeDocument/2006/relationships/hyperlink" Target="https://www.bmwk.de/Redaktion/DE/Publikationen/Klimaschutz/leitmaerkte-fuer-klimafreundliche-grundstoffe.html" TargetMode="External"/><Relationship Id="rId553" Type="http://schemas.openxmlformats.org/officeDocument/2006/relationships/hyperlink" Target="https://www.windbeteiligung-mv.de/" TargetMode="External"/><Relationship Id="rId760" Type="http://schemas.openxmlformats.org/officeDocument/2006/relationships/hyperlink" Target="https://www.adac.de/rund-ums-fahrzeug/elektromobilitaet/kaufen/foerderung-elektroautos/" TargetMode="External"/><Relationship Id="rId998" Type="http://schemas.openxmlformats.org/officeDocument/2006/relationships/hyperlink" Target="https://commission.europa.eu/topics/energy/repowereu_en" TargetMode="External"/><Relationship Id="rId1183" Type="http://schemas.openxmlformats.org/officeDocument/2006/relationships/hyperlink" Target="https://ec.europa.eu/commission/presscorner/detail/en/ip_23_510" TargetMode="External"/><Relationship Id="rId1390" Type="http://schemas.openxmlformats.org/officeDocument/2006/relationships/hyperlink" Target="https://www.zdf.de/nachrichten/politik/ausland/trump-usa-pariser-klimaabkommen-ausstieg-folgen-100.html" TargetMode="External"/><Relationship Id="rId206" Type="http://schemas.openxmlformats.org/officeDocument/2006/relationships/hyperlink" Target="https://www.theguardian.com/environment/2024/jan/17/eu-bans-misleading-environmental-claims-that-rely-on-offsetting" TargetMode="External"/><Relationship Id="rId413" Type="http://schemas.openxmlformats.org/officeDocument/2006/relationships/hyperlink" Target="https://eur-lex.europa.eu/legal-content/DE/TXT/?uri=celex:32019R0631" TargetMode="External"/><Relationship Id="rId858" Type="http://schemas.openxmlformats.org/officeDocument/2006/relationships/hyperlink" Target="https://ec.europa.eu/commission/presscorner/detail/en/MEMO_12_999" TargetMode="External"/><Relationship Id="rId1043" Type="http://schemas.openxmlformats.org/officeDocument/2006/relationships/hyperlink" Target="https://eur-lex.europa.eu/legal-content/DE/TXT/PDF/?uri=CELEX:52016XC0719(05)" TargetMode="External"/><Relationship Id="rId1488" Type="http://schemas.openxmlformats.org/officeDocument/2006/relationships/hyperlink" Target="https://asiazeroemission.com/" TargetMode="External"/><Relationship Id="rId1695" Type="http://schemas.openxmlformats.org/officeDocument/2006/relationships/hyperlink" Target="https://www.catl.com/en/news/6237.html" TargetMode="External"/><Relationship Id="rId620" Type="http://schemas.openxmlformats.org/officeDocument/2006/relationships/hyperlink" Target="https://www.youtube.com/watch?v=ft213bIC8L4" TargetMode="External"/><Relationship Id="rId718" Type="http://schemas.openxmlformats.org/officeDocument/2006/relationships/hyperlink" Target="https://www.erneuerbare-energien.de/EE/Redaktion/DE/Standardartikel/gesetz_zur_einrichtung_eines_sondervermorgens.html" TargetMode="External"/><Relationship Id="rId925" Type="http://schemas.openxmlformats.org/officeDocument/2006/relationships/hyperlink" Target="https://www.consilium.europa.eu/de/policies/green-deal/timeline-european-green-deal-and-fit-for-55/" TargetMode="External"/><Relationship Id="rId1250" Type="http://schemas.openxmlformats.org/officeDocument/2006/relationships/hyperlink" Target="https://www.consilium.europa.eu/de/press/press-releases/2023/03/28/fit-for-55-council-adopts-decision-on-market-stability-reserve/" TargetMode="External"/><Relationship Id="rId1348" Type="http://schemas.openxmlformats.org/officeDocument/2006/relationships/hyperlink" Target="https://energy.ec.europa.eu/system/files/2023-12/Charter_logos_final_02.pdf" TargetMode="External"/><Relationship Id="rId1555" Type="http://schemas.openxmlformats.org/officeDocument/2006/relationships/hyperlink" Target="https://www.tradelawcounsel.com/solar" TargetMode="External"/><Relationship Id="rId1762" Type="http://schemas.openxmlformats.org/officeDocument/2006/relationships/hyperlink" Target="https://www.destatis.de/DE/Themen/Gesellschaft-Umwelt/Umwelt/UGR/steuern-weitere-abgaben/Tabellen/gesamtaufkommen-steuern.html" TargetMode="External"/><Relationship Id="rId1110" Type="http://schemas.openxmlformats.org/officeDocument/2006/relationships/hyperlink" Target="https://balticseahydrogencollector.com/news/" TargetMode="External"/><Relationship Id="rId1208" Type="http://schemas.openxmlformats.org/officeDocument/2006/relationships/hyperlink" Target="https://eur-lex.europa.eu/legal-content/DE/TXT/PDF/?uri=CELEX:32019D0708&amp;from=DE" TargetMode="External"/><Relationship Id="rId1415" Type="http://schemas.openxmlformats.org/officeDocument/2006/relationships/hyperlink" Target="https://www.energy.gov/sites/default/files/2024-04/energy-earthshots-2024-factsheet.pdf" TargetMode="External"/><Relationship Id="rId54" Type="http://schemas.openxmlformats.org/officeDocument/2006/relationships/hyperlink" Target="https://www.albemarle.com/global/en" TargetMode="External"/><Relationship Id="rId1622" Type="http://schemas.openxmlformats.org/officeDocument/2006/relationships/hyperlink" Target="https://www.oxfordpv.com/" TargetMode="External"/><Relationship Id="rId270" Type="http://schemas.openxmlformats.org/officeDocument/2006/relationships/hyperlink" Target="https://www.tagesschau.de/ausland/europa/habeck-algerien-102.html" TargetMode="External"/><Relationship Id="rId130" Type="http://schemas.openxmlformats.org/officeDocument/2006/relationships/hyperlink" Target="https://unfccc.int/documents/636517" TargetMode="External"/><Relationship Id="rId368" Type="http://schemas.openxmlformats.org/officeDocument/2006/relationships/hyperlink" Target="https://www.bundesnetzagentur.de/DE/Fachthemen/ElektrizitaetundGas/Ausschreibungen/start.html" TargetMode="External"/><Relationship Id="rId575" Type="http://schemas.openxmlformats.org/officeDocument/2006/relationships/hyperlink" Target="https://www.bundesnetzagentur.de/DE/Fachthemen/ElektrizitaetundGas/NEP/Strom/start.html" TargetMode="External"/><Relationship Id="rId782" Type="http://schemas.openxmlformats.org/officeDocument/2006/relationships/hyperlink" Target="https://h2-news.de/wirtschaft-unternehmen/stuttgart-h2-ready-gaskraftwerk-nimmt-betrieb-auf/" TargetMode="External"/><Relationship Id="rId228" Type="http://schemas.openxmlformats.org/officeDocument/2006/relationships/hyperlink" Target="https://www.consilium.europa.eu/media/l11hh2mb/g20-rio-de-janeiro-leaders-declaration-final.pdf" TargetMode="External"/><Relationship Id="rId435" Type="http://schemas.openxmlformats.org/officeDocument/2006/relationships/hyperlink" Target="https://www.consilium.europa.eu/en/press/press-releases/2023/10/09/refueleu-aviation-initiative-council-adopts-new-law-to-decarbonise-the-aviation-sector/%20" TargetMode="External"/><Relationship Id="rId642" Type="http://schemas.openxmlformats.org/officeDocument/2006/relationships/hyperlink" Target="https://www.netzentwicklungsplan.de/sites/default/files/2024-07/Szenariorahmenentwurf_NEP2037_2025_1.pdf" TargetMode="External"/><Relationship Id="rId1065" Type="http://schemas.openxmlformats.org/officeDocument/2006/relationships/hyperlink" Target="https://eur-lex.europa.eu/legal-content/DE/TXT/PDF/?uri=CELEX:52022XC0218(03)" TargetMode="External"/><Relationship Id="rId1272" Type="http://schemas.openxmlformats.org/officeDocument/2006/relationships/hyperlink" Target="https://ec.europa.eu/commission/presscorner/detail/en/ip_23_4105" TargetMode="External"/><Relationship Id="rId502" Type="http://schemas.openxmlformats.org/officeDocument/2006/relationships/hyperlink" Target="https://www.bundesnetzagentur.de/DE/Fachthemen/ElektrizitaetundGas/Ausschreibungen/start.html" TargetMode="External"/><Relationship Id="rId947" Type="http://schemas.openxmlformats.org/officeDocument/2006/relationships/hyperlink" Target="https://www.efre.nrw.de/" TargetMode="External"/><Relationship Id="rId1132" Type="http://schemas.openxmlformats.org/officeDocument/2006/relationships/hyperlink" Target="https://ec.europa.eu/commission/presscorner/detail/en/ip_21_6682" TargetMode="External"/><Relationship Id="rId1577" Type="http://schemas.openxmlformats.org/officeDocument/2006/relationships/hyperlink" Target="https://tron.trade.ec.europa.eu/investigations/ongoing" TargetMode="External"/><Relationship Id="rId1784" Type="http://schemas.openxmlformats.org/officeDocument/2006/relationships/hyperlink" Target="https://www.aspire2050.eu/p4planet/about-p4planet" TargetMode="External"/><Relationship Id="rId76" Type="http://schemas.openxmlformats.org/officeDocument/2006/relationships/hyperlink" Target="https://www.umweltbundesamt.de/daten/energie/energieverbrauch-nach-energietraegern-sektoren" TargetMode="External"/><Relationship Id="rId807" Type="http://schemas.openxmlformats.org/officeDocument/2006/relationships/hyperlink" Target="https://www.agora-industrie.de/fileadmin/Projekte/2021/2021_10_DE_KIT/A-EW_249_Klimaschutzvertraege-Industrietransformation-Studie_WEB.pdf" TargetMode="External"/><Relationship Id="rId1437" Type="http://schemas.openxmlformats.org/officeDocument/2006/relationships/hyperlink" Target="https://www.rifs-potsdam.de/de/ergebnisse/publikationen/2023/us-hydrogen-policy-paving-way-energy-independence-technology" TargetMode="External"/><Relationship Id="rId1644" Type="http://schemas.openxmlformats.org/officeDocument/2006/relationships/hyperlink" Target="https://www.wto.org/english/res_e/publications_e/ai17_e/anti_dumping_art8_jur.pdf" TargetMode="External"/><Relationship Id="rId1851" Type="http://schemas.openxmlformats.org/officeDocument/2006/relationships/hyperlink" Target="https://www.architekturblatt.de/bundeswirtschaftsminister-robert-habeck-uebergibt-klimaschutzvertrag-an-isover-und-saint-gobain-glass/" TargetMode="External"/><Relationship Id="rId1504" Type="http://schemas.openxmlformats.org/officeDocument/2006/relationships/hyperlink" Target="https://www.dehst.de/DE/Themen/EU-ETS-1/EU-ETS-1-Informationen/Internationales/internationales_node.html" TargetMode="External"/><Relationship Id="rId1711" Type="http://schemas.openxmlformats.org/officeDocument/2006/relationships/hyperlink" Target="https://www.iea.org/reports/definitions-for-near-zero-and-low-emissions-steel-and-cement-and-underlying-emissions-measurement-methodologies" TargetMode="External"/><Relationship Id="rId292" Type="http://schemas.openxmlformats.org/officeDocument/2006/relationships/hyperlink" Target="https://www.bundesnetzagentur.de/DE/Fachthemen/ElektrizitaetundGas/Kohleausstieg/EKBG/start.html" TargetMode="External"/><Relationship Id="rId1809" Type="http://schemas.openxmlformats.org/officeDocument/2006/relationships/hyperlink" Target="https://www.wiwo.de/unternehmen/industrie/stahlstandort-deutschland-ist-eine-deutsche-stahl-ag-doch-die-antwort-auf-die-krise/29991164.html" TargetMode="External"/><Relationship Id="rId597" Type="http://schemas.openxmlformats.org/officeDocument/2006/relationships/hyperlink" Target="https://www.netzentwicklungsplan.de/sites/default/files/2023-12/NEP%20kompakt_2037_2045_V2023_2E.pdf" TargetMode="External"/><Relationship Id="rId152" Type="http://schemas.openxmlformats.org/officeDocument/2006/relationships/hyperlink" Target="https://www.faz.net/pro/weltwirtschaft/klima-ressourcen/die-weltklimakonferenz-cop29-ringt-um-klimahilfen-fuer-arme-laender-110108427.html" TargetMode="External"/><Relationship Id="rId457" Type="http://schemas.openxmlformats.org/officeDocument/2006/relationships/hyperlink" Target="https://www.faz.net/aktuell/wirtschaft/brennstoffgesetz-hohe-co2-kosten-koennten-ins-leere-laufen-17094218.html?printPagedArticle=true" TargetMode="External"/><Relationship Id="rId1087" Type="http://schemas.openxmlformats.org/officeDocument/2006/relationships/hyperlink" Target="https://www.get-h2.de/" TargetMode="External"/><Relationship Id="rId1294" Type="http://schemas.openxmlformats.org/officeDocument/2006/relationships/hyperlink" Target="https://www.dehst.de/DE/Europaeischer-Emissionshandel/Sanktionierung/sanktionierung_node.html" TargetMode="External"/><Relationship Id="rId664" Type="http://schemas.openxmlformats.org/officeDocument/2006/relationships/hyperlink" Target="https://www.umweltbundesamt.de/bild/stromerzeugung-aus-erneuerbaren-energien-im-jahr" TargetMode="External"/><Relationship Id="rId871" Type="http://schemas.openxmlformats.org/officeDocument/2006/relationships/hyperlink" Target="https://data.consilium.europa.eu/doc/document/ST-169-2014-INIT/de/pdf" TargetMode="External"/><Relationship Id="rId969" Type="http://schemas.openxmlformats.org/officeDocument/2006/relationships/hyperlink" Target="https://eur-lex.europa.eu/legal-content/DE/TXT/PDF/?uri=CELEX:32021R1119&amp;from=FR%20" TargetMode="External"/><Relationship Id="rId1599" Type="http://schemas.openxmlformats.org/officeDocument/2006/relationships/hyperlink" Target="https://single-market-economy.ec.europa.eu/industry/sustainability/net-zero-industry-act_en" TargetMode="External"/><Relationship Id="rId317" Type="http://schemas.openxmlformats.org/officeDocument/2006/relationships/hyperlink" Target="https://www.gesetze-bayern.de/Content/Document/BayKlimaG" TargetMode="External"/><Relationship Id="rId524" Type="http://schemas.openxmlformats.org/officeDocument/2006/relationships/hyperlink" Target="https://ockenfels.uni-koeln.de/fileadmin/wiso_fak/stawi-ockenfels/pdf/Presse/Stromboerse_und_Marktmacht.pdf" TargetMode="External"/><Relationship Id="rId731" Type="http://schemas.openxmlformats.org/officeDocument/2006/relationships/hyperlink" Target="https://www.klimaschutz.de/de/foerderung/foerderkompass" TargetMode="External"/><Relationship Id="rId1154" Type="http://schemas.openxmlformats.org/officeDocument/2006/relationships/hyperlink" Target="https://eur-lex.europa.eu/resource.html?uri=cellar:fc930f14-d7ae-11ec-a95f-01aa75ed71a1.0001.02/DOC_1&amp;format=PDF" TargetMode="External"/><Relationship Id="rId1361" Type="http://schemas.openxmlformats.org/officeDocument/2006/relationships/hyperlink" Target="https://www.eca.europa.eu/de/publications/SR-2024-11" TargetMode="External"/><Relationship Id="rId1459" Type="http://schemas.openxmlformats.org/officeDocument/2006/relationships/hyperlink" Target="https://www.gtai.de/de/trade/irland-wirtschaft/energiewirtschaft" TargetMode="External"/><Relationship Id="rId98" Type="http://schemas.openxmlformats.org/officeDocument/2006/relationships/hyperlink" Target="https://www.ipcc.ch/2022/04/04/ipcc-ar6-wgiii-pressrelease/" TargetMode="External"/><Relationship Id="rId829" Type="http://schemas.openxmlformats.org/officeDocument/2006/relationships/hyperlink" Target="https://www.spd.de/fileadmin/Dokumente/Koalitionsvertrag_2025.pdf" TargetMode="External"/><Relationship Id="rId1014" Type="http://schemas.openxmlformats.org/officeDocument/2006/relationships/hyperlink" Target="https://www.bmwk.de/Redaktion/DE/Downloads/I/ipcei-deutsche-hy2infra-projekte.pdf?__blob=publicationFile&amp;v=7" TargetMode="External"/><Relationship Id="rId1221" Type="http://schemas.openxmlformats.org/officeDocument/2006/relationships/hyperlink" Target="https://eur-lex.europa.eu/legal-content/DE/TXT/PDF/?uri=CELEX:32023R0956" TargetMode="External"/><Relationship Id="rId1666" Type="http://schemas.openxmlformats.org/officeDocument/2006/relationships/hyperlink" Target="https://windeurope.org/newsroom/press-releases/eu-starts-investigation-into-chinese-wind-turbines-under-new-foreign-subsidies-regulation/" TargetMode="External"/><Relationship Id="rId1319" Type="http://schemas.openxmlformats.org/officeDocument/2006/relationships/hyperlink" Target="https://www.wvstahl.de/wp-content/uploads/20250429_Statistisches-Jahresbuch_final.pdf" TargetMode="External"/><Relationship Id="rId1526" Type="http://schemas.openxmlformats.org/officeDocument/2006/relationships/hyperlink" Target="https://eur-lex.europa.eu/legal-content/EN/TXT/PDF/?uri=CELEX:32013D0707&amp;from=EN" TargetMode="External"/><Relationship Id="rId1733" Type="http://schemas.openxmlformats.org/officeDocument/2006/relationships/hyperlink" Target="https://www.rwe.com/presse/interviews/wir-koennten-bei-der-energiewende-richtig-viel-geld-einsparen/" TargetMode="External"/><Relationship Id="rId25" Type="http://schemas.openxmlformats.org/officeDocument/2006/relationships/hyperlink" Target="https://www.kas.de/de/laenderberichte/detail/-/content/energiewende-in-indien" TargetMode="External"/><Relationship Id="rId1800" Type="http://schemas.openxmlformats.org/officeDocument/2006/relationships/hyperlink" Target="https://www.eib.org/attachments/lucalli/20240364_eib_group_operational_plan_2025_de.pdf" TargetMode="External"/><Relationship Id="rId174" Type="http://schemas.openxmlformats.org/officeDocument/2006/relationships/hyperlink" Target="https://www.cfp.energy/en/insight/cop29-article-6-approved" TargetMode="External"/><Relationship Id="rId381" Type="http://schemas.openxmlformats.org/officeDocument/2006/relationships/hyperlink" Target="https://de.wikipedia.org/wiki/Offshore-Windpark_alpha_ventus" TargetMode="External"/><Relationship Id="rId241" Type="http://schemas.openxmlformats.org/officeDocument/2006/relationships/hyperlink" Target="https://www.engineeringnews.co.za/article/ipg-confirms-increase-in-just-energy-transition-funding-to-93bn-2023-11-20" TargetMode="External"/><Relationship Id="rId479" Type="http://schemas.openxmlformats.org/officeDocument/2006/relationships/hyperlink" Target="https://www.agora-energiewende.de/publikationen/die-energiewende-in-deutschland-stand-der-dinge-2024" TargetMode="External"/><Relationship Id="rId686" Type="http://schemas.openxmlformats.org/officeDocument/2006/relationships/hyperlink" Target="https://gen2energy.com/projects/production-sites/?_gl=1*1v4ufib*_up*MQ..*_ga*MTAxMDQ0MzM0MS4xNzM4ODgxMDAz*_ga_2G9JLTXMYT*MTczODg4MTAwMi4xLjAuMTczODg4MTAwMi4wLjAuMA" TargetMode="External"/><Relationship Id="rId893" Type="http://schemas.openxmlformats.org/officeDocument/2006/relationships/hyperlink" Target="https://www.bmwk.de/Redaktion/DE/Textsammlungen/Energie/necp.html" TargetMode="External"/><Relationship Id="rId339" Type="http://schemas.openxmlformats.org/officeDocument/2006/relationships/hyperlink" Target="https://www.ipr.uni-heidelberg.de/personen/weller/" TargetMode="External"/><Relationship Id="rId546" Type="http://schemas.openxmlformats.org/officeDocument/2006/relationships/hyperlink" Target="https://www.bmwk.de/Redaktion/DE/Publikationen/Energie/20240801-strommarktdesign-der-zukunft.pdf?__blob=publicationFile&amp;v=10" TargetMode="External"/><Relationship Id="rId753" Type="http://schemas.openxmlformats.org/officeDocument/2006/relationships/hyperlink" Target="https://www.bundestag.de/dokumente/textarchiv/2024/kw24-de-aktuelle-stunde-klima-1008086" TargetMode="External"/><Relationship Id="rId1176" Type="http://schemas.openxmlformats.org/officeDocument/2006/relationships/hyperlink" Target="https://solaralliance.eu/" TargetMode="External"/><Relationship Id="rId1383" Type="http://schemas.openxmlformats.org/officeDocument/2006/relationships/hyperlink" Target="https://publications.jrc.ec.europa.eu/repository/handle/JRC137685" TargetMode="External"/><Relationship Id="rId101" Type="http://schemas.openxmlformats.org/officeDocument/2006/relationships/hyperlink" Target="https://unfccc.int/sites/default/files/NDC/2023-10/ES-2023-10-17%20EU%20submission%20NDC%20update.pdf" TargetMode="External"/><Relationship Id="rId406" Type="http://schemas.openxmlformats.org/officeDocument/2006/relationships/hyperlink" Target="https://www.lee-nrw.de/positionen/stellungnahme-zur-photovoltaik-freiflaechenverordnung-1/" TargetMode="External"/><Relationship Id="rId960" Type="http://schemas.openxmlformats.org/officeDocument/2006/relationships/hyperlink" Target="https://www.consilium.europa.eu/de/press/press-releases/2021/05/05/european-climate-law-council-and-parliament-reach-provisional-agreement/" TargetMode="External"/><Relationship Id="rId1036" Type="http://schemas.openxmlformats.org/officeDocument/2006/relationships/hyperlink" Target="https://competition-policy.ec.europa.eu/publications/annual-reports_en" TargetMode="External"/><Relationship Id="rId1243" Type="http://schemas.openxmlformats.org/officeDocument/2006/relationships/hyperlink" Target="https://climate.ec.europa.eu/news-your-voice/news/ets-market-stability-reserve-reduce-auction-volume-over-272-million-allowances-between-september-2023-05-15_en" TargetMode="External"/><Relationship Id="rId1590" Type="http://schemas.openxmlformats.org/officeDocument/2006/relationships/hyperlink" Target="https://tron.trade.ec.europa.eu/investigations/case-history?caseId=1932" TargetMode="External"/><Relationship Id="rId1688" Type="http://schemas.openxmlformats.org/officeDocument/2006/relationships/hyperlink" Target="https://www.stmwi.bayern.de/foerderungen/elektrolyseurinfrastruktur/" TargetMode="External"/><Relationship Id="rId613" Type="http://schemas.openxmlformats.org/officeDocument/2006/relationships/hyperlink" Target="https://www.interconnector.de/energieblog/redispatch-2-0-was-anlagenbetreiber-jetzt-wissen-muessen/" TargetMode="External"/><Relationship Id="rId820" Type="http://schemas.openxmlformats.org/officeDocument/2006/relationships/hyperlink" Target="https://www1.wdr.de/nachrichten/ruhrgebiet/wasserstoff-statt-koks-und-kohle-100.html" TargetMode="External"/><Relationship Id="rId918" Type="http://schemas.openxmlformats.org/officeDocument/2006/relationships/hyperlink" Target="https://commission.europa.eu/law/application-eu-law/implementing-eu-law/infringement-procedure/2022-annual-report-monitoring-application-eu-law/environment-2022_en" TargetMode="External"/><Relationship Id="rId1450" Type="http://schemas.openxmlformats.org/officeDocument/2006/relationships/hyperlink" Target="https://www.whitehouse.gov/cleanenergy/clean-energy-updates/2023/12/01/treasury-doe-release-proposed-guidance-to-strengthen-domestic-supply-chains-for-batteries-and-electric-vehicles-ensure-the-u-s-leads-the-clean-vehicle-future/" TargetMode="External"/><Relationship Id="rId1548" Type="http://schemas.openxmlformats.org/officeDocument/2006/relationships/hyperlink" Target="https://seia.org/research-resources/american-solar-storage-manufacturing-renaissance-managing-transition-away-china/" TargetMode="External"/><Relationship Id="rId1755" Type="http://schemas.openxmlformats.org/officeDocument/2006/relationships/hyperlink" Target="https://www.destatis.de/DE/Themen/Wirtschaft/Volkswirtschaftliche-Gesamtrechnungen-Inlandsprodukt/Tabellen/bip-bubbles.html" TargetMode="External"/><Relationship Id="rId1103" Type="http://schemas.openxmlformats.org/officeDocument/2006/relationships/hyperlink" Target="https://ec.europa.eu/commission/presscorner/detail/en/qanda_23_6048" TargetMode="External"/><Relationship Id="rId1310" Type="http://schemas.openxmlformats.org/officeDocument/2006/relationships/hyperlink" Target="https://eur-lex.europa.eu/legal-content/DE/TXT/PDF/?uri=CELEX:02023R0956-20230516" TargetMode="External"/><Relationship Id="rId1408" Type="http://schemas.openxmlformats.org/officeDocument/2006/relationships/hyperlink" Target="https://www.irs.gov/newsroom/irs-ramps-up-new-initiatives-using-inflation-reduction-act-funding-to-ensure-complex-partnerships-large-corporations-pay-taxes-owed-continues-to-close-millionaire-tax-debt-cases" TargetMode="External"/><Relationship Id="rId47" Type="http://schemas.openxmlformats.org/officeDocument/2006/relationships/hyperlink" Target="https://edgar.jrc.ec.europa.eu/report_2023" TargetMode="External"/><Relationship Id="rId1615" Type="http://schemas.openxmlformats.org/officeDocument/2006/relationships/hyperlink" Target="https://carbon-solar.com/en/carbonnews/carbonnews-carbonnews/the-ministry-of-the-economy-reaffirms-its-support-for-a-sustainable-industry/" TargetMode="External"/><Relationship Id="rId1822" Type="http://schemas.openxmlformats.org/officeDocument/2006/relationships/hyperlink" Target="https://eur-lex.europa.eu/legal-content/EN/TXT/PDF/?uri=OJ:C_202502983" TargetMode="External"/><Relationship Id="rId196" Type="http://schemas.openxmlformats.org/officeDocument/2006/relationships/hyperlink" Target="https://frontierclimate.com/" TargetMode="External"/><Relationship Id="rId263" Type="http://schemas.openxmlformats.org/officeDocument/2006/relationships/hyperlink" Target="https://www.bmz.de/de/aktuelles/deutsche-g7-praesidentschaft-just-energy-transition-partnerships-114320" TargetMode="External"/><Relationship Id="rId470" Type="http://schemas.openxmlformats.org/officeDocument/2006/relationships/hyperlink" Target="https://www.dehst.de/SharedDocs/downloads/DE/spk/Auswertungsbericht_2023.pdf?__blob=publicationFile&amp;v=3" TargetMode="External"/><Relationship Id="rId123" Type="http://schemas.openxmlformats.org/officeDocument/2006/relationships/hyperlink" Target="https://unfccc.int/sites/default/files/resource/cma2023_L17_adv.pdf" TargetMode="External"/><Relationship Id="rId330" Type="http://schemas.openxmlformats.org/officeDocument/2006/relationships/hyperlink" Target="https://hudoc.echr.coe.int/eng?i=001-233206" TargetMode="External"/><Relationship Id="rId568" Type="http://schemas.openxmlformats.org/officeDocument/2006/relationships/hyperlink" Target="https://de.wikipedia.org/wiki/Verteilnetzbetreiber" TargetMode="External"/><Relationship Id="rId775" Type="http://schemas.openxmlformats.org/officeDocument/2006/relationships/hyperlink" Target="https://eur-lex.europa.eu/legal-content/DE/TXT/?uri=celex:52022XC0218(03)" TargetMode="External"/><Relationship Id="rId982" Type="http://schemas.openxmlformats.org/officeDocument/2006/relationships/hyperlink" Target="https://eur-lex.europa.eu/legal-content/EN/TXT/?uri=CELEX:32024R1781" TargetMode="External"/><Relationship Id="rId1198" Type="http://schemas.openxmlformats.org/officeDocument/2006/relationships/hyperlink" Target="https://www.energy.gov/sites/default/files/2022-02/Neodymium%20Magnets%20Supply%20Chain%20Fact%20Sheet%20Final.pdf" TargetMode="External"/><Relationship Id="rId428" Type="http://schemas.openxmlformats.org/officeDocument/2006/relationships/hyperlink" Target="https://www.youtube.com/watch?v=KOawGXRRJFY&amp;t=8s" TargetMode="External"/><Relationship Id="rId635" Type="http://schemas.openxmlformats.org/officeDocument/2006/relationships/hyperlink" Target="https://www.wasserstoffrat.de/fileadmin/wasserstoffrat/media/Dokumente/2023/2023-07-24-NWR_Stellungnahme_Fortschreibung-der-NWS.pdf" TargetMode="External"/><Relationship Id="rId842" Type="http://schemas.openxmlformats.org/officeDocument/2006/relationships/hyperlink" Target="https://eur-lex.europa.eu/LexUriServ/LexUriServ.do?uri=COM:2000:0088:FIN:EN:PDF" TargetMode="External"/><Relationship Id="rId1058" Type="http://schemas.openxmlformats.org/officeDocument/2006/relationships/hyperlink" Target="https://eur-lex.europa.eu/legal-content/EN/TXT/?uri=CELEX:52023DC0062" TargetMode="External"/><Relationship Id="rId1265" Type="http://schemas.openxmlformats.org/officeDocument/2006/relationships/hyperlink" Target="https://eur-lex.europa.eu/legal-content/DE/TXT/PDF/?uri=CELEX:32023L0959" TargetMode="External"/><Relationship Id="rId1472" Type="http://schemas.openxmlformats.org/officeDocument/2006/relationships/hyperlink" Target="https://www.blackrock.com/ch/individual/en/products/325351/blackrock-climate-transition-multi-asset-fund" TargetMode="External"/><Relationship Id="rId702" Type="http://schemas.openxmlformats.org/officeDocument/2006/relationships/hyperlink" Target="https://www.eca.europa.eu/de/publications/SR-2024-11" TargetMode="External"/><Relationship Id="rId1125" Type="http://schemas.openxmlformats.org/officeDocument/2006/relationships/hyperlink" Target="https://ec.europa.eu/commission/presscorner/detail/en/ip_21_2341" TargetMode="External"/><Relationship Id="rId1332" Type="http://schemas.openxmlformats.org/officeDocument/2006/relationships/hyperlink" Target="https://www.klimareporter.de/europaeische-union/in-der-klimaaussenpolitik-mit-dem-groessten-co2-emittenten-schwaecht-sich-die-eu-selbst" TargetMode="External"/><Relationship Id="rId1777" Type="http://schemas.openxmlformats.org/officeDocument/2006/relationships/hyperlink" Target="https://www.bmwk.de/Redaktion/DE/Publikationen/Wirtschaft/handlungskonzept-stahl.html" TargetMode="External"/><Relationship Id="rId69" Type="http://schemas.openxmlformats.org/officeDocument/2006/relationships/hyperlink" Target="https://www.landtag.nrw.de/portal/WWW/dokumentenarchiv/Dokument/MMD18-9763.pdf" TargetMode="External"/><Relationship Id="rId1637" Type="http://schemas.openxmlformats.org/officeDocument/2006/relationships/hyperlink" Target="https://www.saechsische.de/sachsen/meyer-burger-pleite-im-osten-steuerzahler-buergen-fuer-hohen-millionenkredit-HETKRLICRRCUNN6IZREBELBVLY.html" TargetMode="External"/><Relationship Id="rId1844" Type="http://schemas.openxmlformats.org/officeDocument/2006/relationships/hyperlink" Target="https://www.kunststoffe.de/a/news/habeck-ueberreicht-basf-klimaschutzvertr-6205260" TargetMode="External"/><Relationship Id="rId1704" Type="http://schemas.openxmlformats.org/officeDocument/2006/relationships/hyperlink" Target="https://handelskammer.blog/enova-investitionshilfen/" TargetMode="External"/><Relationship Id="rId285" Type="http://schemas.openxmlformats.org/officeDocument/2006/relationships/hyperlink" Target="https://www.bankingonclimatechaos.org/wp-content/uploads/2024/07/BOCC_2024_vF3.pdf" TargetMode="External"/><Relationship Id="rId492" Type="http://schemas.openxmlformats.org/officeDocument/2006/relationships/hyperlink" Target="https://bdi.eu/" TargetMode="External"/><Relationship Id="rId797" Type="http://schemas.openxmlformats.org/officeDocument/2006/relationships/hyperlink" Target="https://www.gmh-gruppe.de/pressemitteilungen/schmiedewerke-groeditz-gmbh-weiht-hochmodernen-schmiedeofen-ein/" TargetMode="External"/><Relationship Id="rId145" Type="http://schemas.openxmlformats.org/officeDocument/2006/relationships/hyperlink" Target="https://bpcforum.org/about/" TargetMode="External"/><Relationship Id="rId352" Type="http://schemas.openxmlformats.org/officeDocument/2006/relationships/hyperlink" Target="https://www.bundesregierung.de/breg-de/service/archiv-bundesregierung/novelle-eeg-gesetz-2023-2023972" TargetMode="External"/><Relationship Id="rId1287" Type="http://schemas.openxmlformats.org/officeDocument/2006/relationships/hyperlink" Target="https://www.vci.de/langfassungen/langfassungen-pdf/220407-vci-bewertung-msr-revision-2.pdf" TargetMode="External"/><Relationship Id="rId212" Type="http://schemas.openxmlformats.org/officeDocument/2006/relationships/hyperlink" Target="https://www.tagesschau.de/wirtschaft/weltwirtschaft/emissionshandel-china-101.html" TargetMode="External"/><Relationship Id="rId657" Type="http://schemas.openxmlformats.org/officeDocument/2006/relationships/hyperlink" Target="https://eur-lex.europa.eu/legal-content/DE/TXT/?uri=uriserv:OJ.L_.2022.152.01.0045.01.DEU" TargetMode="External"/><Relationship Id="rId864" Type="http://schemas.openxmlformats.org/officeDocument/2006/relationships/hyperlink" Target="https://www.consilium.europa.eu/de/meetings/european-council/2019/12/12-13/" TargetMode="External"/><Relationship Id="rId1494" Type="http://schemas.openxmlformats.org/officeDocument/2006/relationships/hyperlink" Target="https://www.reuters.com/business/energy/chinas-rising-hydro-solar-set-cap-coal-use-2024-kemp-2024-04-24/" TargetMode="External"/><Relationship Id="rId1799" Type="http://schemas.openxmlformats.org/officeDocument/2006/relationships/hyperlink" Target="https://competition-policy.ec.europa.eu/state-aid/ipcei/approved-ipceis_en" TargetMode="External"/><Relationship Id="rId517" Type="http://schemas.openxmlformats.org/officeDocument/2006/relationships/hyperlink" Target="https://www.monopolkommission.de/images/PDF/SG/7sg_energie_volltext.pdf" TargetMode="External"/><Relationship Id="rId724" Type="http://schemas.openxmlformats.org/officeDocument/2006/relationships/hyperlink" Target="https://www.bundesverfassungsgericht.de/SharedDocs/Entscheidungen/DE/2023/11/fs20231115_2bvf000122.html" TargetMode="External"/><Relationship Id="rId931" Type="http://schemas.openxmlformats.org/officeDocument/2006/relationships/hyperlink" Target="https://eur-lex.europa.eu/legal-content/DE/TXT/PDF/?uri=CELEX:52020DC0021" TargetMode="External"/><Relationship Id="rId1147" Type="http://schemas.openxmlformats.org/officeDocument/2006/relationships/hyperlink" Target="https://ec.europa.eu/commission/presscorner/detail/en/ip_22_1511" TargetMode="External"/><Relationship Id="rId1354" Type="http://schemas.openxmlformats.org/officeDocument/2006/relationships/hyperlink" Target="https://euhydrogenweek.eu/" TargetMode="External"/><Relationship Id="rId1561" Type="http://schemas.openxmlformats.org/officeDocument/2006/relationships/hyperlink" Target="https://seia.org/research-resources/solar-storage-supply-chain-dashboard/" TargetMode="External"/><Relationship Id="rId60" Type="http://schemas.openxmlformats.org/officeDocument/2006/relationships/hyperlink" Target="https://www.bmwk.de/Redaktion/DE/Downloads/E/240226-eckpunkte-negativemissionen.pdf?__blob=publicationFile&amp;v=8" TargetMode="External"/><Relationship Id="rId1007" Type="http://schemas.openxmlformats.org/officeDocument/2006/relationships/hyperlink" Target="https://www.bmwk.de/Redaktion/DE/FAQ/IPCEI-Wasserstoff/faq-ipcei-wasserstoff.html" TargetMode="External"/><Relationship Id="rId1214" Type="http://schemas.openxmlformats.org/officeDocument/2006/relationships/hyperlink" Target="https://ec.europa.eu/commission/presscorner/detail/en/ip_22_7609" TargetMode="External"/><Relationship Id="rId1421" Type="http://schemas.openxmlformats.org/officeDocument/2006/relationships/hyperlink" Target="https://www.gtai.de/de/trade/usa/branchen/us-regierung-foerdert-vier-wasserstoff-cluster--864644" TargetMode="External"/><Relationship Id="rId1659" Type="http://schemas.openxmlformats.org/officeDocument/2006/relationships/hyperlink" Target="https://www.capital.de/wirtschaft-politik/china-entdeckt-die-europaeische-windindustrie-33737100.html" TargetMode="External"/><Relationship Id="rId1519" Type="http://schemas.openxmlformats.org/officeDocument/2006/relationships/hyperlink" Target="https://www.swp-berlin.org/publikation/the-global-shift-away-from-fossil-energy" TargetMode="External"/><Relationship Id="rId1726" Type="http://schemas.openxmlformats.org/officeDocument/2006/relationships/hyperlink" Target="https://www.consilium.europa.eu/en/press/press-releases/2023/10/09/refueleu-aviation-initiative-council-adopts-new-law-to-decarbonise-the-aviation-sector/%20" TargetMode="External"/><Relationship Id="rId18" Type="http://schemas.openxmlformats.org/officeDocument/2006/relationships/hyperlink" Target="https://en.wikipedia.org/wiki/List_of_coal-fired_power_stations_in_Vietnam" TargetMode="External"/><Relationship Id="rId167" Type="http://schemas.openxmlformats.org/officeDocument/2006/relationships/hyperlink" Target="https://unfccc.int/sites/default/files/resource/tp2023_03_0.pdf?download" TargetMode="External"/><Relationship Id="rId374" Type="http://schemas.openxmlformats.org/officeDocument/2006/relationships/hyperlink" Target="https://www.bmwk.de/Redaktion/DE/Pressemitteilungen/2022/11/20221103-mehr-windenergie-auf-see-habeck.html" TargetMode="External"/><Relationship Id="rId581" Type="http://schemas.openxmlformats.org/officeDocument/2006/relationships/hyperlink" Target="https://h2-news.de/wirtschaft-unternehmen/frankreich-foerdert-100-mw-elektrolyseur-mit-149-mio-euro/" TargetMode="External"/><Relationship Id="rId234" Type="http://schemas.openxmlformats.org/officeDocument/2006/relationships/hyperlink" Target="https://www.bundesregierung.de/breg-de/schwerpunkte-der-bundesregierung/uebersicht-der-gipfeldokumente-387332" TargetMode="External"/><Relationship Id="rId679" Type="http://schemas.openxmlformats.org/officeDocument/2006/relationships/hyperlink" Target="https://www.h2-global.org/news" TargetMode="External"/><Relationship Id="rId886" Type="http://schemas.openxmlformats.org/officeDocument/2006/relationships/hyperlink" Target="https://data.consilium.europa.eu/doc/document/ST-169-2014-INIT/de/pdf" TargetMode="External"/><Relationship Id="rId2" Type="http://schemas.openxmlformats.org/officeDocument/2006/relationships/hyperlink" Target="https://www.faz.net/aktuell/wissen/neues-co-budget-die-klimaziele-schmelzen-wie-gletschereis-19278553.html?GEPC=s9" TargetMode="External"/><Relationship Id="rId441" Type="http://schemas.openxmlformats.org/officeDocument/2006/relationships/hyperlink" Target="https://mediathek.fnr.de/kraftstoffverbrauch-in-deutschland.html" TargetMode="External"/><Relationship Id="rId539" Type="http://schemas.openxmlformats.org/officeDocument/2006/relationships/hyperlink" Target="https://www.entsoe.eu/network_codes/bzr/" TargetMode="External"/><Relationship Id="rId746" Type="http://schemas.openxmlformats.org/officeDocument/2006/relationships/hyperlink" Target="https://de.wikipedia.org/wiki/Verordnung_zur_Durchf%C3%BChrung_der_Regelungen_der_Biokraftstoffquote" TargetMode="External"/><Relationship Id="rId1071" Type="http://schemas.openxmlformats.org/officeDocument/2006/relationships/hyperlink" Target="https://eur-lex.europa.eu/legal-content/DE/TXT/PDF/?uri=CELEX:52022XC0218(03)" TargetMode="External"/><Relationship Id="rId1169" Type="http://schemas.openxmlformats.org/officeDocument/2006/relationships/hyperlink" Target="https://eur-lex.europa.eu/legal-content/EN/TXT/PDF/?uri=OJ:C_202502983" TargetMode="External"/><Relationship Id="rId1376" Type="http://schemas.openxmlformats.org/officeDocument/2006/relationships/hyperlink" Target="https://ec.europa.eu/commission/presscorner/detail/en/ip_25_805" TargetMode="External"/><Relationship Id="rId1583" Type="http://schemas.openxmlformats.org/officeDocument/2006/relationships/hyperlink" Target="https://eur-lex.europa.eu/legal-content/EN/TXT/PDF/?uri=OJ:L_202402754" TargetMode="External"/><Relationship Id="rId301" Type="http://schemas.openxmlformats.org/officeDocument/2006/relationships/hyperlink" Target="https://www.gesetze-im-internet.de/ksg/BJNR251310019.html" TargetMode="External"/><Relationship Id="rId953" Type="http://schemas.openxmlformats.org/officeDocument/2006/relationships/hyperlink" Target="https://www.ebrd.com/de/home/wer-wir-sind/unsere-geschichte.html" TargetMode="External"/><Relationship Id="rId1029" Type="http://schemas.openxmlformats.org/officeDocument/2006/relationships/hyperlink" Target="https://www.eca.europa.eu/de/publications/SR-2024-11" TargetMode="External"/><Relationship Id="rId1236" Type="http://schemas.openxmlformats.org/officeDocument/2006/relationships/hyperlink" Target="https://eur-lex.europa.eu/legal-content/DE/TXT/PDF/?uri=CELEX:32020D1722" TargetMode="External"/><Relationship Id="rId1790" Type="http://schemas.openxmlformats.org/officeDocument/2006/relationships/hyperlink" Target="https://www.iigcc.org/" TargetMode="External"/><Relationship Id="rId82" Type="http://schemas.openxmlformats.org/officeDocument/2006/relationships/hyperlink" Target="https://www.nabu.de/imperia/md/content/nabude/energie/wind/22_birdlife_offshore_report.pdf" TargetMode="External"/><Relationship Id="rId606" Type="http://schemas.openxmlformats.org/officeDocument/2006/relationships/hyperlink" Target="https://www.agora-energiewende.de/publikationen/die-energiewende-in-deutschland-stand-der-dinge-2024" TargetMode="External"/><Relationship Id="rId813" Type="http://schemas.openxmlformats.org/officeDocument/2006/relationships/hyperlink" Target="https://www.agora-industrie.de/fileadmin/Projekte/2021/2021_10_DE_KIT/A-EW_249_Klimaschutzvertraege-Industrietransformation-Studie_WEB.pdf" TargetMode="External"/><Relationship Id="rId1443" Type="http://schemas.openxmlformats.org/officeDocument/2006/relationships/hyperlink" Target="https://www.enbridge.com/projects-and-infrastructure/public-awareness/cowboy-solar-and-bess-project" TargetMode="External"/><Relationship Id="rId1650" Type="http://schemas.openxmlformats.org/officeDocument/2006/relationships/hyperlink" Target="https://www.windkraft-journal.de/2022/03/30/siemens-gamesa-startet-neues-werk-in-le-havre-frankreich-fuer-offshore-windturbinen/173542" TargetMode="External"/><Relationship Id="rId1748" Type="http://schemas.openxmlformats.org/officeDocument/2006/relationships/hyperlink" Target="https://friesen-elektra.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6FA04-32D6-4D31-90F6-B4AEA0476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336</Pages>
  <Words>122768</Words>
  <Characters>773441</Characters>
  <Application>Microsoft Office Word</Application>
  <DocSecurity>0</DocSecurity>
  <Lines>6445</Lines>
  <Paragraphs>1788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Uwe Hermanns</dc:creator>
  <cp:keywords/>
  <dc:description/>
  <cp:lastModifiedBy>Hermann Hermannns</cp:lastModifiedBy>
  <cp:revision>2</cp:revision>
  <cp:lastPrinted>2024-08-29T18:51:00Z</cp:lastPrinted>
  <dcterms:created xsi:type="dcterms:W3CDTF">2026-02-24T18:49:00Z</dcterms:created>
  <dcterms:modified xsi:type="dcterms:W3CDTF">2026-02-24T18:49:00Z</dcterms:modified>
</cp:coreProperties>
</file>